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06/21/00</w:t>
      </w:r>
    </w:p>
    <w:p>
      <w:pPr>
        <w:pStyle w:val="Normal"/>
        <w:jc w:val="end"/>
        <w:rPr>
          <w:b/>
          <w:sz w:val="22"/>
          <w:u w:val="single"/>
        </w:rPr>
      </w:pPr>
      <w:r>
        <w:rPr>
          <w:b/>
          <w:sz w:val="22"/>
          <w:u w:val="single"/>
        </w:rPr>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February 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Enron Corp., but only to the extent that Enron Corp. is a Credit Support Provider;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as amended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3"/>
        </w:numPr>
        <w:tabs>
          <w:tab w:val="clear" w:pos="720"/>
          <w:tab w:val="left" w:pos="0" w:leader="none"/>
        </w:tabs>
        <w:spacing w:lineRule="exact" w:line="240" w:before="240" w:after="0"/>
        <w:ind w:firstLine="720" w:start="0" w:end="0"/>
        <w:jc w:val="both"/>
        <w:rPr>
          <w:sz w:val="22"/>
        </w:rPr>
      </w:pPr>
      <w:r>
        <w:rPr>
          <w:sz w:val="22"/>
        </w:rPr>
        <w:t xml:space="preserve">(i)  The </w:t>
      </w:r>
      <w:r>
        <w:rPr>
          <w:b/>
          <w:sz w:val="22"/>
        </w:rPr>
        <w:t>“Credit Event Upon Merger”</w:t>
      </w:r>
      <w:r>
        <w:rPr>
          <w:sz w:val="22"/>
        </w:rPr>
        <w:t xml:space="preserve"> provisions of Section 5(b)(iv) as amended below will apply to Party A and to Party B.</w:t>
      </w:r>
    </w:p>
    <w:p>
      <w:pPr>
        <w:pStyle w:val="Justified"/>
        <w:widowControl/>
        <w:spacing w:lineRule="exact" w:line="240" w:before="240" w:after="0"/>
        <w:ind w:firstLine="1440" w:end="0"/>
        <w:rPr/>
      </w:pPr>
      <w:r>
        <w:rPr>
          <w:rFonts w:cs="Times New Roman" w:ascii="Times New Roman" w:hAnsi="Times New Roman"/>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u w:val="single"/>
        </w:rPr>
        <w:t>Annex A</w:t>
      </w:r>
      <w:r>
        <w:rPr>
          <w:rFonts w:cs="Times New Roman" w:ascii="Times New Roman" w:hAnsi="Times New Roman"/>
        </w:rPr>
        <w:t xml:space="preserve">, but it shall be otherwise administered under </w:t>
      </w:r>
      <w:r>
        <w:rPr>
          <w:rFonts w:cs="Times New Roman" w:ascii="Times New Roman" w:hAnsi="Times New Roman"/>
          <w:u w:val="single"/>
        </w:rPr>
        <w:t>Annex A</w:t>
      </w:r>
      <w:r>
        <w:rPr>
          <w:rFonts w:cs="Times New Roman" w:ascii="Times New Roman" w:hAnsi="Times New Roman"/>
        </w:rPr>
        <w:t>.”</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rPr>
      </w:pPr>
      <w:r>
        <w:rPr>
          <w:sz w:val="22"/>
        </w:rPr>
        <w:t>With respect to such Transactions, each payment received or to be received by it in connection with this Agreement will be effectively connected with its conduct of a trade or business in the United States.</w:t>
      </w:r>
      <w:r>
        <w:br w:type="page"/>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4"/>
        </w:numPr>
        <w:spacing w:lineRule="exact" w:line="240" w:before="240" w:after="0"/>
        <w:jc w:val="both"/>
        <w:rPr>
          <w:sz w:val="22"/>
        </w:rPr>
      </w:pPr>
      <w:r>
        <w:rPr>
          <w:sz w:val="22"/>
        </w:rPr>
        <w:t xml:space="preserve">Party A agrees to complete (accurately and in a manner reasonably satisfactory to Party B), execute, and deliver to Party B,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 </w:t>
      </w:r>
    </w:p>
    <w:p>
      <w:pPr>
        <w:pStyle w:val="Normal"/>
        <w:numPr>
          <w:ilvl w:val="0"/>
          <w:numId w:val="4"/>
        </w:numPr>
        <w:spacing w:lineRule="exact" w:line="240" w:before="240" w:after="0"/>
        <w:jc w:val="both"/>
        <w:rPr>
          <w:sz w:val="22"/>
        </w:rPr>
      </w:pPr>
      <w:r>
        <w:rPr>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widowControl/>
        <w:spacing w:lineRule="exact" w:line="240" w:before="240" w:after="0"/>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Unaudited monthly report of Party B</w:t>
            </w:r>
          </w:p>
        </w:tc>
        <w:tc>
          <w:tcPr>
            <w:tcW w:w="2340" w:type="dxa"/>
            <w:tcBorders/>
          </w:tcPr>
          <w:p>
            <w:pPr>
              <w:pStyle w:val="Normal"/>
              <w:spacing w:lineRule="atLeast" w:line="240" w:before="240" w:after="0"/>
              <w:jc w:val="both"/>
              <w:rPr>
                <w:sz w:val="22"/>
              </w:rPr>
            </w:pPr>
            <w:r>
              <w:rPr>
                <w:sz w:val="22"/>
              </w:rPr>
              <w:t>Promptly following demand by Party A</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Legal opinion in form and substance of Attachment 1 hereto</w:t>
            </w:r>
          </w:p>
        </w:tc>
        <w:tc>
          <w:tcPr>
            <w:tcW w:w="2340" w:type="dxa"/>
            <w:tcBorders/>
          </w:tcPr>
          <w:p>
            <w:pPr>
              <w:pStyle w:val="Normal"/>
              <w:spacing w:lineRule="atLeast" w:line="240" w:before="240" w:after="0"/>
              <w:jc w:val="both"/>
              <w:rPr>
                <w:sz w:val="22"/>
              </w:rPr>
            </w:pPr>
            <w:r>
              <w:rPr>
                <w:sz w:val="22"/>
              </w:rPr>
              <w:t>Within 30 days following the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The Ospraie Portfolio Ltd.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600 Steamboat Road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Greenwich, Connecticut  06830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Operations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(203) 863-8695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863-6700</w:t>
            </w:r>
          </w:p>
        </w:tc>
      </w:tr>
    </w:tbl>
    <w:p>
      <w:pPr>
        <w:pStyle w:val="Justified"/>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rPr>
      </w:pPr>
      <w:r>
        <w:rPr>
          <w:rFonts w:cs="Times New Roman" w:ascii="Times New Roman" w:hAnsi="Times New Roman"/>
        </w:rPr>
        <w:t>Copies of all notices or communications pursuant to Sections 5, 6 and 7 and all legal notices or communications shall also be given to:</w:t>
      </w:r>
    </w:p>
    <w:p>
      <w:pPr>
        <w:pStyle w:val="Heading2"/>
        <w:rPr>
          <w:rFonts w:ascii="Times New Roman" w:hAnsi="Times New Roman" w:cs="Times New Roman"/>
        </w:rPr>
      </w:pPr>
      <w:r>
        <w:rPr>
          <w:rFonts w:cs="Times New Roman" w:ascii="Times New Roman" w:hAnsi="Times New Roman"/>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Tudor Investment Corporation</w:t>
            </w:r>
          </w:p>
          <w:p>
            <w:pPr>
              <w:pStyle w:val="Normal"/>
              <w:keepNext w:val="true"/>
              <w:tabs>
                <w:tab w:val="clear" w:pos="720"/>
                <w:tab w:val="left" w:pos="3762" w:leader="none"/>
                <w:tab w:val="left" w:pos="4230" w:leader="none"/>
                <w:tab w:val="left" w:pos="9360" w:leader="none"/>
              </w:tabs>
              <w:spacing w:lineRule="exact" w:line="240"/>
              <w:jc w:val="both"/>
              <w:rPr/>
            </w:pPr>
            <w:r>
              <w:rPr>
                <w:sz w:val="22"/>
              </w:rPr>
              <w:t>One Liberty Plaza, 51</w:t>
            </w:r>
            <w:r>
              <w:rPr>
                <w:sz w:val="22"/>
                <w:vertAlign w:val="superscript"/>
              </w:rPr>
              <w:t>st</w:t>
            </w:r>
            <w:r>
              <w:rPr>
                <w:sz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York, New York  10006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(212) 406-3282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602-6704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w:t>
      </w:r>
      <w:r>
        <w:rPr>
          <w:sz w:val="22"/>
          <w:u w:val="single"/>
        </w:rPr>
        <w:t>provided</w:t>
      </w:r>
      <w:r>
        <w:rPr>
          <w:sz w:val="22"/>
        </w:rPr>
        <w:t xml:space="preserve">, </w:t>
      </w:r>
      <w:r>
        <w:rPr>
          <w:sz w:val="22"/>
          <w:u w:val="single"/>
        </w:rPr>
        <w:t>however</w:t>
      </w:r>
      <w:r>
        <w:rPr>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spacing w:lineRule="exact" w:line="240" w:before="240" w:after="0"/>
        <w:ind w:firstLine="720" w:start="720" w:end="0"/>
        <w:jc w:val="both"/>
        <w:rPr/>
      </w:pPr>
      <w:r>
        <w:rPr>
          <w:sz w:val="22"/>
        </w:rPr>
        <w:tab/>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before="240" w:after="0"/>
        <w:ind w:firstLine="1440" w:start="720" w:end="0"/>
        <w:jc w:val="both"/>
        <w:rPr/>
      </w:pPr>
      <w:r>
        <w:rPr>
          <w:sz w:val="22"/>
        </w:rPr>
        <w:t>(c)</w:t>
        <w:tab/>
      </w:r>
      <w:r>
        <w:rPr>
          <w:b/>
          <w:sz w:val="22"/>
        </w:rPr>
        <w:t>Waiver of Jury Trial.</w:t>
      </w:r>
      <w:r>
        <w:rPr>
          <w:sz w:val="22"/>
        </w:rPr>
        <w:t xml:space="preserve">  Each party irrevocably waives any and all right to trial by jury with respect to any Proceeding arising out of or relating to this Agreement, any Credit Support Document, or any Transaction.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 </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widowControl/>
        <w:spacing w:before="240" w:after="0"/>
        <w:rPr/>
      </w:pPr>
      <w:r>
        <w:rPr/>
        <w:t>(k)</w:t>
        <w:tab/>
      </w:r>
      <w:r>
        <w:rPr>
          <w:b/>
        </w:rPr>
        <w:t>ERISA Representation.</w:t>
      </w:r>
      <w:r>
        <w:rPr/>
        <w:t xml:space="preserve">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BodyTextIndent3"/>
        <w:widowControl/>
        <w:spacing w:before="240" w:after="0"/>
        <w:rPr/>
      </w:pPr>
      <w:r>
        <w:rPr/>
      </w:r>
    </w:p>
    <w:p>
      <w:pPr>
        <w:pStyle w:val="Normal"/>
        <w:ind w:firstLine="720" w:end="0"/>
        <w:jc w:val="both"/>
        <w:rPr/>
      </w:pPr>
      <w:r>
        <w:rPr>
          <w:sz w:val="22"/>
        </w:rPr>
        <w:t>(c)</w:t>
        <w:tab/>
      </w:r>
      <w:r>
        <w:rPr>
          <w:b/>
          <w:sz w:val="22"/>
        </w:rPr>
        <w:t>Additional Representations of Party A.</w:t>
      </w:r>
      <w:r>
        <w:rPr>
          <w:sz w:val="22"/>
        </w:rPr>
        <w:t xml:space="preserve">  For the purpose of Section 3 of the Agreement, Party A further represents and warrants to Party B (which representations will be deemed repeated by Party A on each date on which a Transaction is entered into) that:</w:t>
      </w:r>
    </w:p>
    <w:p>
      <w:pPr>
        <w:pStyle w:val="Normal"/>
        <w:ind w:firstLine="720" w:end="0"/>
        <w:rPr>
          <w:sz w:val="22"/>
        </w:rPr>
      </w:pPr>
      <w:r>
        <w:rPr>
          <w:sz w:val="22"/>
        </w:rPr>
      </w:r>
    </w:p>
    <w:p>
      <w:pPr>
        <w:pStyle w:val="Normal"/>
        <w:spacing w:lineRule="exact" w:line="240" w:before="240" w:after="0"/>
        <w:ind w:start="720" w:end="0"/>
        <w:jc w:val="both"/>
        <w:rPr>
          <w:sz w:val="22"/>
        </w:rPr>
      </w:pPr>
      <w:r>
        <w:rPr>
          <w:sz w:val="22"/>
        </w:rPr>
        <w:t>With respect to Options, Party A  is a producer, processor, commercial user of, or merchant handling, the commodity subject to the Transaction or the products or byproducts thereof, and is entering into each Option Transaction solely for purposes related to its business as such.</w:t>
      </w:r>
    </w:p>
    <w:p>
      <w:pPr>
        <w:pStyle w:val="BodyText2"/>
        <w:widowControl/>
        <w:spacing w:lineRule="auto" w:line="240"/>
        <w:ind w:end="720"/>
        <w:rPr>
          <w:sz w:val="22"/>
        </w:rPr>
      </w:pPr>
      <w:r>
        <w:rPr>
          <w:sz w:val="22"/>
        </w:rPr>
      </w:r>
    </w:p>
    <w:p>
      <w:pPr>
        <w:pStyle w:val="Normal"/>
        <w:ind w:firstLine="720" w:end="0"/>
        <w:jc w:val="both"/>
        <w:rPr>
          <w:sz w:val="22"/>
        </w:rPr>
      </w:pPr>
      <w:r>
        <w:rPr>
          <w:sz w:val="22"/>
        </w:rPr>
      </w:r>
    </w:p>
    <w:p>
      <w:pPr>
        <w:pStyle w:val="Normal"/>
        <w:ind w:firstLine="720" w:end="0"/>
        <w:jc w:val="both"/>
        <w:rPr/>
      </w:pPr>
      <w:r>
        <w:rPr>
          <w:sz w:val="22"/>
        </w:rPr>
        <w:t>(d)</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on each date on which a Transaction is entered into) that:</w:t>
      </w:r>
    </w:p>
    <w:p>
      <w:pPr>
        <w:pStyle w:val="Normal"/>
        <w:ind w:firstLine="720" w:end="0"/>
        <w:rPr>
          <w:sz w:val="22"/>
        </w:rPr>
      </w:pPr>
      <w:r>
        <w:rPr>
          <w:sz w:val="22"/>
        </w:rPr>
      </w:r>
    </w:p>
    <w:p>
      <w:pPr>
        <w:pStyle w:val="BodyText2"/>
        <w:widowControl/>
        <w:spacing w:lineRule="auto" w:line="240"/>
        <w:ind w:end="720"/>
        <w:rPr/>
      </w:pPr>
      <w:r>
        <w:rPr/>
        <w:t>This Agreement and each Transaction hereunder are not prohibited investments under Party B’s Confidential Offering Memorandum.</w:t>
      </w:r>
    </w:p>
    <w:p>
      <w:pPr>
        <w:pStyle w:val="Normal"/>
        <w:spacing w:lineRule="exact" w:line="240"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(f)</w:t>
        <w:tab/>
      </w:r>
      <w:r>
        <w:rPr>
          <w:b/>
          <w:sz w:val="22"/>
        </w:rPr>
        <w:t>Definitions and Addenda.</w:t>
      </w:r>
      <w:r>
        <w:rPr>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and the 2000 Supplement to the 1993 ISDA Commodity Derivatives Defintions (the “Commodity Definitions”), and the 1999 ISDA Credit Derivatives Definitions (the “Credit Definitions”), each as published by the International Swaps and Derivatives Association, Inc., which are incorporated by reference herein and made part hereof.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within five Local Business Days.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(j)</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Upon notice in writing to Party B, Party A may transfer its rights and obligations under this Agreement, in whole but not in part, to any Affiliate so long as the obligations of such Affiliate are guaranteed by Enron Corp. pursuant to a guaranty substantially similar to the one provided on behalf of Party A, and provided that such transfer will not give rise to adverse tax consequences to Party B or to a Termination Event or an Event of Default, and the proposed transfer would not adversely affect Party B’s existing netting or setoff rights under this Agreement or  under applicable law.</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Party B may transfer its rights and obligations under this Agreement, in whole but not in part, with the prior written consent of Party A, such consent not to be unreasonably withheld.”</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(o)</w:t>
        <w:tab/>
      </w:r>
      <w:r>
        <w:rPr>
          <w:b/>
          <w:sz w:val="22"/>
        </w:rPr>
        <w:t>Additional Definitions.</w:t>
      </w:r>
      <w:r>
        <w:rPr>
          <w:sz w:val="22"/>
        </w:rPr>
        <w:t xml:space="preserve">  Section 14 is hereby amended by inserting the following definition in alphabetical order:</w:t>
      </w:r>
    </w:p>
    <w:p>
      <w:pPr>
        <w:pStyle w:val="Normal"/>
        <w:spacing w:lineRule="exact" w:line="240"/>
        <w:ind w:firstLine="720" w:end="0"/>
        <w:jc w:val="both"/>
        <w:rPr>
          <w:b/>
          <w:sz w:val="22"/>
        </w:rPr>
      </w:pPr>
      <w:r>
        <w:rPr>
          <w:b/>
          <w:sz w:val="22"/>
        </w:rPr>
      </w:r>
    </w:p>
    <w:p>
      <w:pPr>
        <w:pStyle w:val="Normal"/>
        <w:spacing w:lineRule="exact" w:line="240"/>
        <w:ind w:start="720" w:end="0"/>
        <w:jc w:val="both"/>
        <w:rPr/>
      </w:pPr>
      <w:r>
        <w:rPr>
          <w:b/>
          <w:sz w:val="22"/>
        </w:rPr>
        <w:t>“</w:t>
      </w:r>
      <w:r>
        <w:rPr>
          <w:b/>
          <w:sz w:val="22"/>
        </w:rPr>
        <w:t>Confidential Offering Memorandum”</w:t>
      </w:r>
      <w:r>
        <w:rPr>
          <w:sz w:val="22"/>
        </w:rPr>
        <w:t xml:space="preserve"> means Party B’s investment objectives, restrictions and guidelines as set forth in Party B’s Confidential Offering Memorandum which incorporates the use of derivative products, including swaps, options and other Transactions.</w:t>
      </w:r>
    </w:p>
    <w:p>
      <w:pPr>
        <w:pStyle w:val="Normal"/>
        <w:spacing w:lineRule="exact" w:line="240"/>
        <w:ind w:start="720" w:end="0"/>
        <w:jc w:val="both"/>
        <w:rPr>
          <w:b/>
          <w:sz w:val="22"/>
        </w:rPr>
      </w:pPr>
      <w:r>
        <w:rPr>
          <w:b/>
          <w:sz w:val="22"/>
        </w:rPr>
      </w:r>
    </w:p>
    <w:p>
      <w:pPr>
        <w:pStyle w:val="Normal"/>
        <w:spacing w:lineRule="exact" w:line="240"/>
        <w:ind w:firstLine="720" w:end="0"/>
        <w:jc w:val="both"/>
        <w:rPr/>
      </w:pPr>
      <w:r>
        <w:rPr>
          <w:sz w:val="22"/>
        </w:rPr>
        <w:t>(p)</w:t>
        <w:tab/>
      </w:r>
      <w:r>
        <w:rPr>
          <w:b/>
          <w:sz w:val="22"/>
        </w:rPr>
        <w:t>Accuracy of Specified Information.</w:t>
      </w:r>
      <w:r>
        <w:rPr>
          <w:sz w:val="22"/>
        </w:rPr>
        <w:t xml:space="preserve">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lineRule="exact" w:line="240"/>
        <w:ind w:firstLine="720" w:end="0"/>
        <w:jc w:val="both"/>
        <w:rPr>
          <w:b/>
          <w:sz w:val="22"/>
        </w:rPr>
      </w:pPr>
      <w:r>
        <w:rPr>
          <w:b/>
          <w:sz w:val="22"/>
        </w:rPr>
      </w:r>
    </w:p>
    <w:p>
      <w:pPr>
        <w:pStyle w:val="Normal"/>
        <w:spacing w:lineRule="exact" w:line="240"/>
        <w:ind w:firstLine="720" w:end="0"/>
        <w:jc w:val="both"/>
        <w:rPr/>
      </w:pPr>
      <w:r>
        <w:rPr>
          <w:sz w:val="22"/>
        </w:rPr>
        <w:t>(q)</w:t>
        <w:tab/>
      </w:r>
      <w:r>
        <w:rPr>
          <w:b/>
          <w:sz w:val="22"/>
        </w:rPr>
        <w:t>“Affiliate”.</w:t>
      </w:r>
      <w:r>
        <w:rPr>
          <w:sz w:val="22"/>
        </w:rPr>
        <w:t xml:space="preserve">  Notwithstanding any inconsistent or contrary provision of this Agreement, the Credit Support Annex, or any Confirmation, Party B will be deemed not to have any Affiliates.</w:t>
      </w:r>
    </w:p>
    <w:p>
      <w:pPr>
        <w:pStyle w:val="Normal"/>
        <w:spacing w:lineRule="exact" w:line="240"/>
        <w:ind w:firstLine="720" w:end="0"/>
        <w:jc w:val="both"/>
        <w:rPr>
          <w:sz w:val="22"/>
        </w:rPr>
      </w:pPr>
      <w:r>
        <w:rPr>
          <w:sz w:val="22"/>
        </w:rPr>
      </w:r>
    </w:p>
    <w:p>
      <w:pPr>
        <w:pStyle w:val="Normal"/>
        <w:tabs>
          <w:tab w:val="left" w:pos="720" w:leader="none"/>
          <w:tab w:val="left" w:pos="1440" w:leader="none"/>
        </w:tabs>
        <w:jc w:val="both"/>
        <w:rPr/>
      </w:pPr>
      <w:r>
        <w:rPr>
          <w:sz w:val="22"/>
        </w:rPr>
        <w:tab/>
        <w:t>(r)</w:t>
        <w:tab/>
      </w:r>
      <w:r>
        <w:rPr>
          <w:b/>
          <w:bCs/>
          <w:sz w:val="22"/>
        </w:rPr>
        <w:t>Entire Agreement.</w:t>
      </w:r>
      <w:r>
        <w:rPr>
          <w:sz w:val="22"/>
        </w:rPr>
        <w:t xml:space="preserve">  Section 9(a) is deleted in its entirety and replaced with the following:</w:t>
      </w:r>
    </w:p>
    <w:p>
      <w:pPr>
        <w:pStyle w:val="Normal"/>
        <w:jc w:val="both"/>
        <w:rPr>
          <w:sz w:val="22"/>
        </w:rPr>
      </w:pPr>
      <w:r>
        <w:rPr>
          <w:sz w:val="22"/>
        </w:rPr>
      </w:r>
      <w:r>
        <w:br w:type="page"/>
      </w:r>
    </w:p>
    <w:p>
      <w:pPr>
        <w:pStyle w:val="Normal"/>
        <w:ind w:start="720" w:end="0"/>
        <w:jc w:val="both"/>
        <w:rPr>
          <w:sz w:val="22"/>
        </w:rPr>
      </w:pPr>
      <w:r>
        <w:rPr>
          <w:b/>
          <w:bCs/>
          <w:sz w:val="22"/>
        </w:rPr>
        <w:t>“</w:t>
      </w:r>
      <w:r>
        <w:rPr>
          <w:b/>
          <w:bCs/>
          <w:sz w:val="22"/>
        </w:rPr>
        <w:t>Other Agreements; Integration.</w:t>
      </w:r>
    </w:p>
    <w:p>
      <w:pPr>
        <w:pStyle w:val="Normal"/>
        <w:ind w:start="720" w:end="0"/>
        <w:jc w:val="both"/>
        <w:rPr>
          <w:sz w:val="22"/>
        </w:rPr>
      </w:pPr>
      <w:r>
        <w:rPr>
          <w:sz w:val="22"/>
        </w:rPr>
      </w:r>
    </w:p>
    <w:p>
      <w:pPr>
        <w:pStyle w:val="BodyTextIndent"/>
        <w:numPr>
          <w:ilvl w:val="1"/>
          <w:numId w:val="2"/>
        </w:numPr>
        <w:tabs>
          <w:tab w:val="clear" w:pos="720"/>
        </w:tabs>
        <w:ind w:hanging="720" w:start="1440" w:end="0"/>
        <w:rPr/>
      </w:pPr>
      <w:r>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w:t>
        <w:noBreakHyphen/>
        <w:t>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rPr/>
      </w:pPr>
      <w:r>
        <w:rPr/>
      </w:r>
    </w:p>
    <w:p>
      <w:pPr>
        <w:pStyle w:val="BodyTextIndent"/>
        <w:numPr>
          <w:ilvl w:val="1"/>
          <w:numId w:val="2"/>
        </w:numPr>
        <w:tabs>
          <w:tab w:val="clear" w:pos="720"/>
        </w:tabs>
        <w:ind w:hanging="720" w:start="1440" w:end="0"/>
        <w:rPr/>
      </w:pPr>
      <w:r>
        <w:rPr/>
        <w:t>This Agreement, this Schedule, any Credit Support Document, all Confirmations, and the above</w:t>
        <w:noBreakHyphen/>
        <w:t>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ind w:start="0" w:end="0"/>
        <w:rPr/>
      </w:pPr>
      <w:r>
        <w:rPr/>
      </w:r>
    </w:p>
    <w:p>
      <w:pPr>
        <w:pStyle w:val="BodyTextIndent"/>
        <w:tabs>
          <w:tab w:val="clear" w:pos="720"/>
          <w:tab w:val="left" w:pos="1440" w:leader="none"/>
        </w:tabs>
        <w:ind w:hanging="720" w:start="1440" w:end="0"/>
        <w:rPr/>
      </w:pPr>
      <w:r>
        <w:rPr/>
        <w:t>(iii)</w:t>
        <w:tab/>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and the 2000 Supplement to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Notwithstanding any reference to the number of Specified Prices in such definition, Party A and Party B shall each obtain in good faith a quotation from a leading dealer in the relevant market and the price for that Pricing Date will be the arithmetic mean of the Specified Prices; </w:t>
      </w:r>
      <w:r>
        <w:rPr>
          <w:sz w:val="22"/>
          <w:u w:val="single"/>
        </w:rPr>
        <w:t>provided</w:t>
      </w:r>
      <w:r>
        <w:rPr>
          <w:sz w:val="22"/>
        </w:rPr>
        <w:t>, that if Party B is unable to obtain a quotation or fails to designate a Reference Dealer within three Local Business Days after Party A’s request, than Party A shall in good faith, provide a substitute quotation from a leading dealer.</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 xml:space="preserve">Amendments to FX Definitions.  </w:t>
      </w: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THE OSPRAIE PORTFOLIO LTD.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By:</w:t>
              <w:tab/>
              <w:t>Tudor Investment Corporation,</w:t>
            </w:r>
          </w:p>
          <w:p>
            <w:pPr>
              <w:pStyle w:val="Normal"/>
              <w:keepNext w:val="true"/>
              <w:spacing w:lineRule="exact" w:line="240"/>
              <w:jc w:val="both"/>
              <w:rPr>
                <w:sz w:val="22"/>
              </w:rPr>
            </w:pPr>
            <w:r>
              <w:rPr>
                <w:sz w:val="22"/>
              </w:rPr>
              <w:tab/>
              <w:t>Investment Advisor</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9"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1"/>
        <w:ind w:hanging="0" w:start="0"/>
        <w:rPr>
          <w:color w:val="000000"/>
        </w:rPr>
      </w:pPr>
      <w:r>
        <w:rPr>
          <w:color w:val="000000"/>
        </w:rPr>
        <w:t>LEGAL OPINION</w:t>
      </w:r>
    </w:p>
    <w:p>
      <w:pPr>
        <w:pStyle w:val="Normal"/>
        <w:rPr>
          <w:color w:val="000000"/>
          <w:sz w:val="22"/>
        </w:rPr>
      </w:pPr>
      <w:r>
        <w:rPr>
          <w:color w:val="000000"/>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Heading1"/>
        <w:ind w:hanging="0" w:start="0"/>
        <w:rPr>
          <w:bCs/>
          <w:color w:val="000000"/>
        </w:rPr>
      </w:pPr>
      <w:r>
        <w:rPr>
          <w:bCs/>
          <w:color w:val="000000"/>
        </w:rPr>
        <w:t>ATTACHMENT 1</w:t>
      </w:r>
    </w:p>
    <w:p>
      <w:pPr>
        <w:pStyle w:val="Normal"/>
        <w:jc w:val="center"/>
        <w:rPr>
          <w:bCs/>
          <w:color w:val="000000"/>
          <w:sz w:val="22"/>
        </w:rPr>
      </w:pPr>
      <w:r>
        <w:rPr>
          <w:bCs/>
          <w:color w:val="000000"/>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1.  The Counterparty is a [__________________] duly existing under the laws of [________________].</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Normal"/>
        <w:tabs>
          <w:tab w:val="clear" w:pos="720"/>
          <w:tab w:val="left" w:pos="1440" w:leader="none"/>
        </w:tabs>
        <w:rPr>
          <w:sz w:val="22"/>
        </w:rPr>
      </w:pPr>
      <w:r>
        <w:rPr>
          <w:sz w:val="22"/>
        </w:rPr>
      </w:r>
    </w:p>
    <w:p>
      <w:pPr>
        <w:pStyle w:val="Normal"/>
        <w:keepNext w:val="true"/>
        <w:jc w:val="end"/>
        <w:rPr>
          <w:sz w:val="22"/>
        </w:rPr>
      </w:pPr>
      <w:r>
        <w:rPr>
          <w:sz w:val="22"/>
        </w:rPr>
        <w:t>Very truly yours</w:t>
        <w:tab/>
        <w:tab/>
        <w:tab/>
      </w:r>
    </w:p>
    <w:p>
      <w:pPr>
        <w:pStyle w:val="Normal"/>
        <w:keepNext w:val="true"/>
        <w:jc w:val="end"/>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2"/>
        </w:rPr>
      </w:pPr>
      <w:r>
        <w:rPr>
          <w:sz w:val="22"/>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February 1,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 xml:space="preserve">“Credit Support Amount” </w:t>
      </w:r>
      <w:r>
        <w:rPr>
          <w:bCs/>
          <w:sz w:val="22"/>
        </w:rPr>
        <w:t>has the meaning specified in Paragraph 3.</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1440" w:end="0"/>
        <w:jc w:val="both"/>
        <w:rPr>
          <w:sz w:val="22"/>
        </w:rPr>
      </w:pPr>
      <w:r>
        <w:rPr>
          <w:sz w:val="22"/>
        </w:rPr>
      </w:r>
    </w:p>
    <w:p>
      <w:pPr>
        <w:pStyle w:val="Normal"/>
        <w:ind w:start="720" w:end="0"/>
        <w:jc w:val="both"/>
        <w:rPr/>
      </w:pPr>
      <w:r>
        <w:rPr>
          <w:sz w:val="22"/>
        </w:rPr>
        <w:t xml:space="preserve">(iii)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sz w:val="22"/>
        </w:rPr>
        <w:t xml:space="preserve">(B)  </w:t>
      </w:r>
      <w:r>
        <w:rPr>
          <w:b/>
          <w:sz w:val="22"/>
        </w:rPr>
        <w:t>“Threshold”</w:t>
      </w:r>
      <w:r>
        <w:rPr>
          <w:sz w:val="22"/>
        </w:rPr>
        <w:t xml:space="preserve"> means with respect to Party A, zero, and with respect to Party B, zero.</w:t>
      </w:r>
    </w:p>
    <w:p>
      <w:pPr>
        <w:pStyle w:val="Normal"/>
        <w:ind w:start="72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if such event shall be continuing after the lapse of the grace period described in Section 6(b)(ii)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 if such event shall be continuing after the lapse of the grace period described in Section 6(b)(iii)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w:t>
      </w:r>
    </w:p>
    <w:p>
      <w:pPr>
        <w:pStyle w:val="Normal"/>
        <w:ind w:start="1080" w:end="0"/>
        <w:jc w:val="both"/>
        <w:rPr>
          <w:sz w:val="22"/>
        </w:rPr>
      </w:pPr>
      <w:r>
        <w:rPr>
          <w:sz w:val="22"/>
        </w:rPr>
      </w:r>
    </w:p>
    <w:p>
      <w:pPr>
        <w:pStyle w:val="BodyTextIndent"/>
        <w:numPr>
          <w:ilvl w:val="0"/>
          <w:numId w:val="5"/>
        </w:numPr>
        <w:tabs>
          <w:tab w:val="clear" w:pos="720"/>
          <w:tab w:val="left" w:pos="1080" w:leader="none"/>
          <w:tab w:val="left" w:pos="1440" w:leader="none"/>
        </w:tabs>
        <w:ind w:hanging="0" w:start="1080" w:end="0"/>
        <w:rPr/>
      </w:pPr>
      <w:r>
        <w:rPr/>
        <w:t>Posted Collateral may be held only in the following jurisdictions:  Any jurisdiction within the United States.</w:t>
      </w:r>
    </w:p>
    <w:p>
      <w:pPr>
        <w:pStyle w:val="BodyTextIndent"/>
        <w:rPr/>
      </w:pPr>
      <w:r>
        <w:rPr/>
      </w:r>
    </w:p>
    <w:p>
      <w:pPr>
        <w:pStyle w:val="BodyTextIndent"/>
        <w:numPr>
          <w:ilvl w:val="0"/>
          <w:numId w:val="5"/>
        </w:numPr>
        <w:tabs>
          <w:tab w:val="clear" w:pos="720"/>
          <w:tab w:val="left" w:pos="1080" w:leader="none"/>
        </w:tabs>
        <w:ind w:hanging="0" w:start="1080" w:end="0"/>
        <w:rPr/>
      </w:pPr>
      <w:r>
        <w:rPr/>
        <w:t xml:space="preserve"> </w:t>
      </w:r>
      <w:r>
        <w:rPr/>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rPr>
          <w:sz w:val="22"/>
        </w:rPr>
      </w:pPr>
      <w:r>
        <w:rPr>
          <w:sz w:val="22"/>
        </w:rPr>
      </w:r>
    </w:p>
    <w:p>
      <w:pPr>
        <w:pStyle w:val="Normal"/>
        <w:ind w:start="1080" w:end="0"/>
        <w:jc w:val="both"/>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720" w:end="0"/>
        <w:jc w:val="both"/>
        <w:rPr>
          <w:sz w:val="22"/>
        </w:rPr>
      </w:pPr>
      <w:r>
        <w:rPr>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the Secured Party or its Custodian are Downgraded Parties;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44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 </w:t>
      </w: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900" w:end="0"/>
        <w:jc w:val="both"/>
        <w:rPr>
          <w:sz w:val="22"/>
        </w:rPr>
      </w:pPr>
      <w:r>
        <w:rPr>
          <w:sz w:val="22"/>
        </w:rPr>
      </w:r>
    </w:p>
    <w:p>
      <w:pPr>
        <w:pStyle w:val="Normal"/>
        <w:ind w:start="900" w:end="0"/>
        <w:jc w:val="both"/>
        <w:rPr>
          <w:sz w:val="22"/>
        </w:rPr>
      </w:pPr>
      <w:r>
        <w:rPr>
          <w:sz w:val="22"/>
        </w:rPr>
        <w:t xml:space="preserve"> </w:t>
      </w: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on any date of determination, the respective ratings then assigned to an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1" w:fmt="decimal"/>
          <w:formProt w:val="false"/>
          <w:textDirection w:val="lrTb"/>
          <w:docGrid w:type="default" w:linePitch="360" w:charSpace="0"/>
        </w:sectPr>
        <w:pStyle w:val="Normal"/>
        <w:ind w:hanging="720" w:start="72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Justified"/>
        <w:widowControl/>
        <w:spacing w:lineRule="exact" w:line="48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sz w:val="22"/>
        </w:rPr>
        <w:t xml:space="preserve">This Guaranty (the “Guaranty”), dated as of February 1,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THE OSPRAIE PORTFOLIO LTD., a Cayman Islands company (“Counterparty”) and ENRON NORTH AMERICA CORP. (“Enron”), a wholly owned subsidiary of Guarantor, are contemplating entering into one or more swap, option, derivative or other transactions, which transactions will be evidenced by one or more swap agreements, confirmations and/or master agreements, including without limitation, the ISDA Master Agreement of even date herewith (the “Master Agreement”) (all such swap, option, derivative or other transactions and the agreements evidencing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and all amounts payable by Enron (without any deduction or withholding except as provided by the Contract), whether for principal, interest, fees, expenses, or otherwise (the “Obligations”) to Counterparty under the Contract.  Guarantor shall pay any and all expenses (including reasonable counsel fees and expenses) incurred by Counterparty in enforcing its rights under this Guaranty should it be determined that Guarantor is required to pay hereunder.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defined in the Master Agreement),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Local Business Days (as defined in the Master Agreement)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clearance or order of, or registration or filing with, any court or other governmental or regulatory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enforceable against it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and any obligation to which it applies or may apply under the terms hereof; (b) presentment and demand concerning the liabilities of Guarantor, except as expressly provided for in the Contract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If at any time payment under the Contract is rescinded or must be otherwise restored or returned by Counterparty upon the insolvency, bankruptcy, or reorganization of Enron or Guarantor or otherwise, Guarantor’s obligations hereunder with respect to such payment shall be reinstated upon such restoration or return being made by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Counterparty may, at any time and from time to time in respect of Obligations, without the consent of or notice to Guarantor, (i) change the manner, place, and terms of payment, (ii) exercise or refrain from exercising any rights against Enron or Guarantor, (iii) settle or compromise any Obligations, and (iv) sell, exchange, release, surrender, realize upon, or otherwise deal with in any manner or in any order any property by whomsoever pledged or mortgaged to secure Obligations.  Each failure by Enron to pay any amounts in respect of Obligations shall give rise to a separate cause of action herewith, and separate suits may be brought hereunder as each cause of action arises.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Master Agreement)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The Ospraie Portfolio Ltd.</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600 Steamboat Road</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Greenwich, Connecticut   06830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Operations</w:t>
            </w:r>
          </w:p>
          <w:p>
            <w:pPr>
              <w:pStyle w:val="Normal"/>
              <w:keepNext w:val="true"/>
              <w:keepLines/>
              <w:tabs>
                <w:tab w:val="clear" w:pos="720"/>
                <w:tab w:val="left" w:pos="3132" w:leader="none"/>
              </w:tabs>
              <w:spacing w:lineRule="atLeast" w:line="240"/>
              <w:rPr>
                <w:color w:val="000000"/>
                <w:sz w:val="22"/>
              </w:rPr>
            </w:pPr>
            <w:r>
              <w:rPr>
                <w:color w:val="000000"/>
                <w:sz w:val="22"/>
              </w:rPr>
              <w:t>Fax No.:  (203) 863-6700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By accepting this Guaranty and entering into the Contract, Counterparty agrees that Guarantor shall be subrogated to all rights of Counterparty against Enron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of its property or assets or otherwise for or on account of any payment made by Guarantor under this Guaranty, Guarantor shall immediately pay that amount received by it to Counterparty, to be credited and applied against the amount payable by Enron.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not transfer any of its rights or obligations hereunder without the prior written consent of Counterparty, and any purported transfer in violation of this provision shall be void.  The rights or obligations of Counterparty under this Guaranty with respect to the Contract or Obligations may be transferred along with the transfer by Counterparty of its rights or obligations under the Contract, to the same extent permitted by and in accordance with the Contract.  This Guaranty shall apply with the same force and effect with respect to the Contract or Obligations following the transfer by Counterparty of its rights or obligations under this Guaranty and the Contract in accordance with the terms of such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be governed by, and construed in accordance with, the law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/mnt/main-storage/datasets/enron-docs/doc/347ctr_d.doc</w:t>
    </w:r>
    <w:r>
      <w:rPr>
        <w:sz w:val="16"/>
      </w:rPr>
      <w:fldChar w:fldCharType="end"/>
    </w:r>
  </w:p>
  <w:p>
    <w:pPr>
      <w:pStyle w:val="Footer"/>
      <w:widowControl/>
      <w:jc w:val="center"/>
      <w:rPr/>
    </w:pPr>
    <w:r>
      <w:rPr>
        <w:rStyle w:val="PageNumbe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/mnt/main-storage/datasets/enron-docs/doc/347ctr_d.doc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sz w:val="16"/>
      </w:rPr>
      <w:fldChar w:fldCharType="begin"/>
    </w:r>
    <w:r>
      <w:rPr>
        <w:sz w:val="16"/>
      </w:rPr>
      <w:instrText xml:space="preserve"> FILENAME \p </w:instrText>
    </w:r>
    <w:r>
      <w:rPr>
        <w:sz w:val="16"/>
      </w:rPr>
      <w:fldChar w:fldCharType="separate"/>
    </w:r>
    <w:r>
      <w:rPr>
        <w:sz w:val="16"/>
      </w:rPr>
      <w:t>/mnt/main-storage/datasets/enron-docs/doc/347ctr_d.doc</w:t>
    </w:r>
    <w:r>
      <w:rPr>
        <w:sz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2"/>
      <w:numFmt w:val="decimal"/>
      <w:lvlText w:val="(%1)"/>
      <w:lvlJc w:val="start"/>
      <w:pPr>
        <w:tabs>
          <w:tab w:val="num" w:pos="1545"/>
        </w:tabs>
        <w:ind w:start="1545" w:hanging="46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2000-06-21T18:23:00Z</dcterms:created>
  <dc:creator>mheard</dc:creator>
  <dc:description/>
  <dc:language>en-CA</dc:language>
  <cp:lastModifiedBy>sflynn2</cp:lastModifiedBy>
  <cp:lastPrinted>2000-06-21T14:08:00Z</cp:lastPrinted>
  <dcterms:modified xsi:type="dcterms:W3CDTF">2000-06-21T18:25:00Z</dcterms:modified>
  <cp:revision>7</cp:revision>
  <dc:subject/>
  <dc:title>ISDA Multicurrency Agreement</dc:title>
</cp:coreProperties>
</file>