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05/08/00</w:t>
      </w:r>
    </w:p>
    <w:p>
      <w:pPr>
        <w:pStyle w:val="Normal"/>
        <w:jc w:val="end"/>
        <w:rPr>
          <w:b/>
          <w:sz w:val="22"/>
          <w:u w:val="single"/>
        </w:rPr>
      </w:pPr>
      <w:r>
        <w:rPr>
          <w:b/>
          <w:sz w:val="22"/>
          <w:u w:val="single"/>
        </w:rPr>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THE OSPRAIE PORTFOLIO LTD., a company incorporated under the law of the Cayman Islands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as amended will apply to Party A, and will apply to Party B.  Section 5(a)(vi) is hereby amended by deleting in the seventh line thereof, the words “, or becoming capable at such time of being declared,”.</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numPr>
          <w:ilvl w:val="0"/>
          <w:numId w:val="3"/>
        </w:numPr>
        <w:tabs>
          <w:tab w:val="clear" w:pos="720"/>
          <w:tab w:val="left" w:pos="0" w:leader="none"/>
        </w:tabs>
        <w:spacing w:lineRule="exact" w:line="240" w:before="240" w:after="0"/>
        <w:ind w:firstLine="720" w:start="0" w:end="0"/>
        <w:jc w:val="both"/>
        <w:rPr>
          <w:sz w:val="22"/>
        </w:rPr>
      </w:pPr>
      <w:r>
        <w:rPr>
          <w:sz w:val="22"/>
        </w:rPr>
        <w:t xml:space="preserve">(i)  The </w:t>
      </w:r>
      <w:r>
        <w:rPr>
          <w:b/>
          <w:sz w:val="22"/>
        </w:rPr>
        <w:t>“Credit Event Upon Merger”</w:t>
      </w:r>
      <w:r>
        <w:rPr>
          <w:sz w:val="22"/>
        </w:rPr>
        <w:t xml:space="preserve"> provisions of Section 5(b)(iv) as amended below will apply to Party A and to Party B.</w:t>
      </w:r>
    </w:p>
    <w:p>
      <w:pPr>
        <w:pStyle w:val="Justified"/>
        <w:widowControl/>
        <w:spacing w:lineRule="exact" w:line="240" w:before="240" w:after="0"/>
        <w:ind w:firstLine="1440" w:end="0"/>
        <w:rPr/>
      </w:pPr>
      <w:r>
        <w:rPr>
          <w:rFonts w:cs="Times New Roman" w:ascii="Times New Roman" w:hAnsi="Times New Roman"/>
        </w:rPr>
        <w:t>(ii) Section 5(b)(iv) is hereby amended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leveraged buy-out, other similar highly-leveraged transaction, or stock buy-back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and (III) deleting in the seventh line thereof the words “its successor or transferee” and replacing them with the words “any resulting, surviving, transferee, reorganized, reconstituted, reformed, or recapitalized”; and (IV) adding the following phrase between the closing parenthesis and the semicolon at the end thereof: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cs="Times New Roman" w:ascii="Times New Roman" w:hAnsi="Times New Roman"/>
          <w:u w:val="single"/>
        </w:rPr>
        <w:t>Annex A</w:t>
      </w:r>
      <w:r>
        <w:rPr>
          <w:rFonts w:cs="Times New Roman" w:ascii="Times New Roman" w:hAnsi="Times New Roman"/>
        </w:rPr>
        <w:t xml:space="preserve">, but it shall be otherwise administered under </w:t>
      </w:r>
      <w:r>
        <w:rPr>
          <w:rFonts w:cs="Times New Roman" w:ascii="Times New Roman" w:hAnsi="Times New Roman"/>
          <w:u w:val="single"/>
        </w:rPr>
        <w:t>Annex A</w:t>
      </w:r>
      <w:r>
        <w:rPr>
          <w:rFonts w:cs="Times New Roman" w:ascii="Times New Roman" w:hAnsi="Times New Roman"/>
        </w:rPr>
        <w:t>.”</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rPr>
      </w:pPr>
      <w:r>
        <w:rPr>
          <w:sz w:val="22"/>
        </w:rPr>
        <w:t>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480" w:after="0"/>
        <w:jc w:val="both"/>
        <w:rPr>
          <w:b/>
          <w:sz w:val="22"/>
        </w:rPr>
      </w:pPr>
      <w:r>
        <w:rPr>
          <w:sz w:val="22"/>
        </w:rPr>
        <w:t>(iii)</w:t>
        <w:tab/>
        <w:t>No direct or indirect beneficial owner of Party B is a resident of the United States for federal income tax purposes.</w:t>
      </w:r>
      <w:r>
        <w:br w:type="page"/>
      </w:r>
    </w:p>
    <w:p>
      <w:pPr>
        <w:pStyle w:val="Normal"/>
        <w:spacing w:lineRule="exact" w:line="240" w:before="240" w:after="0"/>
        <w:ind w:hanging="720" w:start="720" w:end="0"/>
        <w:jc w:val="both"/>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numPr>
          <w:ilvl w:val="0"/>
          <w:numId w:val="4"/>
        </w:numPr>
        <w:spacing w:lineRule="exact" w:line="240" w:before="240" w:after="0"/>
        <w:jc w:val="both"/>
        <w:rPr>
          <w:sz w:val="22"/>
        </w:rPr>
      </w:pPr>
      <w:r>
        <w:rPr>
          <w:sz w:val="22"/>
        </w:rPr>
        <w:t xml:space="preserve">Party A agrees to complete (accurately and in a manner reasonably satisfactory to Party B), execute, and deliver to Party B, United States Internal Revenue Service Form W-9, or any successor form: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 </w:t>
      </w:r>
    </w:p>
    <w:p>
      <w:pPr>
        <w:pStyle w:val="Normal"/>
        <w:numPr>
          <w:ilvl w:val="0"/>
          <w:numId w:val="4"/>
        </w:numPr>
        <w:spacing w:lineRule="exact" w:line="240" w:before="240" w:after="0"/>
        <w:jc w:val="both"/>
        <w:rPr>
          <w:sz w:val="22"/>
        </w:rPr>
      </w:pPr>
      <w:r>
        <w:rPr>
          <w:sz w:val="22"/>
        </w:rPr>
        <w:t>Party B agrees to complete (accurately and in a manner reasonably satisfactory to Party A), execute and deliver to Party A a United States Internal Revenue Form W-BEN,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Justified"/>
        <w:widowControl/>
        <w:spacing w:lineRule="exact" w:line="240" w:before="240" w:after="0"/>
        <w:rPr/>
      </w:pPr>
      <w:r>
        <w:rPr/>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Unaudited monthly report of Party B</w:t>
            </w:r>
          </w:p>
        </w:tc>
        <w:tc>
          <w:tcPr>
            <w:tcW w:w="2340" w:type="dxa"/>
            <w:tcBorders/>
          </w:tcPr>
          <w:p>
            <w:pPr>
              <w:pStyle w:val="Normal"/>
              <w:spacing w:lineRule="atLeast" w:line="240" w:before="240" w:after="0"/>
              <w:jc w:val="both"/>
              <w:rPr>
                <w:sz w:val="22"/>
              </w:rPr>
            </w:pPr>
            <w:r>
              <w:rPr>
                <w:sz w:val="22"/>
              </w:rPr>
              <w:t>Promptly following demand by Party A</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color w:val="808000"/>
                <w:sz w:val="22"/>
              </w:rPr>
            </w:pPr>
            <w:r>
              <w:rPr>
                <w:sz w:val="22"/>
              </w:rPr>
              <w:t xml:space="preserve">Legal opinion in form and substance </w:t>
            </w:r>
            <w:r>
              <w:rPr>
                <w:color w:val="0000FF"/>
                <w:sz w:val="22"/>
              </w:rPr>
              <w:t>of Attachment 1 hereto</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The Ospraie Portfolio Ltd.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600 Steamboat Road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Greenwich, Connecticut  06830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Operations</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(203) 863-8695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863-6700</w:t>
            </w:r>
          </w:p>
        </w:tc>
      </w:tr>
    </w:tbl>
    <w:p>
      <w:pPr>
        <w:pStyle w:val="Justified"/>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rPr>
      </w:pPr>
      <w:r>
        <w:rPr>
          <w:rFonts w:cs="Times New Roman" w:ascii="Times New Roman" w:hAnsi="Times New Roman"/>
        </w:rPr>
        <w:t>Copies of all notices or communications pursuant to Sections 5, 6 and 7 and all legal notices or communications shall also be given to:</w:t>
      </w:r>
    </w:p>
    <w:p>
      <w:pPr>
        <w:pStyle w:val="Heading2"/>
        <w:rPr>
          <w:rFonts w:ascii="Times New Roman" w:hAnsi="Times New Roman" w:cs="Times New Roman"/>
        </w:rPr>
      </w:pPr>
      <w:r>
        <w:rPr>
          <w:rFonts w:cs="Times New Roman" w:ascii="Times New Roman" w:hAnsi="Times New Roman"/>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Tudor Investment Corporation</w:t>
            </w:r>
          </w:p>
          <w:p>
            <w:pPr>
              <w:pStyle w:val="Normal"/>
              <w:keepNext w:val="true"/>
              <w:tabs>
                <w:tab w:val="clear" w:pos="720"/>
                <w:tab w:val="left" w:pos="3762" w:leader="none"/>
                <w:tab w:val="left" w:pos="4230" w:leader="none"/>
                <w:tab w:val="left" w:pos="9360" w:leader="none"/>
              </w:tabs>
              <w:spacing w:lineRule="exact" w:line="240"/>
              <w:jc w:val="both"/>
              <w:rPr/>
            </w:pPr>
            <w:r>
              <w:rPr>
                <w:sz w:val="22"/>
              </w:rPr>
              <w:t>One Liberty Plaza, 51</w:t>
            </w:r>
            <w:r>
              <w:rPr>
                <w:sz w:val="22"/>
                <w:vertAlign w:val="superscript"/>
              </w:rPr>
              <w:t>st</w:t>
            </w:r>
            <w:r>
              <w:rPr>
                <w:sz w:val="22"/>
              </w:rPr>
              <w:t xml:space="preserve"> Floor</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New York, New York  10006</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General Counsel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(212) 406-3282</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602-6704</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w:t>
      </w:r>
      <w:r>
        <w:rPr>
          <w:sz w:val="22"/>
          <w:u w:val="single"/>
        </w:rPr>
        <w:t>provided</w:t>
      </w:r>
      <w:r>
        <w:rPr>
          <w:sz w:val="22"/>
        </w:rPr>
        <w:t xml:space="preserve">, </w:t>
      </w:r>
      <w:r>
        <w:rPr>
          <w:sz w:val="22"/>
          <w:u w:val="single"/>
        </w:rPr>
        <w:t>however</w:t>
      </w:r>
      <w:r>
        <w:rPr>
          <w:sz w:val="22"/>
        </w:rPr>
        <w:t>, that all calculations and determinations made by the Calculation Agent are subject to review and concurrence by Party B.  If Party A and Party B disagree with respect to any calculation or determination, Party A and Party B each will appoint an independent Reference Market-maker, and such two Reference Market-makers jointly will appoint a third Reference Market-maker.  Such three Reference Market-makers jointly will make such calculation or determination (acting as experts and not as arbitrators), whose calculation or determination will be binding and conclusive absent manifest error.  In addition, if at any time a Potential Event of Default, Event of Default, or Termination Event occurs or exists with respect to Party A, then Party B will act as the Calculation Agent or will appoint a third party to act as Calculation Agent.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spacing w:lineRule="exact" w:line="240" w:before="240" w:after="0"/>
        <w:ind w:firstLine="720" w:start="720" w:end="0"/>
        <w:jc w:val="both"/>
        <w:rPr/>
      </w:pPr>
      <w:r>
        <w:rPr>
          <w:sz w:val="22"/>
        </w:rPr>
        <w:tab/>
        <w:t>(b)</w:t>
        <w:tab/>
      </w:r>
      <w:r>
        <w:rPr>
          <w:b/>
          <w:sz w:val="22"/>
        </w:rPr>
        <w:t>Jurisdiction.</w:t>
      </w:r>
      <w:r>
        <w:rPr>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before="240" w:after="0"/>
        <w:ind w:firstLine="1440" w:start="720" w:end="0"/>
        <w:jc w:val="both"/>
        <w:rPr>
          <w:color w:val="FF0000"/>
          <w:sz w:val="22"/>
        </w:rPr>
      </w:pPr>
      <w:r>
        <w:rPr>
          <w:sz w:val="22"/>
        </w:rPr>
        <w:t>(c)</w:t>
        <w:tab/>
      </w:r>
      <w:r>
        <w:rPr>
          <w:b/>
          <w:sz w:val="22"/>
        </w:rPr>
        <w:t>Waiver of Jury Trial.</w:t>
      </w:r>
      <w:r>
        <w:rPr>
          <w:sz w:val="22"/>
        </w:rPr>
        <w:t xml:space="preserve">  Each party irrevocably waives any and all right to trial by jury with respect to any Proceeding arising out of or relating to this Agreement, any Credit Support Document, or any Transaction. </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sz w:val="22"/>
        </w:rPr>
      </w:pPr>
      <w:r>
        <w:rPr>
          <w:sz w:val="22"/>
        </w:rPr>
        <w:t>(b)</w:t>
        <w:tab/>
      </w:r>
      <w:r>
        <w:rPr>
          <w:b/>
          <w:sz w:val="22"/>
        </w:rPr>
        <w:t>Representations.</w:t>
      </w:r>
      <w:r>
        <w:rPr>
          <w:sz w:val="22"/>
        </w:rPr>
        <w:t xml:space="preserve">  Section 3 is hereby amended by adding at the end thereof the following Subsections (g), (h), (i), (j</w:t>
      </w:r>
      <w:r>
        <w:rPr>
          <w:color w:val="000000"/>
          <w:sz w:val="22"/>
        </w:rPr>
        <w:t>) and (k):</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Indent3"/>
        <w:widowControl/>
        <w:spacing w:before="240" w:after="0"/>
        <w:rPr/>
      </w:pPr>
      <w:r>
        <w:rPr/>
        <w:t>(k)</w:t>
        <w:tab/>
      </w:r>
      <w:r>
        <w:rPr>
          <w:b/>
        </w:rPr>
        <w:t>ERISA Representation.</w:t>
      </w:r>
      <w:r>
        <w:rPr/>
        <w:t xml:space="preserve">  Party B represents to Party A that, with respect to each source of funds to be used by it to enter into Transactions (the "Source"), the Source is not the assets of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ind w:firstLine="720" w:end="0"/>
        <w:jc w:val="both"/>
        <w:rPr>
          <w:sz w:val="22"/>
        </w:rPr>
      </w:pPr>
      <w:r>
        <w:rPr>
          <w:sz w:val="22"/>
        </w:rPr>
      </w:r>
    </w:p>
    <w:p>
      <w:pPr>
        <w:pStyle w:val="Normal"/>
        <w:ind w:firstLine="720" w:end="0"/>
        <w:jc w:val="both"/>
        <w:rPr/>
      </w:pPr>
      <w:r>
        <w:rPr>
          <w:sz w:val="22"/>
        </w:rPr>
        <w:t>(c)</w:t>
        <w:tab/>
      </w:r>
      <w:r>
        <w:rPr>
          <w:b/>
          <w:sz w:val="22"/>
        </w:rPr>
        <w:t>Additional Representations of Party B.</w:t>
      </w:r>
      <w:r>
        <w:rPr>
          <w:sz w:val="22"/>
        </w:rPr>
        <w:t xml:space="preserve">  For the purpose of Section 3 of the Agreement, Party B further represents and warrants to Party A (which representations will be deemed repeated by Party B on each date on which a Transaction is entered into) that:</w:t>
      </w:r>
    </w:p>
    <w:p>
      <w:pPr>
        <w:pStyle w:val="Normal"/>
        <w:ind w:firstLine="720" w:end="0"/>
        <w:rPr>
          <w:sz w:val="22"/>
        </w:rPr>
      </w:pPr>
      <w:r>
        <w:rPr>
          <w:sz w:val="22"/>
        </w:rPr>
      </w:r>
    </w:p>
    <w:p>
      <w:pPr>
        <w:pStyle w:val="BodyText2"/>
        <w:widowControl/>
        <w:spacing w:lineRule="auto" w:line="240"/>
        <w:ind w:end="720"/>
        <w:rPr/>
      </w:pPr>
      <w:r>
        <w:rPr/>
        <w:t>This Agreement and each Transaction hereunder are not prohibited investments under Party B’s Confidential Offering Memorandum.</w:t>
      </w:r>
    </w:p>
    <w:p>
      <w:pPr>
        <w:pStyle w:val="Normal"/>
        <w:spacing w:lineRule="exact" w:line="240" w:before="240" w:after="0"/>
        <w:ind w:firstLine="720" w:end="0"/>
        <w:jc w:val="both"/>
        <w:rPr/>
      </w:pPr>
      <w:r>
        <w:rPr>
          <w:sz w:val="22"/>
        </w:rPr>
        <w:t>(d)</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(e)</w:t>
        <w:tab/>
      </w:r>
      <w:r>
        <w:rPr>
          <w:b/>
          <w:sz w:val="22"/>
        </w:rPr>
        <w:t>Definitions and Addenda.</w:t>
      </w:r>
      <w:r>
        <w:rPr>
          <w:sz w:val="22"/>
        </w:rPr>
        <w:t xml:space="preserve">  Reference is made to the 1991 ISDA Definitions (as amended by the 1998 ISDA Supplement) (collectively, the “1991 Definitions”), the 1998 FX and Currency Option Definitions (the “FX Definitions”), the 1996 ISDA Equity Derivatives Definitions (the “Equity Definitions”), the 1993 ISDA Commodity Derivatives Definitions and the 2000 Supplement to the 1993 ISDA Commodity Derivatives Defintions (the “Commodity Definitions”), and the 1999 ISDA Credit Derivatives Definitions (the “Credit Definitions”), each as published by the International Swaps and Derivatives Association, Inc., which are incorporated by reference herein and made part hereof.  Unless specified otherwise in a Confirmation, any capitalized terms used and not otherwise defined in this Agreement or in such Confirmation that are contained in the 1991 Definitions, the FX Definitions, the Equity Definitions, the Commodity Definitions, or the Credit Definitions will have the meanings given such terms in such Definitions (without regard to any amendments or supplements thereto subsequent to the date hereof).  For these purposes, (i) all references in the 1991 Definitions to a “Swap Transaction” and all references in the FX Definitions to an “FX Transaction” or “Currency Option” will be deemed to be references to Transactions under this Agreement, and (ii) all references in the 1991 Definitions to a “Business Day” will be deemed to be references to a Local Business Day under this Agreement.  Subject to Section 1(b):  (I) in the event of any inconsistency between the 1991 Definitions and the FX Definitions, the FX Definitions will prevail with respect to an FX Transaction or a Currency Option, and the 1991 Definitions will prevail with respect to all other Transactions; (II) in the event of any inconsistency between the provisions of this Agreement and the 1991 Definitions, the FX Definitions, the Equity Definitions, the Commodity Definitions, or the Credit Definitions, the provisions of this Agreement will prevail; and (III) any definitions included or incorporated by reference in a Confirmation will prevail over the provisions of this Agreement, the 1991 Definitions, the FX Definitions, the Equity Definitions, the Commodity Definitions, and the Credit Definitions.</w:t>
      </w:r>
    </w:p>
    <w:p>
      <w:pPr>
        <w:pStyle w:val="Normal"/>
        <w:spacing w:lineRule="exact" w:line="240" w:before="240" w:after="0"/>
        <w:ind w:firstLine="720" w:end="0"/>
        <w:jc w:val="both"/>
        <w:rPr/>
      </w:pPr>
      <w:r>
        <w:rPr>
          <w:sz w:val="22"/>
        </w:rPr>
        <w:t>(f)</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within five Local Business Days.  If any dispute shall arise as to whether an error exists in a Confirmation, the parties shall in good faith make reasonable efforts to resolve the dispute.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(g)</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(h)</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and to each of such person’s auditors, attorneys, advisors or lenders which are required to keep the information that is disclosed in confidence; or (v) as the parties may otherwise agree in writing.</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Upon notice in writing to Party B,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 and the proposed transfer would not adversely effect the nontransferring party’s netting or setoff rights thereunder or under applicable law.</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Upon notice in writing to Party A, Party B may transfer its rights and obligations under this Agreement, in whole but not in part, to any Affiliate so long as the obligations of such Affiliate are guaranteed by Party B pursuant to a guaranty or credit support satisfactory to Party A.”</w:t>
      </w:r>
    </w:p>
    <w:p>
      <w:pPr>
        <w:pStyle w:val="Normal"/>
        <w:spacing w:lineRule="exact" w:line="240" w:before="240" w:after="0"/>
        <w:ind w:firstLine="720" w:end="0"/>
        <w:jc w:val="both"/>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(n)</w:t>
        <w:tab/>
      </w:r>
      <w:r>
        <w:rPr>
          <w:b/>
          <w:sz w:val="22"/>
        </w:rPr>
        <w:t>Additional Definitions.</w:t>
      </w:r>
      <w:r>
        <w:rPr>
          <w:sz w:val="22"/>
        </w:rPr>
        <w:t xml:space="preserve">  Section 14 is hereby amended by inserting the following definition in alphabetical order:</w:t>
      </w:r>
    </w:p>
    <w:p>
      <w:pPr>
        <w:pStyle w:val="Normal"/>
        <w:spacing w:lineRule="exact" w:line="240"/>
        <w:ind w:firstLine="720" w:end="0"/>
        <w:jc w:val="both"/>
        <w:rPr>
          <w:b/>
          <w:sz w:val="22"/>
        </w:rPr>
      </w:pPr>
      <w:r>
        <w:rPr>
          <w:b/>
          <w:sz w:val="22"/>
        </w:rPr>
      </w:r>
    </w:p>
    <w:p>
      <w:pPr>
        <w:pStyle w:val="Normal"/>
        <w:spacing w:lineRule="exact" w:line="240"/>
        <w:ind w:start="720" w:end="0"/>
        <w:jc w:val="both"/>
        <w:rPr/>
      </w:pPr>
      <w:r>
        <w:rPr>
          <w:b/>
          <w:sz w:val="22"/>
        </w:rPr>
        <w:t>“</w:t>
      </w:r>
      <w:r>
        <w:rPr>
          <w:b/>
          <w:sz w:val="22"/>
        </w:rPr>
        <w:t>Confidential Offering Memorandum”</w:t>
      </w:r>
      <w:r>
        <w:rPr>
          <w:sz w:val="22"/>
        </w:rPr>
        <w:t xml:space="preserve"> means Party B’s investment objectives, restrictions and guidelines as set forth in Party B’s Confidential Offering Memorandum which incorporates the use of derivative products, including swaps, options and other Transactions.</w:t>
      </w:r>
    </w:p>
    <w:p>
      <w:pPr>
        <w:pStyle w:val="Normal"/>
        <w:spacing w:lineRule="exact" w:line="240"/>
        <w:ind w:start="720" w:end="0"/>
        <w:jc w:val="both"/>
        <w:rPr>
          <w:b/>
          <w:sz w:val="22"/>
        </w:rPr>
      </w:pPr>
      <w:r>
        <w:rPr>
          <w:b/>
          <w:sz w:val="22"/>
        </w:rPr>
      </w:r>
    </w:p>
    <w:p>
      <w:pPr>
        <w:pStyle w:val="Normal"/>
        <w:spacing w:lineRule="exact" w:line="240"/>
        <w:ind w:firstLine="720" w:end="0"/>
        <w:jc w:val="both"/>
        <w:rPr/>
      </w:pPr>
      <w:r>
        <w:rPr>
          <w:sz w:val="22"/>
        </w:rPr>
        <w:t>(o)</w:t>
        <w:tab/>
      </w:r>
      <w:r>
        <w:rPr>
          <w:b/>
          <w:sz w:val="22"/>
        </w:rPr>
        <w:t>Accuracy of Specified Information.</w:t>
      </w:r>
      <w:r>
        <w:rPr>
          <w:sz w:val="22"/>
        </w:rPr>
        <w:t xml:space="preserve">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spacing w:lineRule="exact" w:line="240"/>
        <w:ind w:firstLine="720" w:end="0"/>
        <w:jc w:val="both"/>
        <w:rPr>
          <w:b/>
          <w:sz w:val="22"/>
        </w:rPr>
      </w:pPr>
      <w:r>
        <w:rPr>
          <w:b/>
          <w:sz w:val="22"/>
        </w:rPr>
      </w:r>
    </w:p>
    <w:p>
      <w:pPr>
        <w:pStyle w:val="Normal"/>
        <w:spacing w:lineRule="exact" w:line="240"/>
        <w:ind w:firstLine="720" w:end="0"/>
        <w:jc w:val="both"/>
        <w:rPr/>
      </w:pPr>
      <w:r>
        <w:rPr>
          <w:sz w:val="22"/>
        </w:rPr>
        <w:t>(p)</w:t>
        <w:tab/>
      </w:r>
      <w:r>
        <w:rPr>
          <w:b/>
          <w:sz w:val="22"/>
        </w:rPr>
        <w:t>“Affiliate”.</w:t>
      </w:r>
      <w:r>
        <w:rPr>
          <w:sz w:val="22"/>
        </w:rPr>
        <w:t xml:space="preserve">  Notwithstanding any inconsistent or contrary provision of this Agreement, the Credit Support Annex, or any Confirmation, Party B will be deemed not to have any Affiliates.</w:t>
      </w:r>
    </w:p>
    <w:p>
      <w:pPr>
        <w:pStyle w:val="Normal"/>
        <w:spacing w:lineRule="exact" w:line="240"/>
        <w:ind w:firstLine="720" w:end="0"/>
        <w:jc w:val="both"/>
        <w:rPr>
          <w:sz w:val="22"/>
        </w:rPr>
      </w:pPr>
      <w:r>
        <w:rPr>
          <w:sz w:val="22"/>
        </w:rPr>
      </w:r>
    </w:p>
    <w:p>
      <w:pPr>
        <w:pStyle w:val="Normal"/>
        <w:tabs>
          <w:tab w:val="left" w:pos="720" w:leader="none"/>
          <w:tab w:val="left" w:pos="1440" w:leader="none"/>
        </w:tabs>
        <w:jc w:val="both"/>
        <w:rPr/>
      </w:pPr>
      <w:r>
        <w:rPr>
          <w:sz w:val="22"/>
        </w:rPr>
        <w:tab/>
        <w:t>(q)</w:t>
        <w:tab/>
      </w:r>
      <w:r>
        <w:rPr>
          <w:b/>
          <w:bCs/>
          <w:sz w:val="22"/>
        </w:rPr>
        <w:t>Entire Agreement.</w:t>
      </w:r>
      <w:r>
        <w:rPr>
          <w:sz w:val="22"/>
        </w:rPr>
        <w:t xml:space="preserve">  Section 9(a) is deleted in its entirety and replaced with the following:</w:t>
      </w:r>
    </w:p>
    <w:p>
      <w:pPr>
        <w:pStyle w:val="Normal"/>
        <w:jc w:val="both"/>
        <w:rPr>
          <w:sz w:val="22"/>
        </w:rPr>
      </w:pPr>
      <w:r>
        <w:rPr>
          <w:sz w:val="22"/>
        </w:rPr>
      </w:r>
      <w:r>
        <w:br w:type="page"/>
      </w:r>
    </w:p>
    <w:p>
      <w:pPr>
        <w:pStyle w:val="Normal"/>
        <w:ind w:start="720" w:end="0"/>
        <w:jc w:val="both"/>
        <w:rPr>
          <w:sz w:val="22"/>
        </w:rPr>
      </w:pPr>
      <w:r>
        <w:rPr>
          <w:b/>
          <w:bCs/>
          <w:sz w:val="22"/>
        </w:rPr>
        <w:t>“</w:t>
      </w:r>
      <w:r>
        <w:rPr>
          <w:b/>
          <w:bCs/>
          <w:sz w:val="22"/>
        </w:rPr>
        <w:t>Other Agreements; Integration.</w:t>
      </w:r>
    </w:p>
    <w:p>
      <w:pPr>
        <w:pStyle w:val="Normal"/>
        <w:ind w:start="720" w:end="0"/>
        <w:jc w:val="both"/>
        <w:rPr>
          <w:sz w:val="22"/>
        </w:rPr>
      </w:pPr>
      <w:r>
        <w:rPr>
          <w:sz w:val="22"/>
        </w:rPr>
      </w:r>
    </w:p>
    <w:p>
      <w:pPr>
        <w:pStyle w:val="BodyTextIndent"/>
        <w:numPr>
          <w:ilvl w:val="1"/>
          <w:numId w:val="2"/>
        </w:numPr>
        <w:tabs>
          <w:tab w:val="clear" w:pos="720"/>
        </w:tabs>
        <w:ind w:hanging="720" w:start="1440" w:end="0"/>
        <w:rPr/>
      </w:pPr>
      <w:r>
        <w:rPr/>
        <w:t>Notwithstanding any inconsistent or contrary provision of this Agreement, the following will be applicable.  Any existing Master Agreement, Interest Rate and Currency Exchange Agreement, Interest Rate Swap Agreement, Swap Agreement, International Foreign Exchange Master Agreement, International Foreign Exchange and Options Master Agreement, International Currency Options Market Master Agreement, and other agreements similar to any of the foregoing (including confirmations and other confirming evidences thereunder or pursuant thereto) into which the parties have entered are superseded and replaced by this Agreement.  Any transaction into which the parties may enter and in respect of which the confirmation or other confirming evidence refers to or incorporates any of the above</w:t>
        <w:noBreakHyphen/>
        <w:t>referenced agreements will be governed by this Agreement in all circumstances except where the parties expressly agree that this provision will not apply.  Each such transaction will be deemed to be a Transaction, and each such confirmation or other confirming evidence will be deemed to be a Confirmation, for purposes of this Agreement.</w:t>
      </w:r>
    </w:p>
    <w:p>
      <w:pPr>
        <w:pStyle w:val="BodyTextIndent"/>
        <w:rPr/>
      </w:pPr>
      <w:r>
        <w:rPr/>
      </w:r>
    </w:p>
    <w:p>
      <w:pPr>
        <w:pStyle w:val="BodyTextIndent"/>
        <w:numPr>
          <w:ilvl w:val="1"/>
          <w:numId w:val="2"/>
        </w:numPr>
        <w:tabs>
          <w:tab w:val="clear" w:pos="720"/>
        </w:tabs>
        <w:ind w:hanging="720" w:start="1440" w:end="0"/>
        <w:rPr/>
      </w:pPr>
      <w:r>
        <w:rPr/>
        <w:t>This Agreement, this Schedule, any Credit Support Document, all Confirmations, and the above</w:t>
        <w:noBreakHyphen/>
        <w:t>described agreements and confirmations and other confirming evidences thereunder or pursuant thereto collectively constitute the entire agreement and understanding of the parties with respect to the subject matter hereof and thereof, and supersede all oral communications and prior writings with respect hereto and thereto.</w:t>
      </w:r>
    </w:p>
    <w:p>
      <w:pPr>
        <w:pStyle w:val="BodyTextIndent"/>
        <w:ind w:start="0" w:end="0"/>
        <w:rPr/>
      </w:pPr>
      <w:r>
        <w:rPr/>
      </w:r>
    </w:p>
    <w:p>
      <w:pPr>
        <w:pStyle w:val="BodyTextIndent"/>
        <w:tabs>
          <w:tab w:val="clear" w:pos="720"/>
          <w:tab w:val="left" w:pos="1440" w:leader="none"/>
        </w:tabs>
        <w:ind w:hanging="720" w:start="1440" w:end="0"/>
        <w:rPr/>
      </w:pPr>
      <w:r>
        <w:rPr/>
        <w:t>(iii)</w:t>
        <w:tab/>
        <w:t>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and the 2000 Supplement to the 1993 ISDA Commodity Derivatives Defintions,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pPr>
      <w:r>
        <w:rPr>
          <w:sz w:val="22"/>
        </w:rPr>
        <w:tab/>
        <w:t>(iv)</w:t>
        <w:tab/>
        <w:t xml:space="preserve">The Relevant Price will be determined and calculated as set forth in the definition of “Commodity-Reference Dealers”. Notwithstanding any reference to the number of Specified Prices in such definition, Party A and Party B shall each obtain in good faith a quotation from a leading dealer in the relevant market and the price for that Pricing Date will be the arithmetic mean of the Specified Prices; </w:t>
      </w:r>
      <w:r>
        <w:rPr>
          <w:sz w:val="22"/>
          <w:u w:val="single"/>
        </w:rPr>
        <w:t>provided</w:t>
      </w:r>
      <w:r>
        <w:rPr>
          <w:sz w:val="22"/>
        </w:rPr>
        <w:t>, that if Party B is unable to obtain a quotation or fails to designate a Reference Dealer within three Local Business Days after Party A’s request, than Party A shall in good faith, provide a substitute quotation from a leading dealer.</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 xml:space="preserve">Amendments to ISDA FX Definitions.  </w:t>
      </w: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THE OSPRAIE PORTFOLIO LTD.</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sz w:val="22"/>
              </w:rPr>
            </w:pPr>
            <w:r>
              <w:rPr>
                <w:sz w:val="22"/>
              </w:rPr>
              <w:t>By:</w:t>
              <w:tab/>
              <w:t>Tudor Investment Corporation,</w:t>
            </w:r>
          </w:p>
          <w:p>
            <w:pPr>
              <w:pStyle w:val="Normal"/>
              <w:keepNext w:val="true"/>
              <w:spacing w:lineRule="exact" w:line="240"/>
              <w:jc w:val="both"/>
              <w:rPr>
                <w:sz w:val="22"/>
              </w:rPr>
            </w:pPr>
            <w:r>
              <w:rPr>
                <w:sz w:val="22"/>
              </w:rPr>
              <w:tab/>
              <w:t>Investment Advisor</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ab/>
              <w:t>By:</w:t>
            </w:r>
            <w:r>
              <w:rPr>
                <w:sz w:val="22"/>
                <w:u w:val="single"/>
              </w:rPr>
              <w:tab/>
              <w:tab/>
              <w:tab/>
              <w:tab/>
              <w:tab/>
            </w:r>
          </w:p>
          <w:p>
            <w:pPr>
              <w:pStyle w:val="Normal"/>
              <w:keepNext w:val="true"/>
              <w:spacing w:lineRule="exact" w:line="240"/>
              <w:jc w:val="both"/>
              <w:rPr>
                <w:sz w:val="22"/>
              </w:rPr>
            </w:pPr>
            <w:r>
              <w:rPr>
                <w:sz w:val="22"/>
              </w:rPr>
              <w:tab/>
              <w:t>Name:</w:t>
            </w:r>
            <w:r>
              <w:rPr>
                <w:sz w:val="22"/>
                <w:u w:val="single"/>
              </w:rPr>
              <w:tab/>
              <w:tab/>
              <w:tab/>
              <w:tab/>
              <w:tab/>
            </w:r>
          </w:p>
          <w:p>
            <w:pPr>
              <w:pStyle w:val="Normal"/>
              <w:keepNext w:val="true"/>
              <w:spacing w:lineRule="exact" w:line="240"/>
              <w:jc w:val="both"/>
              <w:rPr/>
            </w:pPr>
            <w:r>
              <w:rPr>
                <w:sz w:val="22"/>
              </w:rPr>
              <w:tab/>
              <w:t>Title:</w:t>
            </w:r>
            <w:r>
              <w:rPr>
                <w:sz w:val="22"/>
                <w:u w:val="single"/>
              </w:rPr>
              <w:tab/>
              <w:tab/>
              <w:tab/>
              <w:tab/>
              <w:tab/>
            </w:r>
          </w:p>
          <w:p>
            <w:pPr>
              <w:pStyle w:val="Normal"/>
              <w:keepNext w:val="true"/>
              <w:spacing w:lineRule="exact" w:line="240"/>
              <w:jc w:val="both"/>
              <w:rPr>
                <w:sz w:val="22"/>
              </w:rPr>
            </w:pPr>
            <w:r>
              <w:rPr>
                <w:sz w:val="22"/>
              </w:rPr>
              <w:tab/>
              <w:t>Date:</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sz w:val="22"/>
        </w:rPr>
      </w:pPr>
      <w:r>
        <w:rPr>
          <w:color w:val="0000FF"/>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Heading1"/>
        <w:ind w:hanging="0" w:start="0"/>
        <w:rPr/>
      </w:pPr>
      <w:r>
        <w:rPr/>
        <w:t>LEGAL OPINION</w:t>
      </w:r>
    </w:p>
    <w:p>
      <w:pPr>
        <w:pStyle w:val="Normal"/>
        <w:rPr>
          <w:color w:val="0000FF"/>
          <w:sz w:val="22"/>
        </w:rPr>
      </w:pPr>
      <w:r>
        <w:rPr>
          <w:color w:val="0000FF"/>
          <w:sz w:val="22"/>
        </w:rPr>
      </w:r>
    </w:p>
    <w:p>
      <w:pPr>
        <w:pStyle w:val="Normal"/>
        <w:jc w:val="center"/>
        <w:rPr>
          <w:color w:val="0000FF"/>
          <w:sz w:val="22"/>
        </w:rPr>
      </w:pPr>
      <w:r>
        <w:rPr>
          <w:color w:val="0000FF"/>
          <w:sz w:val="22"/>
        </w:rPr>
        <w:t>[Letterhead of</w:t>
      </w:r>
    </w:p>
    <w:p>
      <w:pPr>
        <w:pStyle w:val="Normal"/>
        <w:jc w:val="center"/>
        <w:rPr>
          <w:color w:val="0000FF"/>
          <w:sz w:val="22"/>
        </w:rPr>
      </w:pPr>
      <w:r>
        <w:rPr>
          <w:color w:val="0000FF"/>
          <w:sz w:val="22"/>
        </w:rPr>
        <w:t>Counsel to Counterparty]</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jc w:val="center"/>
        <w:rPr>
          <w:color w:val="0000FF"/>
          <w:sz w:val="22"/>
        </w:rPr>
      </w:pPr>
      <w:r>
        <w:rPr>
          <w:color w:val="0000FF"/>
          <w:sz w:val="22"/>
        </w:rPr>
        <w:t>[Date]</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rPr>
          <w:color w:val="0000FF"/>
          <w:sz w:val="22"/>
        </w:rPr>
      </w:pPr>
      <w:r>
        <w:rPr>
          <w:color w:val="0000FF"/>
          <w:sz w:val="22"/>
        </w:rPr>
        <w:t>Enron North America Corp.</w:t>
      </w:r>
    </w:p>
    <w:p>
      <w:pPr>
        <w:pStyle w:val="Normal"/>
        <w:rPr>
          <w:color w:val="0000FF"/>
          <w:sz w:val="22"/>
        </w:rPr>
      </w:pPr>
      <w:r>
        <w:rPr>
          <w:color w:val="0000FF"/>
          <w:sz w:val="22"/>
        </w:rPr>
        <w:t>1400 Smith Street</w:t>
      </w:r>
    </w:p>
    <w:p>
      <w:pPr>
        <w:pStyle w:val="Normal"/>
        <w:rPr>
          <w:color w:val="0000FF"/>
          <w:sz w:val="22"/>
        </w:rPr>
      </w:pPr>
      <w:r>
        <w:rPr>
          <w:color w:val="0000FF"/>
          <w:sz w:val="22"/>
        </w:rPr>
        <w:t>Houston, Texas  77002</w:t>
      </w:r>
    </w:p>
    <w:p>
      <w:pPr>
        <w:pStyle w:val="Normal"/>
        <w:rPr>
          <w:color w:val="0000FF"/>
          <w:sz w:val="22"/>
        </w:rPr>
      </w:pPr>
      <w:r>
        <w:rPr>
          <w:color w:val="0000FF"/>
          <w:sz w:val="22"/>
        </w:rPr>
      </w:r>
    </w:p>
    <w:p>
      <w:pPr>
        <w:pStyle w:val="Normal"/>
        <w:rPr>
          <w:color w:val="0000FF"/>
          <w:sz w:val="22"/>
        </w:rPr>
      </w:pPr>
      <w:r>
        <w:rPr>
          <w:color w:val="0000FF"/>
          <w:sz w:val="22"/>
        </w:rPr>
        <w:t>Dear Sir or Madam:</w:t>
      </w:r>
    </w:p>
    <w:p>
      <w:pPr>
        <w:pStyle w:val="Normal"/>
        <w:rPr>
          <w:color w:val="0000FF"/>
          <w:sz w:val="22"/>
        </w:rPr>
      </w:pPr>
      <w:r>
        <w:rPr>
          <w:color w:val="0000FF"/>
          <w:sz w:val="22"/>
        </w:rPr>
      </w:r>
    </w:p>
    <w:p>
      <w:pPr>
        <w:pStyle w:val="Normal"/>
        <w:ind w:firstLine="1440" w:end="0"/>
        <w:jc w:val="both"/>
        <w:rPr>
          <w:color w:val="0000FF"/>
          <w:sz w:val="22"/>
        </w:rPr>
      </w:pPr>
      <w:r>
        <w:rPr>
          <w:color w:val="0000FF"/>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color w:val="0000FF"/>
          <w:sz w:val="22"/>
        </w:rPr>
      </w:pPr>
      <w:r>
        <w:rPr>
          <w:color w:val="0000FF"/>
          <w:sz w:val="22"/>
        </w:rPr>
      </w:r>
    </w:p>
    <w:p>
      <w:pPr>
        <w:pStyle w:val="Normal"/>
        <w:jc w:val="both"/>
        <w:rPr>
          <w:color w:val="0000FF"/>
          <w:sz w:val="22"/>
        </w:rPr>
      </w:pPr>
      <w:r>
        <w:rPr>
          <w:color w:val="0000FF"/>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color w:val="0000FF"/>
          <w:sz w:val="22"/>
        </w:rPr>
      </w:pPr>
      <w:r>
        <w:rPr>
          <w:color w:val="0000FF"/>
          <w:sz w:val="22"/>
        </w:rPr>
      </w:r>
    </w:p>
    <w:p>
      <w:pPr>
        <w:pStyle w:val="Normal"/>
        <w:jc w:val="both"/>
        <w:rPr>
          <w:color w:val="0000FF"/>
          <w:sz w:val="22"/>
        </w:rPr>
      </w:pPr>
      <w:r>
        <w:rPr>
          <w:color w:val="0000FF"/>
          <w:sz w:val="22"/>
        </w:rPr>
        <w:tab/>
        <w:tab/>
        <w:t>Based upon the foregoing and having regard for such legal considerations as we deem relevant, we are of opinion that:</w:t>
      </w:r>
    </w:p>
    <w:p>
      <w:pPr>
        <w:pStyle w:val="Normal"/>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1.  The Counterparty is a [__________________] duly existing under the laws of [________________].</w:t>
      </w:r>
    </w:p>
    <w:p>
      <w:pPr>
        <w:pStyle w:val="Normal"/>
        <w:tabs>
          <w:tab w:val="clear" w:pos="720"/>
          <w:tab w:val="left" w:pos="1440" w:leader="none"/>
        </w:tabs>
        <w:jc w:val="both"/>
        <w:rPr>
          <w:color w:val="0000FF"/>
          <w:sz w:val="22"/>
        </w:rPr>
      </w:pPr>
      <w:r>
        <w:rPr>
          <w:color w:val="0000FF"/>
          <w:sz w:val="22"/>
        </w:rPr>
      </w:r>
    </w:p>
    <w:p>
      <w:pPr>
        <w:pStyle w:val="Justified"/>
        <w:widowControl/>
        <w:tabs>
          <w:tab w:val="clear" w:pos="720"/>
          <w:tab w:val="left" w:pos="1440" w:leader="none"/>
        </w:tabs>
        <w:spacing w:before="0" w:after="0"/>
        <w:rPr>
          <w:rFonts w:ascii="Times New Roman" w:hAnsi="Times New Roman" w:cs="Times New Roman"/>
          <w:color w:val="0000FF"/>
        </w:rPr>
      </w:pPr>
      <w:r>
        <w:rPr>
          <w:rFonts w:cs="Times New Roman" w:ascii="Times New Roman" w:hAnsi="Times New Roman"/>
          <w:color w:val="0000FF"/>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color w:val="0000FF"/>
          <w:sz w:val="22"/>
        </w:rPr>
      </w:pPr>
      <w:r>
        <w:rPr>
          <w:rFonts w:cs="Times New Roman"/>
          <w:color w:val="0000FF"/>
          <w:sz w:val="22"/>
        </w:rPr>
      </w:r>
    </w:p>
    <w:p>
      <w:pPr>
        <w:pStyle w:val="Normal"/>
        <w:tabs>
          <w:tab w:val="clear" w:pos="720"/>
          <w:tab w:val="left" w:pos="1440" w:leader="none"/>
        </w:tabs>
        <w:jc w:val="both"/>
        <w:rPr>
          <w:color w:val="0000FF"/>
          <w:sz w:val="22"/>
        </w:rPr>
      </w:pPr>
      <w:r>
        <w:rPr>
          <w:color w:val="0000FF"/>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rPr>
          <w:color w:val="0000FF"/>
          <w:sz w:val="22"/>
        </w:rPr>
      </w:pPr>
      <w:r>
        <w:rPr>
          <w:color w:val="0000FF"/>
          <w:sz w:val="22"/>
        </w:rPr>
      </w:r>
    </w:p>
    <w:p>
      <w:pPr>
        <w:pStyle w:val="Normal"/>
        <w:keepNext w:val="true"/>
        <w:jc w:val="end"/>
        <w:rPr>
          <w:color w:val="0000FF"/>
          <w:sz w:val="22"/>
        </w:rPr>
      </w:pPr>
      <w:r>
        <w:rPr>
          <w:color w:val="0000FF"/>
          <w:sz w:val="22"/>
        </w:rPr>
        <w:t>Very truly yours</w:t>
        <w:tab/>
        <w:tab/>
        <w:tab/>
      </w:r>
    </w:p>
    <w:p>
      <w:pPr>
        <w:pStyle w:val="Normal"/>
        <w:keepNext w:val="true"/>
        <w:jc w:val="end"/>
        <w:rPr>
          <w:color w:val="0000FF"/>
          <w:sz w:val="22"/>
        </w:rPr>
      </w:pPr>
      <w:r>
        <w:rPr>
          <w:color w:val="0000FF"/>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color w:val="0000FF"/>
          <w:sz w:val="22"/>
        </w:rPr>
      </w:pPr>
      <w:r>
        <w:rPr>
          <w:color w:val="0000FF"/>
          <w:sz w:val="22"/>
        </w:rPr>
      </w:r>
    </w:p>
    <w:p>
      <w:pPr>
        <w:pStyle w:val="Normal"/>
        <w:jc w:val="center"/>
        <w:rPr>
          <w:b/>
          <w:color w:val="0000FF"/>
          <w:sz w:val="22"/>
          <w:u w:val="single"/>
        </w:rPr>
      </w:pPr>
      <w:r>
        <w:rPr>
          <w:b/>
          <w:color w:val="0000FF"/>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THE OSPRAIE PORTFOLIO LTD., a company incorporated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 xml:space="preserve">“Credit Support Amount” </w:t>
      </w:r>
      <w:r>
        <w:rPr>
          <w:bCs/>
          <w:sz w:val="22"/>
        </w:rPr>
        <w:t>has the meaning specified in Paragraph 3.</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  ]</w:t>
            </w:r>
          </w:p>
        </w:tc>
        <w:tc>
          <w:tcPr>
            <w:tcW w:w="1644" w:type="dxa"/>
            <w:tcBorders/>
          </w:tcPr>
          <w:p>
            <w:pPr>
              <w:pStyle w:val="Normal"/>
              <w:keepNext w:val="true"/>
              <w:keepLines/>
              <w:jc w:val="center"/>
              <w:rPr>
                <w:sz w:val="22"/>
              </w:rPr>
            </w:pPr>
            <w:r>
              <w:rPr>
                <w:sz w:val="22"/>
              </w:rPr>
              <w:t>[  ]</w:t>
            </w:r>
          </w:p>
        </w:tc>
        <w:tc>
          <w:tcPr>
            <w:tcW w:w="3757" w:type="dxa"/>
            <w:tcBorders/>
          </w:tcPr>
          <w:p>
            <w:pPr>
              <w:pStyle w:val="Normal"/>
              <w:keepNext w:val="true"/>
              <w:keepLines/>
              <w:jc w:val="both"/>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zero, and with respect to Party B, zero.</w:t>
      </w:r>
    </w:p>
    <w:p>
      <w:pPr>
        <w:pStyle w:val="Normal"/>
        <w:ind w:start="72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 </w:t>
      </w:r>
      <w:r>
        <w:rPr>
          <w:sz w:val="22"/>
        </w:rPr>
        <w:t xml:space="preserve">and the Return Amount will be rounded down to the nearest integral multiple of U.S. </w:t>
      </w:r>
      <w:r>
        <w:rPr>
          <w:color w:val="000000"/>
          <w:sz w:val="22"/>
        </w:rPr>
        <w:t>$10,000.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if such event shall be continuing after the lapse of the grace period described in Section 6(b)(ii)/(iii)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 if such event shall be continuing after the lapse of the grace period described in Section 6(b)(ii)/(iii)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Normal"/>
        <w:ind w:start="720" w:end="0"/>
        <w:jc w:val="both"/>
        <w:rPr>
          <w:color w:val="FF0000"/>
          <w:sz w:val="22"/>
        </w:rPr>
      </w:pPr>
      <w:r>
        <w:rPr>
          <w:color w:val="FF0000"/>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Justified"/>
        <w:widowControl/>
        <w:spacing w:lineRule="exact" w:line="48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THE OSPRAIE PORTFOLIO LTD., a Cayman Islands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The Ospraie Portfolio Ltd.</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IN WITNESS WHEREOF, the Guarantor has executed this Guaranty on __</w:t>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/mnt/main-storage/datasets/enron-docs/doc/347ctr_a.doc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/mnt/main-storage/datasets/enron-docs/doc/347ctr_a.doc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/mnt/main-storage/datasets/enron-docs/doc/347ctr_a.doc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sz w:val="16"/>
      </w:rPr>
      <w:fldChar w:fldCharType="begin"/>
    </w:r>
    <w:r>
      <w:rPr>
        <w:sz w:val="16"/>
      </w:rPr>
      <w:instrText xml:space="preserve"> FILENAME \p </w:instrText>
    </w:r>
    <w:r>
      <w:rPr>
        <w:sz w:val="16"/>
      </w:rPr>
      <w:fldChar w:fldCharType="separate"/>
    </w:r>
    <w:r>
      <w:rPr>
        <w:sz w:val="16"/>
      </w:rPr>
      <w:t>/mnt/main-storage/datasets/enron-docs/doc/347ctr_a.doc</w:t>
    </w:r>
    <w:r>
      <w:rPr>
        <w:sz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lowerLetter"/>
      <w:lvlText w:val="(%1)"/>
      <w:lvlJc w:val="start"/>
      <w:pPr>
        <w:tabs>
          <w:tab w:val="num" w:pos="1080"/>
        </w:tabs>
        <w:ind w:start="1080" w:hanging="72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3"/>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2000-04-24T11:01:00Z</dcterms:created>
  <dc:creator>mheard</dc:creator>
  <dc:description/>
  <dc:language>en-CA</dc:language>
  <cp:lastModifiedBy>sflynn2</cp:lastModifiedBy>
  <cp:lastPrinted>2000-05-08T14:54:00Z</cp:lastPrinted>
  <dcterms:modified xsi:type="dcterms:W3CDTF">2000-05-08T17:27:00Z</dcterms:modified>
  <cp:revision>12</cp:revision>
  <dc:subject/>
  <dc:title>ISDA Multicurrency Agreement</dc:title>
</cp:coreProperties>
</file>