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RESUME OF</w:t>
      </w:r>
    </w:p>
    <w:p>
      <w:pPr>
        <w:pStyle w:val="Normal"/>
        <w:jc w:val="center"/>
        <w:rPr>
          <w:b/>
        </w:rPr>
      </w:pPr>
      <w:r>
        <w:rPr>
          <w:b/>
        </w:rPr>
        <w:t>MICHAEL W. PERRIN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Michael W. Perrin</w:t>
      </w:r>
    </w:p>
    <w:p>
      <w:pPr>
        <w:pStyle w:val="Normal"/>
        <w:rPr/>
      </w:pPr>
      <w:r>
        <w:rPr/>
        <w:t>King &amp; Spalding</w:t>
      </w:r>
    </w:p>
    <w:p>
      <w:pPr>
        <w:pStyle w:val="Normal"/>
        <w:rPr/>
      </w:pPr>
      <w:r>
        <w:rPr/>
        <w:t>1100 Louisiana, Suite 3300</w:t>
      </w:r>
    </w:p>
    <w:p>
      <w:pPr>
        <w:pStyle w:val="Normal"/>
        <w:rPr/>
      </w:pPr>
      <w:r>
        <w:rPr/>
        <w:t>Houston, Texas 77002-5219</w:t>
      </w:r>
    </w:p>
    <w:p>
      <w:pPr>
        <w:pStyle w:val="Normal"/>
        <w:rPr/>
      </w:pPr>
      <w:r>
        <w:rPr/>
        <w:t>Telephone:</w:t>
        <w:tab/>
        <w:t>(713) 751-3207</w:t>
      </w:r>
    </w:p>
    <w:p>
      <w:pPr>
        <w:pStyle w:val="Normal"/>
        <w:rPr/>
      </w:pPr>
      <w:r>
        <w:rPr/>
        <w:t>Fax:</w:t>
        <w:tab/>
        <w:tab/>
        <w:t>(713) 751-3290</w:t>
      </w:r>
    </w:p>
    <w:p>
      <w:pPr>
        <w:pStyle w:val="Normal"/>
        <w:rPr/>
      </w:pPr>
      <w:r>
        <w:rPr/>
        <w:t>e-mail:</w:t>
        <w:tab/>
        <w:tab/>
      </w:r>
      <w:hyperlink r:id="rId2">
        <w:r>
          <w:rPr>
            <w:rStyle w:val="Hyperlink"/>
          </w:rPr>
          <w:t>mperrin@kslaw.com</w:t>
        </w:r>
      </w:hyperlink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Professional Experience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>King &amp; Spalding</w:t>
        <w:tab/>
      </w:r>
    </w:p>
    <w:p>
      <w:pPr>
        <w:pStyle w:val="Normal"/>
        <w:rPr/>
      </w:pPr>
      <w:r>
        <w:rPr/>
        <w:tab/>
        <w:tab/>
        <w:t>Partner</w:t>
        <w:tab/>
        <w:tab/>
        <w:tab/>
        <w:tab/>
        <w:tab/>
        <w:tab/>
        <w:tab/>
        <w:t>1996 -Present</w:t>
      </w:r>
    </w:p>
    <w:p>
      <w:pPr>
        <w:pStyle w:val="Normal"/>
        <w:rPr/>
      </w:pPr>
      <w:r>
        <w:rPr/>
        <w:tab/>
        <w:tab/>
        <w:t>Partner-in-Charge, Houston office</w:t>
        <w:tab/>
        <w:tab/>
        <w:tab/>
        <w:t>1998-Present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Law Offices of Michael W. Perrin</w:t>
        <w:tab/>
        <w:tab/>
        <w:tab/>
        <w:tab/>
        <w:t>1991 - 1996</w:t>
      </w:r>
    </w:p>
    <w:p>
      <w:pPr>
        <w:pStyle w:val="Normal"/>
        <w:rPr/>
      </w:pPr>
      <w:r>
        <w:rPr/>
        <w:tab/>
        <w:tab/>
        <w:t>Sole Practitioner in Civil Trial Practice</w:t>
      </w:r>
    </w:p>
    <w:p>
      <w:pPr>
        <w:pStyle w:val="Normal"/>
        <w:rPr/>
      </w:pPr>
      <w:r>
        <w:rPr/>
        <w:tab/>
        <w:tab/>
        <w:t>Houston, Texas</w:t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Fisher, Gallagher, Perrin &amp; Lewis</w:t>
        <w:tab/>
        <w:tab/>
        <w:tab/>
        <w:tab/>
        <w:t>1973-1991</w:t>
      </w:r>
    </w:p>
    <w:p>
      <w:pPr>
        <w:pStyle w:val="Normal"/>
        <w:rPr/>
      </w:pPr>
      <w:r>
        <w:rPr/>
        <w:tab/>
        <w:tab/>
        <w:t>Partner in Civil Practice Firm</w:t>
      </w:r>
    </w:p>
    <w:p>
      <w:pPr>
        <w:pStyle w:val="Normal"/>
        <w:rPr/>
      </w:pPr>
      <w:r>
        <w:rPr/>
        <w:tab/>
        <w:tab/>
        <w:t>Houston, Texas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Vinson &amp; Elkins</w:t>
        <w:tab/>
        <w:tab/>
        <w:tab/>
        <w:tab/>
        <w:tab/>
        <w:tab/>
        <w:t>1972-1973</w:t>
      </w:r>
    </w:p>
    <w:p>
      <w:pPr>
        <w:pStyle w:val="Normal"/>
        <w:rPr/>
      </w:pPr>
      <w:r>
        <w:rPr/>
        <w:tab/>
        <w:tab/>
        <w:t>Associate, Insurance Defense Section</w:t>
      </w:r>
    </w:p>
    <w:p>
      <w:pPr>
        <w:pStyle w:val="Normal"/>
        <w:rPr/>
      </w:pPr>
      <w:r>
        <w:rPr/>
        <w:tab/>
        <w:tab/>
        <w:t>Houston, Texas</w:t>
        <w:tab/>
      </w:r>
    </w:p>
    <w:p>
      <w:pPr>
        <w:pStyle w:val="Normal"/>
        <w:rPr/>
      </w:pPr>
      <w:r>
        <w:rPr/>
        <w:tab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Education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>The University of Texas School of Law</w:t>
        <w:tab/>
        <w:tab/>
        <w:tab/>
        <w:t>1969-1971</w:t>
      </w:r>
    </w:p>
    <w:p>
      <w:pPr>
        <w:pStyle w:val="Normal"/>
        <w:rPr/>
      </w:pPr>
      <w:r>
        <w:rPr/>
        <w:tab/>
        <w:t>Austin, Texas</w:t>
      </w:r>
    </w:p>
    <w:p>
      <w:pPr>
        <w:pStyle w:val="Normal"/>
        <w:rPr/>
      </w:pPr>
      <w:r>
        <w:rPr/>
        <w:tab/>
        <w:tab/>
        <w:t>J.D. Degree, December, 1971</w:t>
      </w:r>
    </w:p>
    <w:p>
      <w:pPr>
        <w:pStyle w:val="Normal"/>
        <w:rPr/>
      </w:pPr>
      <w:r>
        <w:rPr/>
        <w:tab/>
        <w:tab/>
        <w:t>I completed law school in 27 months, was a member</w:t>
      </w:r>
    </w:p>
    <w:p>
      <w:pPr>
        <w:pStyle w:val="Normal"/>
        <w:rPr/>
      </w:pPr>
      <w:r>
        <w:rPr/>
        <w:tab/>
        <w:tab/>
        <w:t>of Phi Delta Phi and the Legal Eagles (intramural football</w:t>
      </w:r>
    </w:p>
    <w:p>
      <w:pPr>
        <w:pStyle w:val="Normal"/>
        <w:rPr/>
      </w:pPr>
      <w:r>
        <w:rPr/>
        <w:tab/>
        <w:tab/>
        <w:t>coached by Charles Alan Wright), and made the highest</w:t>
      </w:r>
    </w:p>
    <w:p>
      <w:pPr>
        <w:pStyle w:val="Normal"/>
        <w:rPr/>
      </w:pPr>
      <w:r>
        <w:rPr/>
        <w:tab/>
        <w:tab/>
        <w:t xml:space="preserve">grade in the State of Texas for the Bar examination </w:t>
      </w:r>
    </w:p>
    <w:p>
      <w:pPr>
        <w:pStyle w:val="Normal"/>
        <w:rPr/>
      </w:pPr>
      <w:r>
        <w:rPr/>
        <w:tab/>
        <w:tab/>
        <w:t>administered in February, 1972.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The University of Texas at Austin</w:t>
        <w:tab/>
        <w:tab/>
        <w:tab/>
        <w:tab/>
        <w:t>1965-1969</w:t>
      </w:r>
    </w:p>
    <w:p>
      <w:pPr>
        <w:pStyle w:val="Normal"/>
        <w:rPr/>
      </w:pPr>
      <w:r>
        <w:rPr/>
        <w:tab/>
        <w:t>Austin, Texas</w:t>
      </w:r>
    </w:p>
    <w:p>
      <w:pPr>
        <w:pStyle w:val="Normal"/>
        <w:rPr/>
      </w:pPr>
      <w:r>
        <w:rPr/>
        <w:tab/>
        <w:tab/>
        <w:t>Bachelor of Arts Degree in Mathematics, May 1969.</w:t>
      </w:r>
    </w:p>
    <w:p>
      <w:pPr>
        <w:pStyle w:val="Normal"/>
        <w:rPr/>
      </w:pPr>
      <w:r>
        <w:rPr/>
        <w:tab/>
        <w:tab/>
        <w:t>Mike Flynn Award (outstanding senior male student) 1969.</w:t>
      </w:r>
    </w:p>
    <w:p>
      <w:pPr>
        <w:pStyle w:val="Normal"/>
        <w:rPr/>
      </w:pPr>
      <w:r>
        <w:rPr/>
        <w:tab/>
        <w:tab/>
        <w:t>Outstanding Student 1969. Friar Society (the oldest</w:t>
      </w:r>
    </w:p>
    <w:p>
      <w:pPr>
        <w:pStyle w:val="Normal"/>
        <w:rPr/>
      </w:pPr>
      <w:r>
        <w:rPr/>
        <w:tab/>
        <w:tab/>
        <w:t>mens honorary society at UT), the Texas Cowboys</w:t>
      </w:r>
    </w:p>
    <w:p>
      <w:pPr>
        <w:pStyle w:val="Normal"/>
        <w:rPr/>
      </w:pPr>
      <w:r>
        <w:rPr/>
        <w:tab/>
        <w:tab/>
        <w:t>(an honorary mens service organization).  Omicron Delta</w:t>
      </w:r>
    </w:p>
    <w:p>
      <w:pPr>
        <w:pStyle w:val="Normal"/>
        <w:rPr/>
      </w:pPr>
      <w:r>
        <w:rPr/>
        <w:tab/>
        <w:tab/>
        <w:t>Kappa, Delta Tau Delta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Three Varsity Letters in Football (1966, 1967, 1968)</w:t>
      </w:r>
    </w:p>
    <w:p>
      <w:pPr>
        <w:pStyle w:val="Normal"/>
        <w:rPr/>
      </w:pPr>
      <w:r>
        <w:rPr/>
        <w:tab/>
        <w:t>One of eleven recipients of the National Football Hall of Fame</w:t>
      </w:r>
    </w:p>
    <w:p>
      <w:pPr>
        <w:pStyle w:val="Normal"/>
        <w:rPr/>
      </w:pPr>
      <w:r>
        <w:rPr/>
        <w:tab/>
        <w:tab/>
        <w:t>Scholar-Athlete Award for 1968</w:t>
      </w:r>
    </w:p>
    <w:p>
      <w:pPr>
        <w:pStyle w:val="Normal"/>
        <w:rPr/>
      </w:pPr>
      <w:r>
        <w:rPr/>
        <w:tab/>
        <w:t>Academic All-American Football Player 1967</w:t>
      </w:r>
    </w:p>
    <w:p>
      <w:pPr>
        <w:pStyle w:val="Normal"/>
        <w:rPr/>
      </w:pPr>
      <w:r>
        <w:rPr/>
        <w:tab/>
        <w:t>Several Graduate Scholarships based on Academic Achievement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 xml:space="preserve"> </w:t>
      </w:r>
      <w:r>
        <w:rPr>
          <w:b/>
          <w:i/>
        </w:rPr>
        <w:t>Legal Organizations</w:t>
      </w:r>
    </w:p>
    <w:p>
      <w:pPr>
        <w:pStyle w:val="Normal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</w:r>
      <w:r>
        <w:rPr>
          <w:b/>
          <w:i/>
        </w:rPr>
        <w:t>Professional</w:t>
      </w:r>
    </w:p>
    <w:p>
      <w:pPr>
        <w:pStyle w:val="Normal"/>
        <w:rPr/>
      </w:pPr>
      <w:r>
        <w:rPr/>
        <w:tab/>
        <w:tab/>
        <w:t>American College of Trial Lawyers</w:t>
      </w:r>
    </w:p>
    <w:p>
      <w:pPr>
        <w:pStyle w:val="Normal"/>
        <w:rPr/>
      </w:pPr>
      <w:r>
        <w:rPr/>
        <w:tab/>
        <w:tab/>
        <w:t>International Academy of Trial Lawyers (State Chair 1994-1997)</w:t>
      </w:r>
    </w:p>
    <w:p>
      <w:pPr>
        <w:pStyle w:val="Normal"/>
        <w:rPr/>
      </w:pPr>
      <w:r>
        <w:rPr/>
        <w:tab/>
        <w:tab/>
        <w:t>International Society of Barristers (Board of Directors, 1995-Present)</w:t>
      </w:r>
    </w:p>
    <w:p>
      <w:pPr>
        <w:pStyle w:val="Normal"/>
        <w:rPr/>
      </w:pPr>
      <w:r>
        <w:rPr/>
        <w:tab/>
        <w:tab/>
        <w:t>American Board of Trial Advocates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American Bar Association, 1972-Present</w:t>
      </w:r>
    </w:p>
    <w:p>
      <w:pPr>
        <w:pStyle w:val="Normal"/>
        <w:rPr/>
      </w:pPr>
      <w:r>
        <w:rPr/>
        <w:tab/>
        <w:tab/>
        <w:t>American Bar Foundation, 1996-Present</w:t>
      </w:r>
    </w:p>
    <w:p>
      <w:pPr>
        <w:pStyle w:val="Normal"/>
        <w:rPr/>
      </w:pPr>
      <w:r>
        <w:rPr/>
        <w:tab/>
        <w:tab/>
        <w:t>State Bar of Texas (Administration of the Rules of Evidence Committee</w:t>
      </w:r>
    </w:p>
    <w:p>
      <w:pPr>
        <w:pStyle w:val="Normal"/>
        <w:rPr/>
      </w:pPr>
      <w:r>
        <w:rPr/>
        <w:tab/>
        <w:tab/>
        <w:tab/>
        <w:t>1995-1997)</w:t>
      </w:r>
    </w:p>
    <w:p>
      <w:pPr>
        <w:pStyle w:val="Normal"/>
        <w:rPr/>
      </w:pPr>
      <w:r>
        <w:rPr/>
        <w:tab/>
        <w:tab/>
        <w:tab/>
        <w:t>Board Certified Personal Injury Trial Law, 1978 - Present</w:t>
      </w:r>
    </w:p>
    <w:p>
      <w:pPr>
        <w:pStyle w:val="Normal"/>
        <w:rPr/>
      </w:pPr>
      <w:r>
        <w:rPr/>
        <w:tab/>
        <w:tab/>
        <w:tab/>
        <w:t>Texas Board of Legal Specialization</w:t>
      </w:r>
    </w:p>
    <w:p>
      <w:pPr>
        <w:pStyle w:val="Normal"/>
        <w:rPr/>
      </w:pPr>
      <w:r>
        <w:rPr/>
        <w:tab/>
        <w:tab/>
        <w:t>Texas Bar Foundation, Sustaining Life Member</w:t>
      </w:r>
    </w:p>
    <w:p>
      <w:pPr>
        <w:pStyle w:val="Normal"/>
        <w:rPr/>
      </w:pPr>
      <w:r>
        <w:rPr/>
        <w:tab/>
        <w:tab/>
        <w:t xml:space="preserve">Texas Trial Lawyers Association (President, 1989-1990), Executive </w:t>
        <w:tab/>
        <w:tab/>
        <w:tab/>
        <w:tab/>
        <w:t>Committee, 1988-1991, Co-Chair, Legislative Committee 1987)</w:t>
      </w:r>
    </w:p>
    <w:p>
      <w:pPr>
        <w:pStyle w:val="Normal"/>
        <w:rPr/>
      </w:pPr>
      <w:r>
        <w:rPr/>
        <w:tab/>
        <w:tab/>
        <w:t>Association of Trial Lawyers of America</w:t>
      </w:r>
    </w:p>
    <w:p>
      <w:pPr>
        <w:pStyle w:val="Normal"/>
        <w:rPr/>
      </w:pPr>
      <w:r>
        <w:rPr/>
        <w:tab/>
        <w:tab/>
        <w:tab/>
        <w:t>(Board of  Governors, 1990-1993)</w:t>
      </w:r>
    </w:p>
    <w:p>
      <w:pPr>
        <w:pStyle w:val="Normal"/>
        <w:rPr/>
      </w:pPr>
      <w:r>
        <w:rPr/>
        <w:tab/>
        <w:tab/>
        <w:t>Houston Trial Lawyers Association (President, 1987-1988)</w:t>
      </w:r>
    </w:p>
    <w:p>
      <w:pPr>
        <w:pStyle w:val="Normal"/>
        <w:rPr/>
      </w:pPr>
      <w:r>
        <w:rPr/>
        <w:tab/>
        <w:tab/>
        <w:t>Texas Young Lawyers Association</w:t>
      </w:r>
    </w:p>
    <w:p>
      <w:pPr>
        <w:pStyle w:val="Normal"/>
        <w:rPr/>
      </w:pPr>
      <w:r>
        <w:rPr/>
        <w:tab/>
        <w:tab/>
        <w:tab/>
        <w:t xml:space="preserve">(Chairman of Board of Directors, 1978-1979; Member, Board of </w:t>
        <w:tab/>
        <w:tab/>
        <w:tab/>
        <w:tab/>
        <w:tab/>
        <w:t>Directors, 1976-1978)</w:t>
      </w:r>
    </w:p>
    <w:p>
      <w:pPr>
        <w:pStyle w:val="Normal"/>
        <w:rPr/>
      </w:pPr>
      <w:r>
        <w:rPr/>
        <w:tab/>
        <w:tab/>
        <w:t>Houston Bar Association</w:t>
      </w:r>
    </w:p>
    <w:p>
      <w:pPr>
        <w:pStyle w:val="Normal"/>
        <w:rPr/>
      </w:pPr>
      <w:r>
        <w:rPr/>
        <w:tab/>
        <w:tab/>
        <w:t>Houston Bar Foundation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i/>
          <w:i/>
        </w:rPr>
      </w:pPr>
      <w:r>
        <w:rPr>
          <w:b/>
          <w:i/>
        </w:rPr>
        <w:tab/>
        <w:t>Professional Service</w:t>
      </w:r>
    </w:p>
    <w:p>
      <w:pPr>
        <w:pStyle w:val="Normal"/>
        <w:rPr/>
      </w:pPr>
      <w:r>
        <w:rPr/>
        <w:tab/>
        <w:tab/>
        <w:t>Member, Citizens Commission on  the Courts, 1991-1992,</w:t>
      </w:r>
    </w:p>
    <w:p>
      <w:pPr>
        <w:pStyle w:val="Normal"/>
        <w:rPr/>
      </w:pPr>
      <w:r>
        <w:rPr/>
        <w:tab/>
        <w:tab/>
        <w:tab/>
        <w:t>Appointed by Supreme Court of Texas</w:t>
      </w:r>
    </w:p>
    <w:p>
      <w:pPr>
        <w:pStyle w:val="Normal"/>
        <w:rPr/>
      </w:pPr>
      <w:r>
        <w:rPr/>
        <w:tab/>
        <w:tab/>
        <w:tab/>
        <w:t>Chair, Trial  Courts Subcommittee</w:t>
      </w:r>
    </w:p>
    <w:p>
      <w:pPr>
        <w:pStyle w:val="Normal"/>
        <w:rPr/>
      </w:pPr>
      <w:r>
        <w:rPr/>
        <w:tab/>
        <w:tab/>
        <w:t>Member, Grievance and Admissions Committee for the United States</w:t>
        <w:tab/>
        <w:tab/>
      </w:r>
    </w:p>
    <w:p>
      <w:pPr>
        <w:pStyle w:val="Normal"/>
        <w:rPr/>
      </w:pPr>
      <w:r>
        <w:rPr/>
        <w:tab/>
        <w:tab/>
        <w:tab/>
        <w:t>District  Court, Southern District of Texas, Houston Division, 1990-</w:t>
        <w:tab/>
        <w:tab/>
        <w:tab/>
        <w:tab/>
        <w:t>Present.  Appointed by Chief Judge</w:t>
      </w:r>
    </w:p>
    <w:p>
      <w:pPr>
        <w:pStyle w:val="Normal"/>
        <w:rPr/>
      </w:pPr>
      <w:r>
        <w:rPr/>
        <w:tab/>
        <w:tab/>
        <w:t>Member of various committees of Texas and Houston Bar Associations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Other Organizations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>Greater Houston Partnership</w:t>
      </w:r>
    </w:p>
    <w:p>
      <w:pPr>
        <w:pStyle w:val="Normal"/>
        <w:rPr/>
      </w:pPr>
      <w:r>
        <w:rPr/>
        <w:tab/>
        <w:tab/>
        <w:tab/>
        <w:t>Governmental Relations Committee</w:t>
      </w:r>
    </w:p>
    <w:p>
      <w:pPr>
        <w:pStyle w:val="Normal"/>
        <w:rPr/>
      </w:pPr>
      <w:r>
        <w:rPr/>
        <w:tab/>
        <w:tab/>
        <w:tab/>
        <w:tab/>
        <w:t>State Relations Subcommittee</w:t>
      </w:r>
    </w:p>
    <w:p>
      <w:pPr>
        <w:pStyle w:val="Normal"/>
        <w:rPr/>
      </w:pPr>
      <w:r>
        <w:rPr/>
        <w:tab/>
        <w:tab/>
        <w:tab/>
        <w:tab/>
        <w:t>State Appointments Task Force</w:t>
      </w:r>
    </w:p>
    <w:p>
      <w:pPr>
        <w:pStyle w:val="Normal"/>
        <w:rPr/>
      </w:pPr>
      <w:r>
        <w:rPr/>
        <w:tab/>
        <w:tab/>
        <w:t>Rotary Club of Houston, 1973-Present</w:t>
      </w:r>
    </w:p>
    <w:p>
      <w:pPr>
        <w:pStyle w:val="Normal"/>
        <w:rPr/>
      </w:pPr>
      <w:r>
        <w:rPr/>
        <w:tab/>
        <w:tab/>
        <w:tab/>
        <w:t>Lombardi Award Committee</w:t>
      </w:r>
    </w:p>
    <w:p>
      <w:pPr>
        <w:pStyle w:val="Normal"/>
        <w:rPr/>
      </w:pPr>
      <w:r>
        <w:rPr/>
        <w:tab/>
        <w:tab/>
        <w:t xml:space="preserve">National Football Foundation and Hall of Fame, Houston Chapter President, </w:t>
        <w:tab/>
        <w:tab/>
        <w:tab/>
        <w:tab/>
        <w:t>Previously Board of Directors</w:t>
      </w:r>
    </w:p>
    <w:p>
      <w:pPr>
        <w:pStyle w:val="Normal"/>
        <w:rPr/>
      </w:pPr>
      <w:r>
        <w:rPr/>
        <w:tab/>
        <w:tab/>
        <w:t>March of  Dimes, Gulf Coast Chapter, Member, Board of Directors, 1991-1993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Special Projects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rPr/>
      </w:pPr>
      <w:r>
        <w:rPr/>
        <w:tab/>
        <w:tab/>
        <w:t>Senator Lloyd M. Bentsen, Re-Election Campaign</w:t>
      </w:r>
    </w:p>
    <w:p>
      <w:pPr>
        <w:pStyle w:val="Normal"/>
        <w:rPr/>
      </w:pPr>
      <w:r>
        <w:rPr/>
        <w:tab/>
        <w:tab/>
        <w:tab/>
        <w:t>1980-1982 Harris County Campaign Chairman</w:t>
      </w:r>
    </w:p>
    <w:p>
      <w:pPr>
        <w:pStyle w:val="Normal"/>
        <w:rPr/>
      </w:pPr>
      <w:r>
        <w:rPr/>
        <w:tab/>
        <w:tab/>
        <w:t>Mark White for Governor Campaign</w:t>
        <w:tab/>
        <w:tab/>
        <w:t>1986 (Finance Committee)</w:t>
      </w:r>
    </w:p>
    <w:p>
      <w:pPr>
        <w:pStyle w:val="Normal"/>
        <w:rPr/>
      </w:pPr>
      <w:r>
        <w:rPr/>
        <w:tab/>
        <w:tab/>
        <w:t>Chief Justice John Hill Election Campaign</w:t>
        <w:tab/>
        <w:t>1984 (Finance Committee)</w:t>
      </w:r>
    </w:p>
    <w:p>
      <w:pPr>
        <w:pStyle w:val="Normal"/>
        <w:rPr/>
      </w:pPr>
      <w:r>
        <w:rPr/>
        <w:tab/>
        <w:tab/>
        <w:t>John Hill for Governor Campaign</w:t>
        <w:tab/>
        <w:tab/>
        <w:t>1978</w:t>
      </w:r>
    </w:p>
    <w:p>
      <w:pPr>
        <w:pStyle w:val="Normal"/>
        <w:rPr/>
      </w:pPr>
      <w:r>
        <w:rPr/>
        <w:tab/>
        <w:tab/>
        <w:t>John Hill for Attorney General Campaign</w:t>
        <w:tab/>
        <w:t>1974</w:t>
      </w:r>
    </w:p>
    <w:p>
      <w:pPr>
        <w:pStyle w:val="Normal"/>
        <w:rPr/>
      </w:pPr>
      <w:r>
        <w:rPr/>
        <w:tab/>
        <w:tab/>
        <w:t>John Hill for Attorney General Campaign</w:t>
        <w:tab/>
        <w:t>1972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>University of Texas School of Law</w:t>
      </w:r>
    </w:p>
    <w:p>
      <w:pPr>
        <w:pStyle w:val="Normal"/>
        <w:rPr/>
      </w:pPr>
      <w:r>
        <w:rPr/>
        <w:tab/>
        <w:tab/>
        <w:tab/>
        <w:t>Co-Chair, “The Texas Campaign: An Investment in Students”</w:t>
      </w:r>
    </w:p>
    <w:p>
      <w:pPr>
        <w:pStyle w:val="Normal"/>
        <w:rPr/>
      </w:pPr>
      <w:r>
        <w:rPr/>
        <w:tab/>
        <w:tab/>
        <w:tab/>
        <w:tab/>
        <w:t>1990-Present.  Raised over $7,700,000 for Endowment</w:t>
      </w:r>
    </w:p>
    <w:p>
      <w:pPr>
        <w:pStyle w:val="Normal"/>
        <w:rPr/>
      </w:pPr>
      <w:r>
        <w:rPr/>
        <w:tab/>
        <w:tab/>
        <w:tab/>
        <w:t>Co-Leader of Committee to Create the Endowment for the Charles Alan</w:t>
      </w:r>
    </w:p>
    <w:p>
      <w:pPr>
        <w:pStyle w:val="Normal"/>
        <w:rPr/>
      </w:pPr>
      <w:r>
        <w:rPr/>
        <w:tab/>
        <w:tab/>
        <w:tab/>
        <w:t>Wright Chair in Federal Courts.  Raised over $500,000 to Endow Chair</w:t>
      </w:r>
    </w:p>
    <w:p>
      <w:pPr>
        <w:pStyle w:val="Normal"/>
        <w:rPr/>
      </w:pPr>
      <w:r>
        <w:rPr/>
        <w:tab/>
        <w:tab/>
        <w:tab/>
        <w:t>Law School Alumni Association</w:t>
      </w:r>
    </w:p>
    <w:p>
      <w:pPr>
        <w:pStyle w:val="Normal"/>
        <w:rPr/>
      </w:pPr>
      <w:r>
        <w:rPr/>
        <w:tab/>
        <w:tab/>
        <w:tab/>
        <w:tab/>
        <w:t>Past member, Board of Directors</w:t>
      </w:r>
    </w:p>
    <w:p>
      <w:pPr>
        <w:pStyle w:val="Normal"/>
        <w:rPr/>
      </w:pPr>
      <w:r>
        <w:rPr/>
        <w:tab/>
        <w:tab/>
        <w:tab/>
        <w:tab/>
        <w:t>Executive Committee, 1997 - Present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University of Texas at Austin</w:t>
      </w:r>
    </w:p>
    <w:p>
      <w:pPr>
        <w:pStyle w:val="Normal"/>
        <w:rPr/>
      </w:pPr>
      <w:r>
        <w:rPr/>
        <w:tab/>
        <w:tab/>
        <w:tab/>
        <w:t>Member of Development Board</w:t>
        <w:tab/>
        <w:tab/>
        <w:tab/>
        <w:t>1995-Present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University of Texas at Austin</w:t>
      </w:r>
    </w:p>
    <w:p>
      <w:pPr>
        <w:pStyle w:val="Normal"/>
        <w:rPr/>
      </w:pPr>
      <w:r>
        <w:rPr/>
        <w:tab/>
        <w:tab/>
        <w:tab/>
        <w:t>Council on Intercollegiate Athletics for Women</w:t>
        <w:tab/>
        <w:t>1998-Present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Corporate Affiliations</w:t>
      </w:r>
    </w:p>
    <w:p>
      <w:pPr>
        <w:pStyle w:val="Normal"/>
        <w:rPr/>
      </w:pPr>
      <w:r>
        <w:rPr/>
        <w:tab/>
        <w:tab/>
      </w:r>
    </w:p>
    <w:p>
      <w:pPr>
        <w:pStyle w:val="Normal"/>
        <w:rPr/>
      </w:pPr>
      <w:r>
        <w:rPr/>
        <w:tab/>
        <w:tab/>
        <w:t>Texas Commerce Bank, Houston Texas</w:t>
        <w:tab/>
        <w:tab/>
        <w:tab/>
        <w:t>1988-1996</w:t>
      </w:r>
    </w:p>
    <w:p>
      <w:pPr>
        <w:pStyle w:val="Normal"/>
        <w:rPr/>
      </w:pPr>
      <w:r>
        <w:rPr/>
        <w:tab/>
        <w:tab/>
        <w:tab/>
        <w:t>Member, West Houston Advisory Board</w:t>
      </w:r>
    </w:p>
    <w:p>
      <w:pPr>
        <w:pStyle w:val="Normal"/>
        <w:rPr/>
      </w:pPr>
      <w:r>
        <w:rPr/>
        <w:tab/>
        <w:tab/>
        <w:t>Texas Commerce Bank-River Oaks, Houston Texas</w:t>
        <w:tab/>
        <w:tab/>
        <w:t>1986-1988</w:t>
      </w:r>
    </w:p>
    <w:p>
      <w:pPr>
        <w:pStyle w:val="Normal"/>
        <w:rPr/>
      </w:pPr>
      <w:r>
        <w:rPr/>
        <w:tab/>
        <w:tab/>
        <w:tab/>
        <w:t>Member, Board of Directors</w:t>
      </w:r>
    </w:p>
    <w:p>
      <w:pPr>
        <w:pStyle w:val="Normal"/>
        <w:rPr/>
      </w:pPr>
      <w:r>
        <w:rPr/>
        <w:tab/>
        <w:tab/>
        <w:t>The Howard Hughes Corporation (and related entities)</w:t>
        <w:tab/>
        <w:t>1994-1996</w:t>
      </w:r>
    </w:p>
    <w:p>
      <w:pPr>
        <w:pStyle w:val="Normal"/>
        <w:rPr/>
      </w:pPr>
      <w:r>
        <w:rPr/>
        <w:tab/>
        <w:tab/>
        <w:tab/>
        <w:t>Las Vegas, Nevada</w:t>
      </w:r>
    </w:p>
    <w:p>
      <w:pPr>
        <w:pStyle w:val="Normal"/>
        <w:rPr/>
      </w:pPr>
      <w:r>
        <w:rPr/>
        <w:tab/>
        <w:tab/>
        <w:tab/>
        <w:t>Member, Board of Directors</w:t>
      </w:r>
    </w:p>
    <w:p>
      <w:pPr>
        <w:pStyle w:val="Normal"/>
        <w:rPr/>
      </w:pPr>
      <w:r>
        <w:rPr/>
        <w:tab/>
        <w:tab/>
        <w:tab/>
        <w:t>Member, Compensation Committee, Special Committee</w:t>
      </w:r>
    </w:p>
    <w:sectPr>
      <w:footerReference w:type="default" r:id="rId3"/>
      <w:footerReference w:type="first" r:id="rId4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</w:rPr>
    </w:pPr>
    <w:r>
      <w:rPr>
        <w:sz w:val="18"/>
      </w:rPr>
      <w:t>Resume of Michael W. Perrin</w:t>
    </w:r>
  </w:p>
  <w:p>
    <w:pPr>
      <w:pStyle w:val="Footer"/>
      <w:jc w:val="center"/>
      <w:rPr/>
    </w:pP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>
      <w:rPr>
        <w:rStyle w:val="PageNumber"/>
        <w:sz w:val="18"/>
      </w:rPr>
      <w:t>4</w:t>
    </w:r>
    <w:r>
      <w:rPr>
        <w:rStyle w:val="PageNumber"/>
        <w:sz w:val="18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suff w:val="nothing"/>
      <w:lvlText w:val="Article 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isLgl/>
      <w:numFmt w:val="decimal"/>
      <w:lvlText w:val="%1.%2"/>
      <w:lvlJc w:val="start"/>
      <w:pPr>
        <w:tabs>
          <w:tab w:val="num" w:pos="1080"/>
        </w:tabs>
        <w:ind w:start="0" w:firstLine="720"/>
      </w:pPr>
    </w:lvl>
    <w:lvl w:ilvl="2">
      <w:start w:val="1"/>
      <w:pStyle w:val="Heading3"/>
      <w:numFmt w:val="lowerLetter"/>
      <w:lvlText w:val="(%3)"/>
      <w:lvlJc w:val="start"/>
      <w:pPr>
        <w:tabs>
          <w:tab w:val="num" w:pos="1800"/>
        </w:tabs>
        <w:ind w:start="1440" w:hanging="0"/>
      </w:pPr>
    </w:lvl>
    <w:lvl w:ilvl="3">
      <w:start w:val="1"/>
      <w:pStyle w:val="Heading4"/>
      <w:numFmt w:val="lowerRoman"/>
      <w:lvlText w:val="(%4)"/>
      <w:lvlJc w:val="start"/>
      <w:pPr>
        <w:tabs>
          <w:tab w:val="num" w:pos="2880"/>
        </w:tabs>
        <w:ind w:start="2160" w:hanging="0"/>
      </w:pPr>
    </w:lvl>
    <w:lvl w:ilvl="4">
      <w:start w:val="1"/>
      <w:pStyle w:val="Heading5"/>
      <w:numFmt w:val="lowerLetter"/>
      <w:lvlText w:val="%5."/>
      <w:lvlJc w:val="start"/>
      <w:pPr>
        <w:tabs>
          <w:tab w:val="num" w:pos="3240"/>
        </w:tabs>
        <w:ind w:start="2880" w:hanging="0"/>
      </w:pPr>
    </w:lvl>
    <w:lvl w:ilvl="5">
      <w:start w:val="1"/>
      <w:numFmt w:val="lowerRoman"/>
      <w:lvlText w:val="%6."/>
      <w:lvlJc w:val="start"/>
      <w:pPr>
        <w:tabs>
          <w:tab w:val="num" w:pos="4320"/>
        </w:tabs>
        <w:ind w:start="3600" w:hanging="0"/>
      </w:pPr>
    </w:lvl>
    <w:lvl w:ilvl="6">
      <w:start w:val="1"/>
      <w:numFmt w:val="lowerRoman"/>
      <w:lvlText w:val="%7)"/>
      <w:lvlJc w:val="end"/>
      <w:pPr>
        <w:tabs>
          <w:tab w:val="num" w:pos="1296"/>
        </w:tabs>
        <w:ind w:start="1296" w:hanging="288"/>
      </w:pPr>
    </w:lvl>
    <w:lvl w:ilvl="7">
      <w:start w:val="1"/>
      <w:numFmt w:val="lowerLetter"/>
      <w:lvlText w:val="%8."/>
      <w:lvlJc w:val="start"/>
      <w:pPr>
        <w:tabs>
          <w:tab w:val="num" w:pos="1440"/>
        </w:tabs>
        <w:ind w:start="1440" w:hanging="432"/>
      </w:pPr>
    </w:lvl>
    <w:lvl w:ilvl="8">
      <w:start w:val="1"/>
      <w:numFmt w:val="lowerRoman"/>
      <w:lvlText w:val="%9."/>
      <w:lvlJc w:val="end"/>
      <w:pPr>
        <w:tabs>
          <w:tab w:val="num" w:pos="1584"/>
        </w:tabs>
        <w:ind w:start="1584" w:hanging="144"/>
      </w:pPr>
    </w:lvl>
  </w:abstractNum>
  <w:abstractNum w:abstractNumId="2">
    <w:lvl w:ilvl="0">
      <w:start w:val="1"/>
      <w:numFmt w:val="decimal"/>
      <w:lvlText w:val="INTERROGATORY NO. %1:"/>
      <w:lvlJc w:val="start"/>
      <w:pPr>
        <w:tabs>
          <w:tab w:val="num" w:pos="32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3">
    <w:lvl w:ilvl="0">
      <w:start w:val="1"/>
      <w:numFmt w:val="decimal"/>
      <w:lvlText w:val="REQUEST FOR ADMISSIONS NO. %1:"/>
      <w:lvlJc w:val="start"/>
      <w:pPr>
        <w:tabs>
          <w:tab w:val="num" w:pos="432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abstractNum w:abstractNumId="4">
    <w:lvl w:ilvl="0">
      <w:start w:val="1"/>
      <w:numFmt w:val="decimal"/>
      <w:lvlText w:val="REQUEST FOR PRODUCTION NO. %1:"/>
      <w:lvlJc w:val="start"/>
      <w:pPr>
        <w:tabs>
          <w:tab w:val="num" w:pos="5040"/>
        </w:tabs>
        <w:ind w:start="0" w:hanging="0"/>
      </w:pPr>
      <w:rPr>
        <w:dstrike w:val="false"/>
        <w:strike w:val="false"/>
        <w:vertAlign w:val="baseline"/>
        <w:position w:val="0"/>
        <w:sz w:val="24"/>
        <w:i w:val="false"/>
        <w:shadow w:val="false"/>
        <w:u w:val="single"/>
        <w:b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  <w:tab w:val="left" w:pos="1440" w:leader="none"/>
      </w:tabs>
      <w:spacing w:before="120" w:after="120"/>
      <w:jc w:val="both"/>
      <w:outlineLvl w:val="1"/>
    </w:pPr>
    <w:rPr/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  <w:tab w:val="left" w:pos="2160" w:leader="none"/>
      </w:tabs>
      <w:spacing w:before="120" w:after="120"/>
      <w:jc w:val="both"/>
      <w:outlineLvl w:val="2"/>
    </w:pPr>
    <w:rPr/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120" w:after="120"/>
      <w:jc w:val="both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  <w:tab w:val="left" w:pos="3600" w:leader="none"/>
      </w:tabs>
      <w:spacing w:before="120" w:after="120"/>
      <w:jc w:val="both"/>
      <w:outlineLvl w:val="4"/>
    </w:pPr>
    <w:rPr/>
  </w:style>
  <w:style w:type="paragraph" w:styleId="Heading6">
    <w:name w:val="heading 6"/>
    <w:basedOn w:val="Normal"/>
    <w:next w:val="BodyText"/>
    <w:qFormat/>
    <w:p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3z0">
    <w:name w:val="WW8Num13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WW8Num14z0">
    <w:name w:val="WW8Num14z0"/>
    <w:qFormat/>
    <w:rPr>
      <w:b/>
      <w:i w:val="false"/>
      <w:strike w:val="false"/>
      <w:dstrike w:val="false"/>
      <w:shadow w:val="false"/>
      <w:color w:val="auto"/>
      <w:position w:val="0"/>
      <w:sz w:val="24"/>
      <w:u w:val="single"/>
      <w:vertAlign w:val="baseli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Index1">
    <w:name w:val="index 1"/>
    <w:basedOn w:val="Normal"/>
    <w:next w:val="Normal"/>
    <w:pPr>
      <w:numPr>
        <w:ilvl w:val="0"/>
        <w:numId w:val="3"/>
      </w:numPr>
    </w:pPr>
    <w:rPr/>
  </w:style>
  <w:style w:type="paragraph" w:styleId="Index2">
    <w:name w:val="index 2"/>
    <w:basedOn w:val="Normal"/>
    <w:next w:val="Normal"/>
    <w:pPr>
      <w:numPr>
        <w:ilvl w:val="0"/>
        <w:numId w:val="4"/>
      </w:numPr>
      <w:tabs>
        <w:tab w:val="clear" w:pos="720"/>
        <w:tab w:val="left" w:pos="4410" w:leader="none"/>
      </w:tabs>
    </w:pPr>
    <w:rPr/>
  </w:style>
  <w:style w:type="paragraph" w:styleId="Index3">
    <w:name w:val="index 3"/>
    <w:basedOn w:val="Normal"/>
    <w:next w:val="Normal"/>
    <w:pPr>
      <w:numPr>
        <w:ilvl w:val="0"/>
        <w:numId w:val="2"/>
      </w:numPr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perrin@kslaw.com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2001-05-30T12:32:00Z</dcterms:created>
  <dc:creator>BARBARA ALANIES</dc:creator>
  <dc:description/>
  <dc:language>en-CA</dc:language>
  <cp:lastModifiedBy>K&amp;S</cp:lastModifiedBy>
  <cp:lastPrinted>2000-09-01T15:03:00Z</cp:lastPrinted>
  <dcterms:modified xsi:type="dcterms:W3CDTF">2001-05-30T12:32:00Z</dcterms:modified>
  <cp:revision>2</cp:revision>
  <dc:subject/>
  <dc:title>RESUME OF</dc:title>
</cp:coreProperties>
</file>