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1.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10.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media/image13.wmf" ContentType="image/x-wmf"/>
  <Override PartName="/word/media/image4.wmf" ContentType="image/x-wmf"/>
  <Override PartName="/word/media/image9.wmf" ContentType="image/x-wmf"/>
  <Override PartName="/word/media/image18.wmf" ContentType="image/x-wmf"/>
  <Override PartName="/word/media/image14.wmf" ContentType="image/x-wmf"/>
  <Override PartName="/word/media/image5.wmf" ContentType="image/x-wmf"/>
  <Override PartName="/word/media/image15.wmf" ContentType="image/x-wmf"/>
  <Override PartName="/word/media/image6.wmf" ContentType="image/x-wmf"/>
  <Override PartName="/word/media/image10.wmf" ContentType="image/x-wmf"/>
  <Override PartName="/word/media/image1.wmf" ContentType="image/x-wmf"/>
  <Override PartName="/word/media/image16.wmf" ContentType="image/x-wmf"/>
  <Override PartName="/word/media/image7.wmf" ContentType="image/x-wmf"/>
  <Override PartName="/word/media/image11.wmf" ContentType="image/x-wmf"/>
  <Override PartName="/word/media/image2.wmf" ContentType="image/x-wmf"/>
  <Override PartName="/word/media/image17.wmf" ContentType="image/x-wmf"/>
  <Override PartName="/word/media/image8.wmf" ContentType="image/x-wmf"/>
  <Override PartName="/word/media/image12.wmf" ContentType="image/x-wmf"/>
  <Override PartName="/word/media/image3.wmf" ContentType="image/x-wmf"/>
  <Override PartName="/word/footer4.xml" ContentType="application/vnd.openxmlformats-officedocument.wordprocessingml.footer+xml"/>
  <Override PartName="/word/settings.xml" ContentType="application/vnd.openxmlformats-officedocument.wordprocessingml.setting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8.xml" ContentType="application/vnd.openxmlformats-officedocument.wordprocessingml.footer+xml"/>
  <Override PartName="/word/footer17.xml" ContentType="application/vnd.openxmlformats-officedocument.wordprocessingml.footer+xml"/>
  <Override PartName="/word/footnotes.xml" ContentType="application/vnd.openxmlformats-officedocument.wordprocessingml.footnotes+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oter13.xml" ContentType="application/vnd.openxmlformats-officedocument.wordprocessingml.footer+xml"/>
  <Override PartName="/word/footer12.xml" ContentType="application/vnd.openxmlformats-officedocument.wordprocessingml.footer+xml"/>
  <Override PartName="/word/document.xml" ContentType="application/vnd.openxmlformats-officedocument.wordprocessingml.document.main+xml"/>
  <Override PartName="/word/embeddings/oleObject13.bin" ContentType="application/vnd.openxmlformats-officedocument.oleObject"/>
  <Override PartName="/word/embeddings/oleObject12.bin" ContentType="application/vnd.openxmlformats-officedocument.oleObject"/>
  <Override PartName="/word/embeddings/oleObject11.bin" ContentType="application/vnd.openxmlformats-officedocument.oleObject"/>
  <Override PartName="/word/embeddings/oleObject10.bin" ContentType="application/vnd.openxmlformats-officedocument.oleObject"/>
  <Override PartName="/word/embeddings/oleObject9.bin" ContentType="application/vnd.openxmlformats-officedocument.oleObject"/>
  <Override PartName="/word/embeddings/oleObject8.bin" ContentType="application/vnd.openxmlformats-officedocument.oleObject"/>
  <Override PartName="/word/embeddings/oleObject19.bin" ContentType="application/vnd.openxmlformats-officedocument.oleObject"/>
  <Override PartName="/word/embeddings/oleObject6.bin" ContentType="application/vnd.openxmlformats-officedocument.oleObject"/>
  <Override PartName="/word/embeddings/oleObject18.bin" ContentType="application/vnd.openxmlformats-officedocument.oleObject"/>
  <Override PartName="/word/embeddings/oleObject5.bin" ContentType="application/vnd.openxmlformats-officedocument.oleObject"/>
  <Override PartName="/word/embeddings/oleObject17.bin" ContentType="application/vnd.openxmlformats-officedocument.oleObject"/>
  <Override PartName="/word/embeddings/oleObject4.bin" ContentType="application/vnd.openxmlformats-officedocument.oleObject"/>
  <Override PartName="/word/embeddings/oleObject16.bin" ContentType="application/vnd.openxmlformats-officedocument.oleObject"/>
  <Override PartName="/word/embeddings/oleObject3.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14.bin" ContentType="application/vnd.openxmlformats-officedocument.oleObject"/>
  <Override PartName="/word/embeddings/oleObject1.bin" ContentType="application/vnd.openxmlformats-officedocument.oleObject"/>
  <Override PartName="/word/embeddings/oleObject7.bin" ContentType="application/vnd.openxmlformats-officedocument.oleObject"/>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tabs>
          <w:tab w:val="clear" w:pos="720"/>
          <w:tab w:val="right" w:pos="8208" w:leader="none"/>
        </w:tabs>
        <w:rPr/>
      </w:pPr>
      <w:r>
        <w:rPr/>
        <w:tab/>
        <w:t>March 24, 2000</w:t>
      </w:r>
    </w:p>
    <w:p>
      <w:pPr>
        <w:pStyle w:val="Normal"/>
        <w:widowControl/>
        <w:rPr/>
      </w:pPr>
      <w:r>
        <w:rPr/>
      </w:r>
    </w:p>
    <w:p>
      <w:pPr>
        <w:pStyle w:val="Normal"/>
        <w:widowControl/>
        <w:rPr/>
      </w:pPr>
      <w:r>
        <w:rPr/>
      </w:r>
    </w:p>
    <w:p>
      <w:pPr>
        <w:pStyle w:val="Normal"/>
        <w:widowControl/>
        <w:rPr/>
      </w:pPr>
      <w:r>
        <w:rPr/>
      </w:r>
    </w:p>
    <w:p>
      <w:pPr>
        <w:pStyle w:val="Normal"/>
        <w:widowControl/>
        <w:rPr/>
      </w:pPr>
      <w:r>
        <w:rPr/>
      </w:r>
    </w:p>
    <w:p>
      <w:pPr>
        <w:pStyle w:val="Normal"/>
        <w:widowControl/>
        <w:rPr/>
      </w:pPr>
      <w:r>
        <w:rPr/>
      </w:r>
    </w:p>
    <w:p>
      <w:pPr>
        <w:pStyle w:val="Normal"/>
        <w:widowControl/>
        <w:rPr/>
      </w:pPr>
      <w:r>
        <w:rPr/>
        <w:t>Mr. ______________</w:t>
      </w:r>
    </w:p>
    <w:p>
      <w:pPr>
        <w:pStyle w:val="Normal"/>
        <w:widowControl/>
        <w:rPr/>
      </w:pPr>
      <w:r>
        <w:rPr/>
        <w:t>General Electric International, Inc.</w:t>
      </w:r>
    </w:p>
    <w:p>
      <w:pPr>
        <w:pStyle w:val="Normal"/>
        <w:widowControl/>
        <w:rPr/>
      </w:pPr>
      <w:r>
        <w:rPr/>
        <w:t>One River Road</w:t>
      </w:r>
    </w:p>
    <w:p>
      <w:pPr>
        <w:pStyle w:val="Normal"/>
        <w:widowControl/>
        <w:rPr/>
      </w:pPr>
      <w:r>
        <w:rPr/>
        <w:t>Schenectady, New York 12345</w:t>
      </w:r>
    </w:p>
    <w:p>
      <w:pPr>
        <w:pStyle w:val="Normal"/>
        <w:widowControl/>
        <w:rPr/>
      </w:pPr>
      <w:r>
        <w:rPr/>
      </w:r>
    </w:p>
    <w:p>
      <w:pPr>
        <w:pStyle w:val="Normal"/>
        <w:widowControl/>
        <w:rPr/>
      </w:pPr>
      <w:r>
        <w:rPr/>
        <w:t>Attention:</w:t>
      </w:r>
    </w:p>
    <w:p>
      <w:pPr>
        <w:pStyle w:val="Normal"/>
        <w:widowControl/>
        <w:rPr/>
      </w:pPr>
      <w:r>
        <w:rPr/>
      </w:r>
    </w:p>
    <w:p>
      <w:pPr>
        <w:pStyle w:val="Normal"/>
        <w:widowControl/>
        <w:rPr/>
      </w:pPr>
      <w:r>
        <w:rPr/>
      </w:r>
    </w:p>
    <w:p>
      <w:pPr>
        <w:pStyle w:val="Normal"/>
        <w:widowControl/>
        <w:rPr/>
      </w:pPr>
      <w:r>
        <w:rPr/>
        <w:t>Dear Sirs:</w:t>
      </w:r>
    </w:p>
    <w:p>
      <w:pPr>
        <w:pStyle w:val="Normal"/>
        <w:widowControl/>
        <w:rPr/>
      </w:pPr>
      <w:r>
        <w:rPr/>
        <w:t xml:space="preserve"> </w:t>
      </w:r>
    </w:p>
    <w:p>
      <w:pPr>
        <w:pStyle w:val="Normal"/>
        <w:widowControl/>
        <w:rPr/>
      </w:pPr>
      <w:r>
        <w:rPr/>
        <w:t>This letter agreement (“Letter Agreement”) sets forth the understanding of General Electric International, Inc. ("GEII") and Enron South America LLC or its designated affiliate ("Enron"), regarding the grant by GEII and the purchase by Enron of the Reservation (as defined below) with respect to the sale and purchase of two (2) PG7121EA Gas Turbine Generator Sets, associated accessories, and associated technical direction of installation services (the "Services") (each individual gas turbine together with associated accessories and Services, a "Unit").</w:t>
      </w:r>
    </w:p>
    <w:p>
      <w:pPr>
        <w:pStyle w:val="Normal"/>
        <w:widowControl/>
        <w:rPr/>
      </w:pPr>
      <w:r>
        <w:rPr/>
      </w:r>
    </w:p>
    <w:p>
      <w:pPr>
        <w:pStyle w:val="Normal"/>
        <w:widowControl/>
        <w:rPr/>
      </w:pPr>
      <w:r>
        <w:rPr/>
        <w:t>Promptly following the execution of this Letter Agreement, the parties agree to negotiate in good faith towards the execution of a definitive purchase agreement (the "Purchase Agreement").  Westdeutsche Landesbank Girozentrale, New York Branch or another entity having a credit rating of Standard and Poor's BBB+ or better (the "Purchaser") is intended to be the nominal purchaser under the Purchase Agreement, with Enron serving as Agent.  The parties intend to finalize the terms of and execute the Purchase Agreement on or before the date (the “Reservation Effective Date”) which is thirty calendar days after the execution of this Letter Agreement subject to extension by mutual agreement of the parties.  The Purchase Agreement will be based upon the December 30, 1999, purchase agreement between affiliates of the parties relating to the Midwest Power Project as modified by this Letter Agreement, attached hereto as Attach</w:t>
        <w:softHyphen/>
        <w:t>ment 1 (the "Base Agreement"), with appropriate changes as necessary relating to the intended international placement of the Units, recent developments in the bank structure, and other changes mutually and reasonably agreed by the parties.  This Letter Agreement shall terminate upon the execution of the Purchase Agreement.</w:t>
      </w:r>
    </w:p>
    <w:p>
      <w:pPr>
        <w:pStyle w:val="Normal"/>
        <w:widowControl/>
        <w:rPr/>
      </w:pPr>
      <w:r>
        <w:rPr/>
      </w:r>
    </w:p>
    <w:p>
      <w:pPr>
        <w:pStyle w:val="Normal"/>
        <w:widowControl/>
        <w:rPr/>
      </w:pPr>
      <w:r>
        <w:rPr/>
        <w:t>GEII hereby irrevocably grants to Enron a right (the “Reservation”) to purchase one or both Units pursuant to the terms of the Base Agreement, as modified by (i) the terms set forth in this Letter Agreement and (ii) any other additional term, if any, that has been mutually agreed by the parties in writing on or prior to the Reservation Effective Date and identified as a term applicable to the Reservation, in the event that, for any reason, the Purchase Agreement is not finalized and executed by both parties on or before the Reservation Effective Date.  The Reservation shall be exercisable by Enron by delivery of written notice to GEII at the above address within fifteen (15) days of the Reservation Effective Date.  Such notice shall specify whether Enron is exercising the Reservation with respect to one or both Units and, upon delivery thereof and without any further action required to be taken by either party whatsoever, the parties shall be bound by the terms of the Base Agreement, as modified by (i) this Letter Agreement and (ii) any other additional term, if any, that has been mutually agreed by the parties in writing on or prior to the Reservation Effective Date and identified as a term applicable to the Reservation, with respect to the purchase and sale of the Unit or Units specified in such notice.  As payment in full for the Reservation, Enron shall pay a non-refundable Reservation fee within three business days of the execution of this Letter Agreement in the amount of U.S.$1,950,000 for the first Unit and U.S.$1,950,000 for the second Unit (the "Reservation Fees”).  This Letter Agreement shall become effective upon the payment of the Reservation Fees by Enron.  In the event that Enron elects to not exercise the Reservation with respect to either or both Units, it shall forfeit the Reservation Fee with respect to such Unit or Units and shall have no further liability with respect thereto.  The Reservation shall terminate on the earlier to occur of (i) execution by both parties of the Purchase Agreement or (ii) fifteen  (15) days following the Reservation Effective Date.</w:t>
      </w:r>
    </w:p>
    <w:p>
      <w:pPr>
        <w:pStyle w:val="Normal"/>
        <w:widowControl/>
        <w:rPr/>
      </w:pPr>
      <w:r>
        <w:rPr/>
      </w:r>
    </w:p>
    <w:p>
      <w:pPr>
        <w:pStyle w:val="Normal"/>
        <w:spacing w:lineRule="atLeast" w:line="240"/>
        <w:rPr>
          <w:color w:val="000000"/>
        </w:rPr>
      </w:pPr>
      <w:r>
        <w:rPr>
          <w:color w:val="000000"/>
        </w:rPr>
        <w:t>As a material inducement to enter into this Letter Agreement, each of GEII and Enron hereby represents and warrants to the other party the following:</w:t>
      </w:r>
    </w:p>
    <w:p>
      <w:pPr>
        <w:pStyle w:val="Normal"/>
        <w:spacing w:lineRule="atLeast" w:line="240"/>
        <w:rPr>
          <w:color w:val="000000"/>
        </w:rPr>
      </w:pPr>
      <w:r>
        <w:rPr>
          <w:color w:val="000000"/>
        </w:rPr>
      </w:r>
    </w:p>
    <w:p>
      <w:pPr>
        <w:pStyle w:val="Normal"/>
        <w:spacing w:lineRule="atLeast" w:line="240"/>
        <w:rPr>
          <w:color w:val="000000"/>
        </w:rPr>
      </w:pPr>
      <w:r>
        <w:rPr>
          <w:color w:val="000000"/>
        </w:rPr>
        <w:t>1.</w:t>
        <w:tab/>
        <w:t>it is a corporation, duly organized, validly existing and in good standing under the laws of its state of incorporation;</w:t>
      </w:r>
    </w:p>
    <w:p>
      <w:pPr>
        <w:pStyle w:val="Normal"/>
        <w:spacing w:lineRule="atLeast" w:line="240"/>
        <w:rPr>
          <w:color w:val="000000"/>
        </w:rPr>
      </w:pPr>
      <w:r>
        <w:rPr>
          <w:color w:val="000000"/>
        </w:rPr>
      </w:r>
    </w:p>
    <w:p>
      <w:pPr>
        <w:pStyle w:val="Normal"/>
        <w:spacing w:lineRule="atLeast" w:line="240"/>
        <w:rPr>
          <w:color w:val="000000"/>
        </w:rPr>
      </w:pPr>
      <w:r>
        <w:rPr>
          <w:color w:val="000000"/>
        </w:rPr>
        <w:t>2.</w:t>
        <w:tab/>
        <w:t>it has all the requisite corporate power and authority required for the execution, delivery and performance of this Letter Agreement and to perform its obligations hereunder, and the execution, delivery and performance hereunder is duly authorized by all necessary corporate action;</w:t>
      </w:r>
    </w:p>
    <w:p>
      <w:pPr>
        <w:pStyle w:val="Normal"/>
        <w:spacing w:lineRule="atLeast" w:line="240"/>
        <w:rPr>
          <w:color w:val="000000"/>
        </w:rPr>
      </w:pPr>
      <w:r>
        <w:rPr>
          <w:color w:val="000000"/>
        </w:rPr>
      </w:r>
    </w:p>
    <w:p>
      <w:pPr>
        <w:pStyle w:val="BodyText"/>
        <w:rPr/>
      </w:pPr>
      <w:r>
        <w:rPr/>
        <w:t>3.</w:t>
        <w:tab/>
        <w:t>Upon the receipt of the Reservation Fees, this Letter Agreement constitutes a valid and binding obligation for such party, enforceable in accordance with its terms against such party, subject to (i) bankruptcy, insolvency, reorganization and other general laws affecting creditors’ rights, and (ii) general principals of equity;</w:t>
      </w:r>
    </w:p>
    <w:p>
      <w:pPr>
        <w:pStyle w:val="Normal"/>
        <w:spacing w:lineRule="atLeast" w:line="240"/>
        <w:rPr>
          <w:color w:val="000000"/>
        </w:rPr>
      </w:pPr>
      <w:r>
        <w:rPr>
          <w:color w:val="000000"/>
        </w:rPr>
      </w:r>
    </w:p>
    <w:p>
      <w:pPr>
        <w:pStyle w:val="Normal"/>
        <w:spacing w:lineRule="atLeast" w:line="240"/>
        <w:rPr>
          <w:color w:val="000000"/>
        </w:rPr>
      </w:pPr>
      <w:r>
        <w:rPr>
          <w:color w:val="000000"/>
        </w:rPr>
        <w:t>4.</w:t>
        <w:tab/>
        <w:t>the execution, delivery and performance of this Letter Agreement does not conflict or result in a violation or breach of a party's certificate of incorporation, by-laws or other similar documents; and</w:t>
      </w:r>
    </w:p>
    <w:p>
      <w:pPr>
        <w:pStyle w:val="Normal"/>
        <w:spacing w:lineRule="atLeast" w:line="240"/>
        <w:rPr>
          <w:color w:val="000000"/>
        </w:rPr>
      </w:pPr>
      <w:r>
        <w:rPr>
          <w:color w:val="000000"/>
        </w:rPr>
      </w:r>
    </w:p>
    <w:p>
      <w:pPr>
        <w:pStyle w:val="Normal"/>
        <w:spacing w:lineRule="atLeast" w:line="240"/>
        <w:rPr>
          <w:color w:val="000000"/>
        </w:rPr>
      </w:pPr>
      <w:r>
        <w:rPr>
          <w:color w:val="000000"/>
        </w:rPr>
        <w:t>5.</w:t>
        <w:tab/>
        <w:t>there is no bankruptcy, reorganization or other proceeding under any bankruptcy, insolvency, reorganization or other similar laws with respect to creditors’ rights pending against such Party.</w:t>
      </w:r>
    </w:p>
    <w:p>
      <w:pPr>
        <w:pStyle w:val="Normal"/>
        <w:spacing w:lineRule="atLeast" w:line="240"/>
        <w:rPr>
          <w:color w:val="000000"/>
        </w:rPr>
      </w:pPr>
      <w:r>
        <w:rPr>
          <w:color w:val="000000"/>
        </w:rPr>
      </w:r>
    </w:p>
    <w:p>
      <w:pPr>
        <w:pStyle w:val="Normal"/>
        <w:spacing w:lineRule="atLeast" w:line="240"/>
        <w:rPr>
          <w:color w:val="000000"/>
        </w:rPr>
      </w:pPr>
      <w:r>
        <w:rPr>
          <w:color w:val="000000"/>
        </w:rPr>
        <w:t>Each Party hereby agrees to indemnify and hold harmless the other party for any loss, damage or claim incurred as a result of a breach of the representations and warranties set forth herein.</w:t>
      </w:r>
    </w:p>
    <w:p>
      <w:pPr>
        <w:pStyle w:val="Normal"/>
        <w:widowControl/>
        <w:rPr>
          <w:color w:val="000000"/>
        </w:rPr>
      </w:pPr>
      <w:r>
        <w:rPr>
          <w:color w:val="000000"/>
        </w:rPr>
      </w:r>
    </w:p>
    <w:p>
      <w:pPr>
        <w:pStyle w:val="Normal"/>
        <w:widowControl/>
        <w:rPr/>
      </w:pPr>
      <w:r>
        <w:rPr/>
      </w:r>
    </w:p>
    <w:p>
      <w:pPr>
        <w:pStyle w:val="Normal"/>
        <w:widowControl/>
        <w:rPr/>
      </w:pPr>
      <w:r>
        <w:rPr/>
        <w:t>The following points summarize our agreement with respect to principal variations from the Base Agreement:</w:t>
      </w:r>
    </w:p>
    <w:p>
      <w:pPr>
        <w:pStyle w:val="Normal"/>
        <w:widowControl/>
        <w:rPr/>
      </w:pPr>
      <w:r>
        <w:rPr/>
      </w:r>
    </w:p>
    <w:p>
      <w:pPr>
        <w:pStyle w:val="Normal"/>
        <w:widowControl/>
        <w:numPr>
          <w:ilvl w:val="0"/>
          <w:numId w:val="3"/>
        </w:numPr>
        <w:tabs>
          <w:tab w:val="clear" w:pos="720"/>
          <w:tab w:val="left" w:pos="-1440" w:leader="none"/>
        </w:tabs>
        <w:rPr/>
      </w:pPr>
      <w:r>
        <w:rPr/>
        <w:t xml:space="preserve">Units will be delivered EXW (as defined in Incoterms 2000, except as otherwise specified in this Letter Agreement), guaranteed to occur on or prior to February 28, 2001 and February 28, 2002 respectively ( each, a "Guaranteed Delivery Date").  Section 10.2.1.1 of the Base Agreement shall not apply; provided, however, that GEII shall use best efforts to deliver the Second Unit in advance of the Guaranteed Delivery Date.  Risk of loss and shipping costs shall remain with GEII until delivery of the Unit(s) FCA at the port of export.  Title to the Units will pass at the manufacturer’s facilities, provided that GEII will be responsible for all taxes and duties up through and including taxes and duties required for the Units to clear customs at the port of export.   Within 45 calendar days after the ODM, GEII shall provide Enron with an option for delivery DDU port of import at Puerto Suarez, Bolivia (or Puerto de Santos, Sao Paulo, Brazil).  Such option shall be competitive and shall include a guaranteed delivery date for the DDU option.  In the event Enron exercises such option, risk of loss of the Units shall remain with GEII until delivery of same at Puerto Suarez, Bolivia (or Puerto de Santos as the case may be). </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(b)</w:t>
        <w:tab/>
        <w:t>GEII will provide at its cost all necessary documentation to clear the Units and auxiliaries through customs.</w:t>
      </w:r>
    </w:p>
    <w:p>
      <w:pPr>
        <w:pStyle w:val="Normal"/>
        <w:widowControl/>
        <w:rPr/>
      </w:pPr>
      <w:r>
        <w:rPr/>
      </w:r>
    </w:p>
    <w:p>
      <w:pPr>
        <w:pStyle w:val="Normal"/>
        <w:widowControl/>
        <w:tabs>
          <w:tab w:val="clear" w:pos="720"/>
          <w:tab w:val="left" w:pos="-1440" w:leader="none"/>
        </w:tabs>
        <w:ind w:hanging="720" w:start="720" w:end="0"/>
        <w:rPr/>
      </w:pPr>
      <w:r>
        <w:rPr/>
        <w:t>(c)</w:t>
        <w:tab/>
        <w:t>The purchase price will be payable according to the payment schedule set forth in Attachment 4.  The payment schedule will be linked to appropriate and mutually agreeable physical milestones set forth in the Purchase Agreement.  Termination charges shall be in the same percentages and intervals as set forth in the termination schedule attached hereto as Attachment 6.  The payment due for the Units shall be U.S.$17,550,000 for the first Unit and U.S.$17,550,000 for the second Unit, in each case including the Services.  The parties agree that the Purchaser shall make payments directly to GEII under the Purchase Agreement.</w:t>
      </w:r>
    </w:p>
    <w:p>
      <w:pPr>
        <w:pStyle w:val="Normal"/>
        <w:widowControl/>
        <w:rPr/>
      </w:pPr>
      <w:r>
        <w:rPr/>
      </w:r>
    </w:p>
    <w:p>
      <w:pPr>
        <w:pStyle w:val="Normal"/>
        <w:widowControl/>
        <w:tabs>
          <w:tab w:val="clear" w:pos="720"/>
          <w:tab w:val="left" w:pos="-1440" w:leader="none"/>
        </w:tabs>
        <w:ind w:hanging="720" w:start="720" w:end="0"/>
        <w:rPr/>
      </w:pPr>
      <w:r>
        <w:rPr/>
        <w:t>(d)</w:t>
        <w:tab/>
        <w:t>This Letter Agreement shall be assignable by Enron with the consent of GEII, such consent not to be unreasonably withheld, conditioned or delayed; provided, however, that Enron may assign this Letter Agreement without consent to financial institution which maintains a credit rating of Standard and Poor's BBB+ or better for purposes of financing.  Following any such assignment, Enron shall provide GEII a copy of the assignment agreement and Enron shall be relieved of all liability hereunder, except with respect to any of Enron's obligations as Agent for the Purchaser.  The Purchaser may assign the Purchase Agreement in the manner de</w:t>
        <w:softHyphen/>
        <w:t>scribed in the Base Agreement; provided however, that upon any such assignment  by the Purchaser to an entity whose credit quality is less than that of Enron Corp., the assignee's payment obligations under the Purchase Agreement will be guaranteed by an entity having a credit rating of Standard and Poor's BBB+ or better, or by another appropriate guarantee, letter of credit or other assurance of payment reasonably acceptable to GEII.  The Purchase Agreement shall include the agency language set forth in Attachment 3.</w:t>
      </w:r>
    </w:p>
    <w:p>
      <w:pPr>
        <w:pStyle w:val="Normal"/>
        <w:widowControl/>
        <w:rPr/>
      </w:pPr>
      <w:r>
        <w:rPr/>
      </w:r>
    </w:p>
    <w:p>
      <w:pPr>
        <w:pStyle w:val="Normal"/>
        <w:widowControl/>
        <w:tabs>
          <w:tab w:val="clear" w:pos="720"/>
          <w:tab w:val="left" w:pos="-1440" w:leader="none"/>
        </w:tabs>
        <w:ind w:hanging="720" w:start="720" w:end="0"/>
        <w:rPr/>
      </w:pPr>
      <w:r>
        <w:rPr/>
        <w:t>(e)</w:t>
        <w:tab/>
        <w:t>Certain elements of the Base Agreement relating to Services will be incorporated into a separate in-country agreement for tax purposes.</w:t>
      </w:r>
    </w:p>
    <w:p>
      <w:pPr>
        <w:pStyle w:val="Normal"/>
        <w:widowControl/>
        <w:tabs>
          <w:tab w:val="clear" w:pos="720"/>
          <w:tab w:val="left" w:pos="-1440" w:leader="none"/>
        </w:tabs>
        <w:ind w:hanging="720" w:start="720" w:end="0"/>
        <w:rPr/>
      </w:pPr>
      <w:r>
        <w:rPr/>
      </w:r>
    </w:p>
    <w:p>
      <w:pPr>
        <w:pStyle w:val="Normal"/>
        <w:widowControl/>
        <w:tabs>
          <w:tab w:val="clear" w:pos="720"/>
          <w:tab w:val="left" w:pos="-1440" w:leader="none"/>
        </w:tabs>
        <w:ind w:hanging="720" w:start="720" w:end="0"/>
        <w:rPr/>
      </w:pPr>
      <w:r>
        <w:rPr/>
        <w:t>(f)</w:t>
        <w:tab/>
        <w:t>The Purchaser will have the option to purchase Operating Spares according to the price list set forth in Attachment 5, with an additional discount of 10%. After execution of this Letter Agreement, Enron and GEII shall negotiate exclusively for a period of sixty days towards the execution of a long-term spare parts agreement.  In the event a long-term spare parts agreement is executed, then: (i) any additional discount set forth in the long-term spare parts agreement above 10% shall apply retroactively to all Operating Spares purchased by the Purchaser; and (ii) Enron and GEII shall negotiate exclusively for a period of thirty days towards the execution of an LTSA for the maintenance of the Units.</w:t>
      </w:r>
    </w:p>
    <w:p>
      <w:pPr>
        <w:pStyle w:val="Normal"/>
        <w:widowControl/>
        <w:rPr/>
      </w:pPr>
      <w:r>
        <w:rPr/>
      </w:r>
    </w:p>
    <w:p>
      <w:pPr>
        <w:pStyle w:val="BodyTextIndent3"/>
        <w:rPr/>
      </w:pPr>
      <w:r>
        <w:rPr/>
        <w:t>(g)</w:t>
        <w:tab/>
        <w:t>Performance guarantees will be set at 77,260 kW (gross) per Unit for output and 10,730 Btu/kWh (LHV) (gross) per Unit for heat rate, based upon site conditions at Puerto Suarez, Bolivia attached hereto as Attachment 2.</w:t>
      </w:r>
    </w:p>
    <w:p>
      <w:pPr>
        <w:pStyle w:val="Normal"/>
        <w:widowControl/>
        <w:tabs>
          <w:tab w:val="clear" w:pos="720"/>
          <w:tab w:val="left" w:pos="-1440" w:leader="none"/>
        </w:tabs>
        <w:ind w:hanging="720" w:start="720" w:end="0"/>
        <w:rPr/>
      </w:pPr>
      <w:r>
        <w:rPr/>
      </w:r>
    </w:p>
    <w:p>
      <w:pPr>
        <w:pStyle w:val="BodyTextIndent3"/>
        <w:rPr/>
      </w:pPr>
      <w:r>
        <w:rPr/>
        <w:t>(h)</w:t>
        <w:tab/>
        <w:t>Upon any retest of a Performance Test, GEII will reimburse Enron for its costs of testing (other than for Enron's personnel costs and fuel costs).</w:t>
      </w:r>
      <w:r>
        <w:rPr>
          <w:b/>
        </w:rPr>
        <w:t xml:space="preserve"> </w:t>
      </w:r>
    </w:p>
    <w:p>
      <w:pPr>
        <w:pStyle w:val="Header"/>
        <w:widowControl/>
        <w:tabs>
          <w:tab w:val="clear" w:pos="4320"/>
          <w:tab w:val="clear" w:pos="8640"/>
        </w:tabs>
        <w:rPr>
          <w:b/>
        </w:rPr>
      </w:pPr>
      <w:r>
        <w:rPr>
          <w:b/>
        </w:rPr>
      </w:r>
    </w:p>
    <w:p>
      <w:pPr>
        <w:pStyle w:val="Normal"/>
        <w:widowControl/>
        <w:tabs>
          <w:tab w:val="clear" w:pos="720"/>
          <w:tab w:val="left" w:pos="-1440" w:leader="none"/>
        </w:tabs>
        <w:ind w:hanging="720" w:start="720" w:end="0"/>
        <w:rPr/>
      </w:pPr>
      <w:r>
        <w:rPr/>
        <w:t>(i)</w:t>
        <w:tab/>
        <w:t xml:space="preserve">There will be no degradation for purposes of performance testing until 400 EOH.  </w:t>
      </w:r>
    </w:p>
    <w:p>
      <w:pPr>
        <w:pStyle w:val="Normal"/>
        <w:widowControl/>
        <w:rPr/>
      </w:pPr>
      <w:r>
        <w:rPr/>
        <w:t xml:space="preserve"> </w:t>
      </w:r>
    </w:p>
    <w:p>
      <w:pPr>
        <w:pStyle w:val="Normal"/>
        <w:widowControl/>
        <w:numPr>
          <w:ilvl w:val="0"/>
          <w:numId w:val="8"/>
        </w:numPr>
        <w:rPr/>
      </w:pPr>
      <w:r>
        <w:rPr/>
        <w:t xml:space="preserve">Specific performance criteria will include heat rate (103% of guaranteed level), output (97% of guaranteed level), emissions and sound level.  </w:t>
      </w:r>
    </w:p>
    <w:p>
      <w:pPr>
        <w:pStyle w:val="Normal"/>
        <w:widowControl/>
        <w:rPr/>
      </w:pPr>
      <w:r>
        <w:rPr/>
      </w:r>
    </w:p>
    <w:p>
      <w:pPr>
        <w:pStyle w:val="Normal"/>
        <w:widowControl/>
        <w:numPr>
          <w:ilvl w:val="0"/>
          <w:numId w:val="8"/>
        </w:numPr>
        <w:rPr/>
      </w:pPr>
      <w:r>
        <w:rPr/>
        <w:t>The parties agree that the Purchaser will conduct a reliability test which shall form part of the specific performance criteria under the Purchase Agreement once the parties have agreed upon the test standards.  The reliability test will be a 72-hour test, with one outage permitted up to 4 hours.</w:t>
      </w:r>
    </w:p>
    <w:p>
      <w:pPr>
        <w:pStyle w:val="Normal"/>
        <w:widowControl/>
        <w:tabs>
          <w:tab w:val="clear" w:pos="720"/>
          <w:tab w:val="left" w:pos="-1440" w:leader="none"/>
        </w:tabs>
        <w:ind w:hanging="720" w:start="720" w:end="0"/>
        <w:rPr/>
      </w:pPr>
      <w:r>
        <w:rPr/>
      </w:r>
    </w:p>
    <w:p>
      <w:pPr>
        <w:pStyle w:val="Normal"/>
        <w:widowControl/>
        <w:tabs>
          <w:tab w:val="clear" w:pos="720"/>
          <w:tab w:val="left" w:pos="-1440" w:leader="none"/>
        </w:tabs>
        <w:ind w:hanging="720" w:start="720" w:end="0"/>
        <w:rPr/>
      </w:pPr>
      <w:r>
        <w:rPr/>
        <w:t>(k)</w:t>
        <w:tab/>
        <w:t>Liquidated damages for performance guarantees will be set at $708/kW per Unit for output and $14,650/Btu/kWh per Unit for heat rate.</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(l)</w:t>
        <w:tab/>
        <w:t xml:space="preserve">Liquidated damages for delay guarantees will be set at $14,500/day per Unit for late delivery of the Units, and $14,500/day per Unit for delay in Take Over. </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(m)</w:t>
        <w:tab/>
        <w:t>Delivery liquidated damages shall be excused only if late delivery of an auxiliary does not cause delay or additional cost in meeting the commissioning schedule.</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(n)</w:t>
        <w:tab/>
        <w:t>Take Over liquidated damages will be contingent upon allowance of a thirty (30) day time period beginning with initial synchronization of a Unit extending until it is ready for performance testing, during which time GEII will be granted reasonable access to the Unit.  Take Over liquidated damages will only be excused if all specific performance levels have been met.</w:t>
      </w:r>
    </w:p>
    <w:p>
      <w:pPr>
        <w:pStyle w:val="Normal"/>
        <w:widowControl/>
        <w:tabs>
          <w:tab w:val="clear" w:pos="720"/>
          <w:tab w:val="left" w:pos="-1440" w:leader="none"/>
        </w:tabs>
        <w:rPr/>
      </w:pPr>
      <w:r>
        <w:rPr/>
      </w:r>
    </w:p>
    <w:p>
      <w:pPr>
        <w:pStyle w:val="Normal"/>
        <w:widowControl/>
        <w:numPr>
          <w:ilvl w:val="0"/>
          <w:numId w:val="2"/>
        </w:numPr>
        <w:tabs>
          <w:tab w:val="clear" w:pos="720"/>
          <w:tab w:val="left" w:pos="-1440" w:leader="none"/>
        </w:tabs>
        <w:rPr/>
      </w:pPr>
      <w:r>
        <w:rPr/>
        <w:t>Maximum liability for liquidated damages for each Unit will be 10% of the purchase amount thereof for each of delivery, take over and output liquidated damages, 15% for heat rate liquidated damages, and 30% of the purchase amount for all liquidated damages in the aggregate.</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(p)</w:t>
        <w:tab/>
        <w:t>The financial limitation of Seller's liability of the Purchase Agreement will be in accordance with the provisions set forth in Attachment 8.</w:t>
      </w:r>
    </w:p>
    <w:p>
      <w:pPr>
        <w:pStyle w:val="Header"/>
        <w:widowControl/>
        <w:tabs>
          <w:tab w:val="clear" w:pos="4320"/>
          <w:tab w:val="clear" w:pos="8640"/>
          <w:tab w:val="left" w:pos="-1440" w:leader="none"/>
        </w:tabs>
        <w:rPr/>
      </w:pPr>
      <w:r>
        <w:rPr/>
      </w:r>
    </w:p>
    <w:p>
      <w:pPr>
        <w:pStyle w:val="Normal"/>
        <w:widowControl/>
        <w:tabs>
          <w:tab w:val="clear" w:pos="720"/>
          <w:tab w:val="left" w:pos="-1440" w:leader="none"/>
        </w:tabs>
        <w:ind w:hanging="720" w:start="720" w:end="0"/>
        <w:rPr/>
      </w:pPr>
      <w:r>
        <w:rPr/>
        <w:t>(q)</w:t>
        <w:tab/>
        <w:t xml:space="preserve">The Purchase Agreement will provide GEII protection for non-performance by approved vendors or a demonstrated sole-source licensed vendor or component manufacturer with respect to the turbine, to the extent such non-performance is caused by an event which is itself a force majeure event.  The parties will agree on a list of approved vendors for purposes of force majeure which shall be included in the Purchase Agreement.  </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(r)</w:t>
        <w:tab/>
        <w:t xml:space="preserve">The Purchase Agreement will provide that GEII will enforce and assign its vendor warranties. </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(s)</w:t>
        <w:tab/>
        <w:t>The Purchaser will indemnify GEII only against the Purchaser's default under the Purchase Agreement; there will be no indemnity for or on behalf of Agent.</w:t>
      </w:r>
    </w:p>
    <w:p>
      <w:pPr>
        <w:pStyle w:val="Normal"/>
        <w:widowControl/>
        <w:tabs>
          <w:tab w:val="clear" w:pos="720"/>
          <w:tab w:val="left" w:pos="-1440" w:leader="none"/>
        </w:tabs>
        <w:ind w:hanging="720" w:start="720" w:end="0"/>
        <w:rPr/>
      </w:pPr>
      <w:r>
        <w:rPr/>
      </w:r>
    </w:p>
    <w:p>
      <w:pPr>
        <w:pStyle w:val="Normal"/>
        <w:widowControl/>
        <w:tabs>
          <w:tab w:val="clear" w:pos="720"/>
          <w:tab w:val="left" w:pos="-1440" w:leader="none"/>
        </w:tabs>
        <w:ind w:hanging="720" w:start="720" w:end="0"/>
        <w:rPr/>
      </w:pPr>
      <w:r>
        <w:rPr/>
        <w:t xml:space="preserve"> </w:t>
      </w:r>
      <w:r>
        <w:rPr/>
        <w:t>(t)</w:t>
        <w:tab/>
        <w:t xml:space="preserve">The Units will comply with the more stringent of: (i) the applicable World Bank Guidelines with respect to emissions and sound, or (ii) Applicable Law. </w:t>
      </w:r>
    </w:p>
    <w:p>
      <w:pPr>
        <w:pStyle w:val="Normal"/>
        <w:widowControl/>
        <w:tabs>
          <w:tab w:val="clear" w:pos="720"/>
          <w:tab w:val="left" w:pos="-1440" w:leader="none"/>
        </w:tabs>
        <w:rPr/>
      </w:pPr>
      <w:r>
        <w:rPr/>
      </w:r>
    </w:p>
    <w:p>
      <w:pPr>
        <w:pStyle w:val="Normal"/>
        <w:widowControl/>
        <w:tabs>
          <w:tab w:val="clear" w:pos="720"/>
          <w:tab w:val="left" w:pos="-1440" w:leader="none"/>
        </w:tabs>
        <w:rPr/>
      </w:pPr>
      <w:r>
        <w:rPr/>
        <w:t>(u)</w:t>
        <w:tab/>
        <w:t>The Units shall be designed for single fuel natural gas.</w:t>
      </w:r>
    </w:p>
    <w:p>
      <w:pPr>
        <w:pStyle w:val="Normal"/>
        <w:widowControl/>
        <w:tabs>
          <w:tab w:val="clear" w:pos="720"/>
          <w:tab w:val="left" w:pos="-1440" w:leader="none"/>
        </w:tabs>
        <w:rPr/>
      </w:pPr>
      <w:r>
        <w:rPr/>
      </w:r>
    </w:p>
    <w:p>
      <w:pPr>
        <w:pStyle w:val="Normal"/>
        <w:widowControl/>
        <w:tabs>
          <w:tab w:val="clear" w:pos="720"/>
          <w:tab w:val="left" w:pos="-1440" w:leader="none"/>
        </w:tabs>
        <w:ind w:hanging="720" w:start="720" w:end="0"/>
        <w:rPr/>
      </w:pPr>
      <w:r>
        <w:rPr/>
        <w:t>(v)</w:t>
        <w:tab/>
        <w:t xml:space="preserve">The parties agree to hold the order definition meeting (“ODM”) for the Units no later than April 30, 2000.  The second sentence of Section 3.13 of the Base Agreement shall be deleted.  The parties shall agree upon the technical definition for the Scope of Supply no later than April 7, 2000. </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ab/>
        <w:t>GEII reserves the right to obtain, source, manufacture, fabricate and assemble (from a vendor list previously approved by Enron) the Equipment outside the United States; provided however, GEII’s sourcing plan will include at least 70% U.S. content by equipment value.  GEII shall bear any and all increases in costs, duties or taxes associated with GEII’s exercise of such right.  GEII will ship the Units or portions thereof from no more than 6 ports of export, currently expected, subject to further definition, to be Antwerp, Newport News, Jacksonville, Charleston, Philadelphia and Houston.  GEII and Enron will work in good faith to optimize transport plans.</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ab/>
        <w:t xml:space="preserve">The parties agree to delete the requirement for a marketing agreement; provided however, the termination schedule for each Unit shall be according to the termination schedule set forth in Attachment 6.   </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ab/>
        <w:t>The parties agree that Enron shall procure the required exhaust stack for the proposed facility, provided however, GEII shall provide interface drawings and appropriate engineering information necessary and sufficient for the procurement by Enron of the stack.</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 xml:space="preserve">      </w:t>
      </w:r>
      <w:r>
        <w:rPr/>
        <w:t xml:space="preserve">The Primary Warranty Period shall be limited to 12 months from the end of the installation period (such period not to exceed 36 months from delivery FCA port of export); provided, however, that in the event of a delay in the achievement of Commercial Operations caused by GEII, the foregoing period shall be extended for the period of such delay.  The parties agree to reduce the extended warranty described in the Base Agreement.  The Extended Warranty Period shall be limited to 12 months beyond the Primary Warranty Period. </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Enron shall have the right to use or assign the Units in any project without penalty.</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With respect to Articles 15, 17, 20 and 27, the parties agree that the provisions of the Base Agreement shall not apply but rather the provisions set forth in Attachment 8 shall apply.</w:t>
      </w:r>
    </w:p>
    <w:p>
      <w:pPr>
        <w:pStyle w:val="Normal"/>
        <w:widowControl/>
        <w:tabs>
          <w:tab w:val="clear" w:pos="720"/>
          <w:tab w:val="left" w:pos="-1440" w:leader="none"/>
        </w:tabs>
        <w:rPr/>
      </w:pPr>
      <w:r>
        <w:rPr/>
      </w:r>
    </w:p>
    <w:p>
      <w:pPr>
        <w:pStyle w:val="Normal"/>
        <w:widowControl/>
        <w:numPr>
          <w:ilvl w:val="0"/>
          <w:numId w:val="9"/>
        </w:numPr>
        <w:tabs>
          <w:tab w:val="clear" w:pos="720"/>
          <w:tab w:val="left" w:pos="-1440" w:leader="none"/>
        </w:tabs>
        <w:ind w:hanging="720" w:start="720" w:end="0"/>
        <w:rPr/>
      </w:pPr>
      <w:r>
        <w:rPr/>
        <w:t>GEII shall provide the final operations and maintenance instruction books, including but not limited to the spare parts books, within ninety days of the delivery of each Unit.  In the event GEII delivers such instructions later than ninety days, GEII agrees liquidated damages shall accrue at the rate set forth in Section 10.1 of the Base Agreement.</w:t>
      </w:r>
    </w:p>
    <w:p>
      <w:pPr>
        <w:pStyle w:val="Normal"/>
        <w:widowControl/>
        <w:tabs>
          <w:tab w:val="clear" w:pos="720"/>
          <w:tab w:val="left" w:pos="-1440" w:leader="none"/>
        </w:tabs>
        <w:ind w:hanging="720" w:start="720" w:end="0"/>
        <w:rPr/>
      </w:pPr>
      <w:r>
        <w:rPr/>
      </w:r>
    </w:p>
    <w:p>
      <w:pPr>
        <w:pStyle w:val="Normal"/>
        <w:widowControl/>
        <w:tabs>
          <w:tab w:val="clear" w:pos="720"/>
          <w:tab w:val="left" w:pos="-1440" w:leader="none"/>
        </w:tabs>
        <w:ind w:hanging="720" w:start="720" w:end="0"/>
        <w:rPr/>
      </w:pPr>
      <w:r>
        <w:rPr/>
        <w:t>(dd)</w:t>
        <w:tab/>
        <w:t xml:space="preserve">The Scope of Supply shall be as set forth in Attachment 7.  The Scope of Supply for Services shall include 134 man-weeks and associated costs of technical direction of installation services as per the GEII proposal dated February 22, 2000 as modified and confirmed by the e-mail forwarded to GEII by Enron on March 14, 2000 regarding local and international travel and living expenses.   </w:t>
      </w:r>
    </w:p>
    <w:p>
      <w:pPr>
        <w:pStyle w:val="Header"/>
        <w:widowControl/>
        <w:tabs>
          <w:tab w:val="clear" w:pos="4320"/>
          <w:tab w:val="clear" w:pos="8640"/>
          <w:tab w:val="left" w:pos="-1440" w:leader="none"/>
        </w:tabs>
        <w:rPr/>
      </w:pPr>
      <w:r>
        <w:rPr/>
      </w:r>
    </w:p>
    <w:p>
      <w:pPr>
        <w:pStyle w:val="Header"/>
        <w:widowControl/>
        <w:tabs>
          <w:tab w:val="clear" w:pos="4320"/>
          <w:tab w:val="clear" w:pos="8640"/>
          <w:tab w:val="left" w:pos="-1440" w:leader="none"/>
        </w:tabs>
        <w:rPr/>
      </w:pPr>
      <w:r>
        <w:rPr/>
        <w:t>(ee)</w:t>
        <w:tab/>
        <w:t>The Time for Completion shall be set forth in the Purchase Agreement.</w:t>
      </w:r>
    </w:p>
    <w:p>
      <w:pPr>
        <w:pStyle w:val="Header"/>
        <w:widowControl/>
        <w:tabs>
          <w:tab w:val="clear" w:pos="4320"/>
          <w:tab w:val="clear" w:pos="8640"/>
          <w:tab w:val="left" w:pos="-1440" w:leader="none"/>
        </w:tabs>
        <w:rPr/>
      </w:pPr>
      <w:r>
        <w:rPr/>
      </w:r>
    </w:p>
    <w:p>
      <w:pPr>
        <w:pStyle w:val="Header"/>
        <w:widowControl/>
        <w:tabs>
          <w:tab w:val="clear" w:pos="4320"/>
          <w:tab w:val="clear" w:pos="8640"/>
          <w:tab w:val="left" w:pos="-1440" w:leader="none"/>
        </w:tabs>
        <w:rPr/>
      </w:pPr>
      <w:r>
        <w:rPr/>
        <w:t>(ff)</w:t>
        <w:tab/>
        <w:t>GEII shall provided the following training services at Enron's option:</w:t>
      </w:r>
    </w:p>
    <w:p>
      <w:pPr>
        <w:pStyle w:val="Normal"/>
        <w:widowControl/>
        <w:tabs>
          <w:tab w:val="clear" w:pos="720"/>
          <w:tab w:val="left" w:pos="-1440" w:leader="none"/>
        </w:tabs>
        <w:rPr/>
      </w:pPr>
      <w:r>
        <w:rPr/>
      </w:r>
    </w:p>
    <w:p>
      <w:pPr>
        <w:pStyle w:val="Normal"/>
        <w:widowControl/>
        <w:tabs>
          <w:tab w:val="clear" w:pos="720"/>
          <w:tab w:val="left" w:pos="-1440" w:leader="none"/>
        </w:tabs>
        <w:rPr/>
      </w:pPr>
      <w:r>
        <w:rPr/>
        <w:tab/>
      </w:r>
      <w:r>
        <w:rPr>
          <w:u w:val="single"/>
        </w:rPr>
        <w:t>Training at Site</w:t>
      </w:r>
    </w:p>
    <w:p>
      <w:pPr>
        <w:pStyle w:val="Normal"/>
        <w:widowControl/>
        <w:tabs>
          <w:tab w:val="clear" w:pos="720"/>
          <w:tab w:val="left" w:pos="-1440" w:leader="none"/>
        </w:tabs>
        <w:rPr>
          <w:u w:val="single"/>
        </w:rPr>
      </w:pPr>
      <w:r>
        <w:rPr>
          <w:u w:val="single"/>
        </w:rPr>
      </w:r>
    </w:p>
    <w:p>
      <w:pPr>
        <w:pStyle w:val="Normal"/>
        <w:widowControl/>
        <w:numPr>
          <w:ilvl w:val="0"/>
          <w:numId w:val="6"/>
        </w:numPr>
        <w:tabs>
          <w:tab w:val="clear" w:pos="720"/>
          <w:tab w:val="left" w:pos="-1440" w:leader="none"/>
        </w:tabs>
        <w:rPr/>
      </w:pPr>
      <w:r>
        <w:rPr/>
        <w:t xml:space="preserve">Gas Turbine Generator Operation </w:t>
      </w:r>
    </w:p>
    <w:p>
      <w:pPr>
        <w:pStyle w:val="Normal"/>
        <w:widowControl/>
        <w:tabs>
          <w:tab w:val="clear" w:pos="720"/>
          <w:tab w:val="left" w:pos="-1440" w:leader="none"/>
        </w:tabs>
        <w:ind w:start="720" w:end="0"/>
        <w:rPr/>
      </w:pPr>
      <w:r>
        <w:rPr/>
        <w:tab/>
        <w:t>Duration:  2 weeks</w:t>
      </w:r>
    </w:p>
    <w:p>
      <w:pPr>
        <w:pStyle w:val="Normal"/>
        <w:widowControl/>
        <w:tabs>
          <w:tab w:val="clear" w:pos="720"/>
          <w:tab w:val="left" w:pos="-1440" w:leader="none"/>
        </w:tabs>
        <w:ind w:start="720" w:end="0"/>
        <w:rPr/>
      </w:pPr>
      <w:r>
        <w:rPr/>
        <w:tab/>
        <w:t>Price:</w:t>
        <w:tab/>
        <w:t>$74,500</w:t>
      </w:r>
    </w:p>
    <w:p>
      <w:pPr>
        <w:pStyle w:val="Normal"/>
        <w:widowControl/>
        <w:rPr/>
      </w:pPr>
      <w:r>
        <w:rPr/>
        <w:tab/>
        <w:tab/>
        <w:t>Maximum Attendees: 15</w:t>
      </w:r>
    </w:p>
    <w:p>
      <w:pPr>
        <w:pStyle w:val="Normal"/>
        <w:widowControl/>
        <w:rPr/>
      </w:pPr>
      <w:r>
        <w:rPr/>
      </w:r>
    </w:p>
    <w:p>
      <w:pPr>
        <w:pStyle w:val="Normal"/>
        <w:widowControl/>
        <w:numPr>
          <w:ilvl w:val="0"/>
          <w:numId w:val="6"/>
        </w:numPr>
        <w:rPr/>
      </w:pPr>
      <w:r>
        <w:rPr/>
        <w:t>Gas Turbine Generator Maintenance</w:t>
      </w:r>
    </w:p>
    <w:p>
      <w:pPr>
        <w:pStyle w:val="Normal"/>
        <w:widowControl/>
        <w:ind w:start="1440" w:end="0"/>
        <w:rPr/>
      </w:pPr>
      <w:r>
        <w:rPr/>
        <w:t>Duration:  1 week</w:t>
      </w:r>
    </w:p>
    <w:p>
      <w:pPr>
        <w:pStyle w:val="Normal"/>
        <w:widowControl/>
        <w:rPr/>
      </w:pPr>
      <w:r>
        <w:rPr/>
        <w:tab/>
        <w:tab/>
        <w:t>Price:</w:t>
        <w:tab/>
        <w:t>$43,800</w:t>
      </w:r>
    </w:p>
    <w:p>
      <w:pPr>
        <w:pStyle w:val="Normal"/>
        <w:widowControl/>
        <w:rPr/>
      </w:pPr>
      <w:r>
        <w:rPr/>
        <w:tab/>
        <w:tab/>
        <w:t>Maximum Attendees: 15</w:t>
      </w:r>
    </w:p>
    <w:p>
      <w:pPr>
        <w:pStyle w:val="Normal"/>
        <w:widowControl/>
        <w:rPr/>
      </w:pPr>
      <w:r>
        <w:rPr/>
      </w:r>
    </w:p>
    <w:p>
      <w:pPr>
        <w:pStyle w:val="Normal"/>
        <w:widowControl/>
        <w:numPr>
          <w:ilvl w:val="0"/>
          <w:numId w:val="6"/>
        </w:numPr>
        <w:rPr/>
      </w:pPr>
      <w:r>
        <w:rPr/>
        <w:t>Excitation for A.C. Generator</w:t>
      </w:r>
    </w:p>
    <w:p>
      <w:pPr>
        <w:pStyle w:val="Normal"/>
        <w:widowControl/>
        <w:ind w:start="1440" w:end="0"/>
        <w:rPr/>
      </w:pPr>
      <w:r>
        <w:rPr/>
        <w:t>Duration:  1 week</w:t>
      </w:r>
    </w:p>
    <w:p>
      <w:pPr>
        <w:pStyle w:val="Normal"/>
        <w:widowControl/>
        <w:rPr/>
      </w:pPr>
      <w:r>
        <w:rPr/>
        <w:tab/>
        <w:tab/>
        <w:t>Price:</w:t>
        <w:tab/>
        <w:t>$42,200</w:t>
      </w:r>
    </w:p>
    <w:p>
      <w:pPr>
        <w:pStyle w:val="Normal"/>
        <w:widowControl/>
        <w:rPr/>
      </w:pPr>
      <w:r>
        <w:rPr/>
        <w:tab/>
        <w:tab/>
        <w:t>Maximum Attendees: 15</w:t>
      </w:r>
    </w:p>
    <w:p>
      <w:pPr>
        <w:pStyle w:val="Normal"/>
        <w:widowControl/>
        <w:rPr/>
      </w:pPr>
      <w:r>
        <w:rPr/>
      </w:r>
    </w:p>
    <w:p>
      <w:pPr>
        <w:pStyle w:val="Normal"/>
        <w:widowControl/>
        <w:rPr/>
      </w:pPr>
      <w:r>
        <w:rPr/>
        <w:tab/>
      </w:r>
      <w:r>
        <w:rPr>
          <w:u w:val="single"/>
        </w:rPr>
        <w:t>Training at GEII Facility</w:t>
      </w:r>
    </w:p>
    <w:p>
      <w:pPr>
        <w:pStyle w:val="Normal"/>
        <w:widowControl/>
        <w:rPr>
          <w:u w:val="single"/>
        </w:rPr>
      </w:pPr>
      <w:r>
        <w:rPr>
          <w:u w:val="single"/>
        </w:rPr>
      </w:r>
    </w:p>
    <w:p>
      <w:pPr>
        <w:pStyle w:val="Header"/>
        <w:widowControl/>
        <w:tabs>
          <w:tab w:val="clear" w:pos="4320"/>
          <w:tab w:val="clear" w:pos="8640"/>
        </w:tabs>
        <w:rPr/>
      </w:pPr>
      <w:r>
        <w:rPr/>
        <w:tab/>
        <w:tab/>
        <w:t>Gas Turbine Speedtronic Mark V Control</w:t>
      </w:r>
    </w:p>
    <w:p>
      <w:pPr>
        <w:pStyle w:val="Header"/>
        <w:widowControl/>
        <w:tabs>
          <w:tab w:val="clear" w:pos="4320"/>
          <w:tab w:val="clear" w:pos="8640"/>
        </w:tabs>
        <w:rPr/>
      </w:pPr>
      <w:r>
        <w:rPr/>
      </w:r>
    </w:p>
    <w:p>
      <w:pPr>
        <w:pStyle w:val="Normal"/>
        <w:widowControl/>
        <w:ind w:start="1440" w:end="0"/>
        <w:rPr>
          <w:i/>
          <w:i/>
        </w:rPr>
      </w:pPr>
      <w:r>
        <w:rPr>
          <w:i/>
        </w:rPr>
        <w:t>Option 1</w:t>
      </w:r>
    </w:p>
    <w:p>
      <w:pPr>
        <w:pStyle w:val="Normal"/>
        <w:widowControl/>
        <w:ind w:start="1440" w:end="0"/>
        <w:rPr/>
      </w:pPr>
      <w:r>
        <w:rPr/>
        <w:t>Duration:  2 weeks</w:t>
      </w:r>
    </w:p>
    <w:p>
      <w:pPr>
        <w:pStyle w:val="Normal"/>
        <w:widowControl/>
        <w:ind w:start="1440" w:end="0"/>
        <w:rPr/>
      </w:pPr>
      <w:r>
        <w:rPr/>
        <w:t>Price:  $74,500</w:t>
      </w:r>
    </w:p>
    <w:p>
      <w:pPr>
        <w:pStyle w:val="Normal"/>
        <w:widowControl/>
        <w:ind w:start="1440" w:end="0"/>
        <w:rPr/>
      </w:pPr>
      <w:r>
        <w:rPr/>
        <w:t>Maximum Attendees:  15</w:t>
      </w:r>
    </w:p>
    <w:p>
      <w:pPr>
        <w:pStyle w:val="Normal"/>
        <w:widowControl/>
        <w:ind w:start="1440" w:end="0"/>
        <w:rPr/>
      </w:pPr>
      <w:r>
        <w:rPr/>
      </w:r>
    </w:p>
    <w:p>
      <w:pPr>
        <w:pStyle w:val="Normal"/>
        <w:widowControl/>
        <w:ind w:start="1440" w:end="0"/>
        <w:rPr>
          <w:i/>
          <w:i/>
        </w:rPr>
      </w:pPr>
      <w:r>
        <w:rPr>
          <w:i/>
        </w:rPr>
        <w:t>Option 2</w:t>
      </w:r>
    </w:p>
    <w:p>
      <w:pPr>
        <w:pStyle w:val="Normal"/>
        <w:widowControl/>
        <w:ind w:start="1440" w:end="0"/>
        <w:rPr/>
      </w:pPr>
      <w:r>
        <w:rPr/>
        <w:t>Duration:  9 ½ days</w:t>
      </w:r>
    </w:p>
    <w:p>
      <w:pPr>
        <w:pStyle w:val="Normal"/>
        <w:widowControl/>
        <w:rPr/>
      </w:pPr>
      <w:r>
        <w:rPr/>
        <w:tab/>
        <w:tab/>
        <w:t>Tuition for year 2000 training: $4,500 per person</w:t>
      </w:r>
    </w:p>
    <w:p>
      <w:pPr>
        <w:pStyle w:val="Normal"/>
        <w:widowControl/>
        <w:rPr/>
      </w:pPr>
      <w:r>
        <w:rPr/>
        <w:tab/>
        <w:tab/>
        <w:t>Tuition for year 2001 training: $5,000 per person</w:t>
      </w:r>
    </w:p>
    <w:p>
      <w:pPr>
        <w:pStyle w:val="Normal"/>
        <w:widowControl/>
        <w:rPr/>
      </w:pPr>
      <w:r>
        <w:rPr/>
      </w:r>
    </w:p>
    <w:p>
      <w:pPr>
        <w:pStyle w:val="Normal"/>
        <w:widowControl/>
        <w:rPr/>
      </w:pPr>
      <w:r>
        <w:rPr/>
        <w:t>This Letter Agreement shall be interpreted under and governed by the laws of New York, U.S.A. Any disputes arising under this Letter Agreement shall be resolved by arbitration in accordance with Article XXVI of the Base Agreement.</w:t>
      </w:r>
      <w:r>
        <w:br w:type="page"/>
      </w:r>
    </w:p>
    <w:p>
      <w:pPr>
        <w:pStyle w:val="Normal"/>
        <w:widowControl/>
        <w:rPr/>
      </w:pPr>
      <w:r>
        <w:rPr/>
      </w:r>
    </w:p>
    <w:p>
      <w:pPr>
        <w:pStyle w:val="Normal"/>
        <w:widowControl/>
        <w:ind w:firstLine="1440" w:end="0"/>
        <w:rPr/>
      </w:pPr>
      <w:r>
        <w:rPr/>
        <w:t>Please indicate your acknowledgment of the foregoing by affixing the signature of your authorized representatives in the space provided below.</w:t>
      </w:r>
    </w:p>
    <w:p>
      <w:pPr>
        <w:pStyle w:val="Normal"/>
        <w:widowControl/>
        <w:rPr/>
      </w:pPr>
      <w:r>
        <w:rPr/>
      </w:r>
    </w:p>
    <w:p>
      <w:pPr>
        <w:pStyle w:val="Normal"/>
        <w:widowControl/>
        <w:ind w:firstLine="3600" w:end="0"/>
        <w:rPr/>
      </w:pPr>
      <w:r>
        <w:rPr/>
        <w:t>Sincerely,</w:t>
      </w:r>
    </w:p>
    <w:p>
      <w:pPr>
        <w:pStyle w:val="Normal"/>
        <w:widowControl/>
        <w:rPr/>
      </w:pPr>
      <w:r>
        <w:rPr/>
      </w:r>
    </w:p>
    <w:p>
      <w:pPr>
        <w:pStyle w:val="Normal"/>
        <w:widowControl/>
        <w:ind w:firstLine="3600" w:end="0"/>
        <w:rPr/>
      </w:pPr>
      <w:r>
        <w:rPr/>
        <w:t>ENRON SOUTH AMERICA LLC</w:t>
      </w:r>
    </w:p>
    <w:p>
      <w:pPr>
        <w:pStyle w:val="Normal"/>
        <w:widowControl/>
        <w:rPr/>
      </w:pPr>
      <w:r>
        <w:rPr/>
      </w:r>
    </w:p>
    <w:p>
      <w:pPr>
        <w:pStyle w:val="Normal"/>
        <w:widowControl/>
        <w:rPr/>
      </w:pPr>
      <w:r>
        <w:rPr/>
      </w:r>
    </w:p>
    <w:p>
      <w:pPr>
        <w:pStyle w:val="Normal"/>
        <w:widowControl/>
        <w:ind w:firstLine="3600" w:end="0"/>
        <w:rPr/>
      </w:pPr>
      <w:r>
        <w:rPr/>
        <w:t>By: ___________________</w:t>
      </w:r>
    </w:p>
    <w:p>
      <w:pPr>
        <w:pStyle w:val="Normal"/>
        <w:widowControl/>
        <w:ind w:firstLine="3600" w:end="0"/>
        <w:rPr/>
      </w:pPr>
      <w:r>
        <w:rPr/>
        <w:t>Name:_________________</w:t>
      </w:r>
    </w:p>
    <w:p>
      <w:pPr>
        <w:pStyle w:val="Normal"/>
        <w:widowControl/>
        <w:ind w:firstLine="3600" w:end="0"/>
        <w:rPr/>
      </w:pPr>
      <w:r>
        <w:rPr/>
        <w:t>Title: __________________</w:t>
      </w:r>
    </w:p>
    <w:p>
      <w:pPr>
        <w:pStyle w:val="Normal"/>
        <w:widowControl/>
        <w:ind w:firstLine="5760" w:end="0"/>
        <w:rPr/>
      </w:pPr>
      <w:r>
        <w:rPr/>
      </w:r>
    </w:p>
    <w:p>
      <w:pPr>
        <w:pStyle w:val="Normal"/>
        <w:widowControl/>
        <w:rPr/>
      </w:pPr>
      <w:r>
        <w:rPr/>
      </w:r>
    </w:p>
    <w:p>
      <w:pPr>
        <w:pStyle w:val="Normal"/>
        <w:widowControl/>
        <w:ind w:firstLine="5760" w:end="0"/>
        <w:rPr/>
      </w:pPr>
      <w:r>
        <w:rPr/>
        <w:t xml:space="preserve"> </w:t>
      </w:r>
    </w:p>
    <w:p>
      <w:pPr>
        <w:pStyle w:val="Normal"/>
        <w:widowControl/>
        <w:rPr/>
      </w:pPr>
      <w:r>
        <w:rPr/>
        <w:t>ACKNOWLEDGED AND AGREED THIS ___ DAY</w:t>
      </w:r>
    </w:p>
    <w:p>
      <w:pPr>
        <w:pStyle w:val="Normal"/>
        <w:widowControl/>
        <w:rPr/>
      </w:pPr>
      <w:r>
        <w:rPr/>
        <w:t>OF MARCH, 2000</w:t>
      </w:r>
    </w:p>
    <w:p>
      <w:pPr>
        <w:pStyle w:val="Normal"/>
        <w:widowControl/>
        <w:rPr/>
      </w:pPr>
      <w:r>
        <w:rPr/>
      </w:r>
    </w:p>
    <w:p>
      <w:pPr>
        <w:pStyle w:val="Normal"/>
        <w:widowControl/>
        <w:rPr/>
      </w:pPr>
      <w:r>
        <w:rPr/>
        <w:t>GENERAL ELECTRIC INTERNATIONAL, INC.</w:t>
      </w:r>
    </w:p>
    <w:p>
      <w:pPr>
        <w:pStyle w:val="Normal"/>
        <w:widowControl/>
        <w:rPr/>
      </w:pPr>
      <w:r>
        <w:rPr/>
      </w:r>
    </w:p>
    <w:p>
      <w:pPr>
        <w:pStyle w:val="Normal"/>
        <w:widowControl/>
        <w:rPr/>
      </w:pPr>
      <w:r>
        <w:rPr/>
      </w:r>
    </w:p>
    <w:p>
      <w:pPr>
        <w:pStyle w:val="Normal"/>
        <w:widowControl/>
        <w:rPr/>
      </w:pPr>
      <w:r>
        <w:rPr/>
        <w:t>By: ___________________</w:t>
      </w:r>
    </w:p>
    <w:p>
      <w:pPr>
        <w:pStyle w:val="Normal"/>
        <w:widowControl/>
        <w:rPr/>
      </w:pPr>
      <w:r>
        <w:rPr/>
        <w:t>Name:_________________</w:t>
      </w:r>
    </w:p>
    <w:p>
      <w:pPr>
        <w:sectPr>
          <w:footerReference w:type="default" r:id="rId2"/>
          <w:footerReference w:type="first" r:id="rId3"/>
          <w:type w:val="nextPage"/>
          <w:pgSz w:w="12240" w:h="15840"/>
          <w:pgMar w:left="2160" w:right="1872" w:gutter="0" w:header="0" w:top="2160" w:footer="1440" w:bottom="1800"/>
          <w:pgNumType w:fmt="decimal"/>
          <w:formProt w:val="false"/>
          <w:titlePg/>
          <w:textDirection w:val="lrTb"/>
          <w:docGrid w:type="default" w:linePitch="360" w:charSpace="0"/>
        </w:sectPr>
        <w:pStyle w:val="Normal"/>
        <w:widowControl/>
        <w:rPr/>
      </w:pPr>
      <w:r>
        <w:rPr/>
        <w:t>Title: __________________</w:t>
      </w:r>
    </w:p>
    <w:p>
      <w:pPr>
        <w:pStyle w:val="Header"/>
        <w:widowControl/>
        <w:tabs>
          <w:tab w:val="clear" w:pos="4320"/>
          <w:tab w:val="clear" w:pos="8640"/>
        </w:tabs>
        <w:rPr/>
      </w:pPr>
      <w:r>
        <w:rPr/>
      </w:r>
    </w:p>
    <w:p>
      <w:pPr>
        <w:pStyle w:val="Header"/>
        <w:widowControl/>
        <w:tabs>
          <w:tab w:val="clear" w:pos="4320"/>
          <w:tab w:val="clear" w:pos="8640"/>
          <w:tab w:val="center" w:pos="4104" w:leader="none"/>
        </w:tabs>
        <w:rPr/>
      </w:pPr>
      <w:r>
        <w:rPr/>
        <w:tab/>
      </w:r>
      <w:r>
        <w:rPr>
          <w:b/>
        </w:rPr>
        <w:t>ATTACHMENT 1</w:t>
      </w:r>
    </w:p>
    <w:p>
      <w:pPr>
        <w:pStyle w:val="Normal"/>
        <w:widowControl/>
        <w:rPr>
          <w:b/>
        </w:rPr>
      </w:pPr>
      <w:r>
        <w:rPr>
          <w:b/>
        </w:rPr>
      </w:r>
    </w:p>
    <w:p>
      <w:pPr>
        <w:pStyle w:val="Normal"/>
        <w:widowControl/>
        <w:tabs>
          <w:tab w:val="clear" w:pos="720"/>
          <w:tab w:val="center" w:pos="4104" w:leader="none"/>
        </w:tabs>
        <w:rPr>
          <w:b/>
        </w:rPr>
      </w:pPr>
      <w:r>
        <w:rPr>
          <w:b/>
        </w:rPr>
        <w:tab/>
        <w:t>BASE AGREEMENT</w:t>
      </w:r>
    </w:p>
    <w:p>
      <w:pPr>
        <w:pStyle w:val="Normal"/>
        <w:widowControl/>
        <w:tabs>
          <w:tab w:val="clear" w:pos="720"/>
          <w:tab w:val="center" w:pos="4104" w:leader="none"/>
        </w:tabs>
        <w:rPr>
          <w:b/>
        </w:rPr>
      </w:pPr>
      <w:r>
        <w:rPr>
          <w:b/>
        </w:rPr>
      </w:r>
    </w:p>
    <w:p>
      <w:pPr>
        <w:pStyle w:val="Normal"/>
        <w:widowControl/>
        <w:tabs>
          <w:tab w:val="clear" w:pos="720"/>
          <w:tab w:val="center" w:pos="4104" w:leader="none"/>
        </w:tabs>
        <w:rPr>
          <w:b/>
        </w:rPr>
      </w:pPr>
      <w:r>
        <w:rPr>
          <w:b/>
        </w:rPr>
      </w:r>
    </w:p>
    <w:p>
      <w:pPr>
        <w:sectPr>
          <w:footerReference w:type="default" r:id="rId4"/>
          <w:footerReference w:type="first" r:id="rId5"/>
          <w:type w:val="nextPage"/>
          <w:pgSz w:w="12240" w:h="15840"/>
          <w:pgMar w:left="2160" w:right="1872" w:gutter="0" w:header="0" w:top="2160" w:footer="1440" w:bottom="1800"/>
          <w:pgNumType w:fmt="decimal"/>
          <w:formProt w:val="false"/>
          <w:titlePg/>
          <w:textDirection w:val="lrTb"/>
          <w:docGrid w:type="default" w:linePitch="360" w:charSpace="0"/>
        </w:sectPr>
        <w:pStyle w:val="Normal"/>
        <w:widowControl/>
        <w:tabs>
          <w:tab w:val="clear" w:pos="720"/>
          <w:tab w:val="center" w:pos="4104" w:leader="none"/>
        </w:tabs>
        <w:jc w:val="center"/>
        <w:rPr>
          <w:sz w:val="22"/>
        </w:rPr>
      </w:pPr>
      <w:r>
        <w:rPr/>
        <w:t>[Transmitted separately]</w:t>
      </w:r>
    </w:p>
    <w:p>
      <w:pPr>
        <w:pStyle w:val="Normal"/>
        <w:widowControl/>
        <w:tabs>
          <w:tab w:val="clear" w:pos="720"/>
          <w:tab w:val="center" w:pos="4104" w:leader="none"/>
        </w:tabs>
        <w:rPr>
          <w:rFonts w:ascii="Arial" w:hAnsi="Arial" w:cs="Arial"/>
          <w:b/>
          <w:sz w:val="22"/>
        </w:rPr>
      </w:pPr>
      <w:r>
        <w:rPr>
          <w:rFonts w:cs="Arial" w:ascii="Arial" w:hAnsi="Arial"/>
          <w:b/>
          <w:sz w:val="22"/>
        </w:rPr>
      </w:r>
    </w:p>
    <w:p>
      <w:pPr>
        <w:pStyle w:val="Normal"/>
        <w:jc w:val="center"/>
        <w:rPr>
          <w:rFonts w:ascii="Arial" w:hAnsi="Arial" w:cs="Arial"/>
          <w:b/>
          <w:sz w:val="28"/>
        </w:rPr>
      </w:pPr>
      <w:r>
        <w:rPr>
          <w:rFonts w:cs="Arial" w:ascii="Arial" w:hAnsi="Arial"/>
          <w:b/>
          <w:sz w:val="28"/>
        </w:rPr>
      </w:r>
    </w:p>
    <w:p>
      <w:pPr>
        <w:pStyle w:val="Normal"/>
        <w:jc w:val="center"/>
        <w:rPr>
          <w:b/>
        </w:rPr>
      </w:pPr>
      <w:r>
        <w:rPr>
          <w:b/>
        </w:rPr>
        <w:t>ATTACHMENT 2</w:t>
      </w:r>
    </w:p>
    <w:p>
      <w:pPr>
        <w:pStyle w:val="Normal"/>
        <w:jc w:val="center"/>
        <w:rPr>
          <w:rFonts w:ascii="Arial" w:hAnsi="Arial" w:cs="Arial"/>
          <w:b/>
        </w:rPr>
      </w:pPr>
      <w:r>
        <w:rPr>
          <w:rFonts w:cs="Arial" w:ascii="Arial" w:hAnsi="Arial"/>
          <w:b/>
        </w:rPr>
      </w:r>
    </w:p>
    <w:p>
      <w:pPr>
        <w:pStyle w:val="Normal"/>
        <w:jc w:val="center"/>
        <w:rPr>
          <w:b/>
        </w:rPr>
      </w:pPr>
      <w:r>
        <w:rPr>
          <w:b/>
        </w:rPr>
        <w:t>BASIS CONDITIONS</w:t>
      </w:r>
    </w:p>
    <w:p>
      <w:pPr>
        <w:pStyle w:val="Normal"/>
        <w:jc w:val="center"/>
        <w:rPr>
          <w:rFonts w:ascii="Arial" w:hAnsi="Arial" w:cs="Arial"/>
          <w:u w:val="single"/>
        </w:rPr>
      </w:pPr>
      <w:r>
        <w:rPr>
          <w:rFonts w:cs="Arial" w:ascii="Arial" w:hAnsi="Arial"/>
          <w:u w:val="single"/>
        </w:rPr>
      </w:r>
    </w:p>
    <w:p>
      <w:pPr>
        <w:pStyle w:val="Normal"/>
        <w:jc w:val="center"/>
        <w:rPr>
          <w:rFonts w:ascii="Arial" w:hAnsi="Arial" w:cs="Arial"/>
          <w:u w:val="single"/>
        </w:rPr>
      </w:pPr>
      <w:r>
        <w:rPr>
          <w:rFonts w:cs="Arial" w:ascii="Arial" w:hAnsi="Arial"/>
          <w:u w:val="single"/>
        </w:rPr>
      </w:r>
    </w:p>
    <w:p>
      <w:pPr>
        <w:pStyle w:val="Normal"/>
        <w:jc w:val="center"/>
        <w:rPr>
          <w:rFonts w:ascii="Arial" w:hAnsi="Arial" w:cs="Arial"/>
          <w:u w:val="single"/>
        </w:rPr>
      </w:pPr>
      <w:r>
        <w:rPr>
          <w:rFonts w:cs="Arial" w:ascii="Arial" w:hAnsi="Arial"/>
          <w:u w:val="single"/>
        </w:rPr>
      </w:r>
    </w:p>
    <w:p>
      <w:pPr>
        <w:pStyle w:val="Normal"/>
        <w:rPr>
          <w:rFonts w:ascii="Arial" w:hAnsi="Arial" w:cs="Arial"/>
          <w:u w:val="single"/>
        </w:rPr>
      </w:pPr>
      <w:r>
        <w:rPr>
          <w:rFonts w:cs="Arial" w:ascii="Arial" w:hAnsi="Arial"/>
          <w:u w:val="single"/>
        </w:rPr>
      </w:r>
    </w:p>
    <w:p>
      <w:pPr>
        <w:pStyle w:val="Normal"/>
        <w:rPr>
          <w:rFonts w:ascii="Arial" w:hAnsi="Arial" w:cs="Arial"/>
        </w:rPr>
      </w:pPr>
      <w:r>
        <w:rPr>
          <w:rFonts w:cs="Arial" w:ascii="Arial" w:hAnsi="Arial"/>
        </w:rPr>
      </w:r>
    </w:p>
    <w:p>
      <w:pPr>
        <w:pStyle w:val="Normal"/>
        <w:rPr>
          <w:rFonts w:ascii="Arial" w:hAnsi="Arial" w:cs="Arial"/>
          <w:sz w:val="22"/>
        </w:rPr>
      </w:pPr>
      <w:r>
        <w:rPr>
          <w:rFonts w:cs="Arial" w:ascii="Arial" w:hAnsi="Arial"/>
          <w:sz w:val="22"/>
        </w:rPr>
        <w:t>Design conditions for the GTG shall be as set forth below:</w:t>
      </w:r>
    </w:p>
    <w:p>
      <w:pPr>
        <w:pStyle w:val="Normal"/>
        <w:rPr>
          <w:rFonts w:ascii="Arial" w:hAnsi="Arial" w:cs="Arial"/>
          <w:sz w:val="22"/>
        </w:rPr>
      </w:pPr>
      <w:r>
        <w:rPr>
          <w:rFonts w:cs="Arial" w:ascii="Arial" w:hAnsi="Arial"/>
          <w:sz w:val="22"/>
        </w:rPr>
      </w:r>
    </w:p>
    <w:tbl>
      <w:tblPr>
        <w:tblW w:w="8856" w:type="dxa"/>
        <w:jc w:val="start"/>
        <w:tblInd w:w="0" w:type="dxa"/>
        <w:tblLayout w:type="fixed"/>
        <w:tblCellMar>
          <w:top w:w="0" w:type="dxa"/>
          <w:start w:w="108" w:type="dxa"/>
          <w:bottom w:w="0" w:type="dxa"/>
          <w:end w:w="108" w:type="dxa"/>
        </w:tblCellMar>
      </w:tblPr>
      <w:tblGrid>
        <w:gridCol w:w="4608"/>
        <w:gridCol w:w="2160"/>
        <w:gridCol w:w="2088"/>
      </w:tblGrid>
      <w:tr>
        <w:trPr/>
        <w:tc>
          <w:tcPr>
            <w:tcW w:w="4608" w:type="dxa"/>
            <w:tcBorders>
              <w:top w:val="double" w:sz="4" w:space="0" w:color="000000"/>
              <w:start w:val="double" w:sz="4" w:space="0" w:color="000000"/>
              <w:bottom w:val="single" w:sz="4" w:space="0" w:color="000000"/>
              <w:end w:val="single" w:sz="4" w:space="0" w:color="000000"/>
            </w:tcBorders>
          </w:tcPr>
          <w:p>
            <w:pPr>
              <w:pStyle w:val="Normal"/>
              <w:jc w:val="center"/>
              <w:rPr>
                <w:b/>
              </w:rPr>
            </w:pPr>
            <w:r>
              <w:rPr>
                <w:b/>
              </w:rPr>
              <w:t>Fuel</w:t>
            </w:r>
          </w:p>
        </w:tc>
        <w:tc>
          <w:tcPr>
            <w:tcW w:w="2160" w:type="dxa"/>
            <w:tcBorders>
              <w:top w:val="double" w:sz="4" w:space="0" w:color="000000"/>
              <w:start w:val="single" w:sz="4" w:space="0" w:color="000000"/>
              <w:bottom w:val="single" w:sz="4" w:space="0" w:color="000000"/>
              <w:end w:val="single" w:sz="4" w:space="0" w:color="000000"/>
            </w:tcBorders>
          </w:tcPr>
          <w:p>
            <w:pPr>
              <w:pStyle w:val="Normal"/>
              <w:spacing w:lineRule="auto" w:line="360"/>
              <w:jc w:val="center"/>
              <w:rPr>
                <w:rFonts w:ascii="Arial" w:hAnsi="Arial" w:cs="Arial"/>
                <w:b/>
                <w:sz w:val="22"/>
              </w:rPr>
            </w:pPr>
            <w:r>
              <w:rPr>
                <w:rFonts w:cs="Arial" w:ascii="Arial" w:hAnsi="Arial"/>
                <w:b/>
                <w:sz w:val="22"/>
              </w:rPr>
              <w:t>Natural Gas</w:t>
            </w:r>
          </w:p>
        </w:tc>
        <w:tc>
          <w:tcPr>
            <w:tcW w:w="2088" w:type="dxa"/>
            <w:tcBorders>
              <w:top w:val="double" w:sz="4" w:space="0" w:color="000000"/>
              <w:start w:val="single" w:sz="4" w:space="0" w:color="000000"/>
              <w:bottom w:val="single" w:sz="4" w:space="0" w:color="000000"/>
              <w:end w:val="double" w:sz="4" w:space="0" w:color="000000"/>
            </w:tcBorders>
          </w:tcPr>
          <w:p>
            <w:pPr>
              <w:pStyle w:val="Normal"/>
              <w:spacing w:lineRule="auto" w:line="360"/>
              <w:jc w:val="center"/>
              <w:rPr>
                <w:rFonts w:ascii="Arial" w:hAnsi="Arial" w:cs="Arial"/>
                <w:b/>
                <w:sz w:val="22"/>
              </w:rPr>
            </w:pPr>
            <w:r>
              <w:rPr>
                <w:rFonts w:cs="Arial" w:ascii="Arial" w:hAnsi="Arial"/>
                <w:b/>
                <w:sz w:val="22"/>
              </w:rPr>
              <w:t>Units of Measure</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napToGrid w:val="false"/>
              <w:spacing w:lineRule="auto" w:line="360"/>
              <w:rPr>
                <w:rFonts w:ascii="Arial" w:hAnsi="Arial" w:cs="Arial"/>
                <w:b/>
                <w:sz w:val="22"/>
              </w:rPr>
            </w:pPr>
            <w:r>
              <w:rPr>
                <w:rFonts w:cs="Arial" w:ascii="Arial" w:hAnsi="Arial"/>
                <w:b/>
                <w:sz w:val="22"/>
              </w:rPr>
            </w:r>
          </w:p>
        </w:tc>
        <w:tc>
          <w:tcPr>
            <w:tcW w:w="21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rPr>
                <w:rFonts w:ascii="Arial" w:hAnsi="Arial" w:cs="Arial"/>
                <w:sz w:val="22"/>
              </w:rPr>
            </w:pPr>
            <w:r>
              <w:rPr>
                <w:rFonts w:cs="Arial" w:ascii="Arial" w:hAnsi="Arial"/>
                <w:sz w:val="22"/>
              </w:rPr>
            </w:r>
          </w:p>
        </w:tc>
        <w:tc>
          <w:tcPr>
            <w:tcW w:w="2088" w:type="dxa"/>
            <w:tcBorders>
              <w:top w:val="single" w:sz="4" w:space="0" w:color="000000"/>
              <w:start w:val="single" w:sz="4" w:space="0" w:color="000000"/>
              <w:bottom w:val="single" w:sz="4" w:space="0" w:color="000000"/>
              <w:end w:val="double" w:sz="4" w:space="0" w:color="000000"/>
            </w:tcBorders>
          </w:tcPr>
          <w:p>
            <w:pPr>
              <w:pStyle w:val="Normal"/>
              <w:snapToGrid w:val="false"/>
              <w:spacing w:lineRule="auto" w:line="360"/>
              <w:rPr>
                <w:rFonts w:ascii="Arial" w:hAnsi="Arial" w:cs="Arial"/>
                <w:sz w:val="22"/>
              </w:rPr>
            </w:pPr>
            <w:r>
              <w:rPr>
                <w:rFonts w:cs="Arial" w:ascii="Arial" w:hAnsi="Arial"/>
                <w:sz w:val="22"/>
              </w:rPr>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Fuel Composition</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Methane</w:t>
            </w:r>
          </w:p>
        </w:tc>
        <w:tc>
          <w:tcPr>
            <w:tcW w:w="2088" w:type="dxa"/>
            <w:tcBorders>
              <w:top w:val="single" w:sz="4" w:space="0" w:color="000000"/>
              <w:start w:val="single" w:sz="4" w:space="0" w:color="000000"/>
              <w:bottom w:val="single" w:sz="4" w:space="0" w:color="000000"/>
              <w:end w:val="double" w:sz="4" w:space="0" w:color="000000"/>
            </w:tcBorders>
          </w:tcPr>
          <w:p>
            <w:pPr>
              <w:pStyle w:val="Normal"/>
              <w:snapToGrid w:val="false"/>
              <w:spacing w:lineRule="auto" w:line="360"/>
              <w:rPr>
                <w:rFonts w:ascii="Arial" w:hAnsi="Arial" w:cs="Arial"/>
                <w:sz w:val="22"/>
              </w:rPr>
            </w:pPr>
            <w:r>
              <w:rPr>
                <w:rFonts w:cs="Arial" w:ascii="Arial" w:hAnsi="Arial"/>
                <w:sz w:val="22"/>
              </w:rPr>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Load Condition</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Base Load</w:t>
            </w:r>
          </w:p>
        </w:tc>
        <w:tc>
          <w:tcPr>
            <w:tcW w:w="2088" w:type="dxa"/>
            <w:tcBorders>
              <w:top w:val="single" w:sz="4" w:space="0" w:color="000000"/>
              <w:start w:val="single" w:sz="4" w:space="0" w:color="000000"/>
              <w:bottom w:val="single" w:sz="4" w:space="0" w:color="000000"/>
              <w:end w:val="double" w:sz="4" w:space="0" w:color="000000"/>
            </w:tcBorders>
          </w:tcPr>
          <w:p>
            <w:pPr>
              <w:pStyle w:val="Normal"/>
              <w:snapToGrid w:val="false"/>
              <w:spacing w:lineRule="auto" w:line="360"/>
              <w:rPr>
                <w:rFonts w:ascii="Arial" w:hAnsi="Arial" w:cs="Arial"/>
                <w:sz w:val="22"/>
              </w:rPr>
            </w:pPr>
            <w:r>
              <w:rPr>
                <w:rFonts w:cs="Arial" w:ascii="Arial" w:hAnsi="Arial"/>
                <w:sz w:val="22"/>
              </w:rPr>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Ambient Temperature (Average)</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77</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pPr>
            <w:r>
              <w:rPr>
                <w:rFonts w:cs="Arial" w:ascii="Arial" w:hAnsi="Arial"/>
                <w:sz w:val="22"/>
                <w:vertAlign w:val="superscript"/>
              </w:rPr>
              <w:t>o</w:t>
            </w:r>
            <w:r>
              <w:rPr>
                <w:rFonts w:cs="Arial" w:ascii="Arial" w:hAnsi="Arial"/>
                <w:sz w:val="22"/>
              </w:rPr>
              <w:t>F</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Site Altitude</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505</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rFonts w:ascii="Arial" w:hAnsi="Arial" w:cs="Arial"/>
                <w:sz w:val="22"/>
              </w:rPr>
            </w:pPr>
            <w:r>
              <w:rPr>
                <w:rFonts w:cs="Arial" w:ascii="Arial" w:hAnsi="Arial"/>
                <w:sz w:val="22"/>
              </w:rPr>
              <w:t>Ft. Above MSL</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Barometric Pressure</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14.44</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rFonts w:ascii="Arial" w:hAnsi="Arial" w:cs="Arial"/>
                <w:sz w:val="22"/>
              </w:rPr>
            </w:pPr>
            <w:r>
              <w:rPr>
                <w:rFonts w:cs="Arial" w:ascii="Arial" w:hAnsi="Arial"/>
                <w:sz w:val="22"/>
              </w:rPr>
              <w:t>PSIA</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Ambient Relative Humidity</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95</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rFonts w:ascii="Arial" w:hAnsi="Arial" w:cs="Arial"/>
                <w:sz w:val="22"/>
              </w:rPr>
            </w:pPr>
            <w:r>
              <w:rPr>
                <w:rFonts w:cs="Arial" w:ascii="Arial" w:hAnsi="Arial"/>
                <w:sz w:val="22"/>
              </w:rPr>
              <w:t>%</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Fuel LHV @ 80deg F</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21,515</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rFonts w:ascii="Arial" w:hAnsi="Arial" w:cs="Arial"/>
                <w:sz w:val="22"/>
              </w:rPr>
            </w:pPr>
            <w:r>
              <w:rPr>
                <w:rFonts w:cs="Arial" w:ascii="Arial" w:hAnsi="Arial"/>
                <w:sz w:val="22"/>
              </w:rPr>
              <w:t>BTU/lb</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Fuel Temperature</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80</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pPr>
            <w:r>
              <w:rPr>
                <w:rFonts w:cs="Arial" w:ascii="Arial" w:hAnsi="Arial"/>
                <w:sz w:val="22"/>
                <w:vertAlign w:val="superscript"/>
              </w:rPr>
              <w:t>o</w:t>
            </w:r>
            <w:r>
              <w:rPr>
                <w:rFonts w:cs="Arial" w:ascii="Arial" w:hAnsi="Arial"/>
                <w:sz w:val="22"/>
              </w:rPr>
              <w:t>F</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Exhaust Loss (Static)</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[5.5]</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pPr>
            <w:r>
              <w:rPr>
                <w:rFonts w:cs="Arial" w:ascii="Arial" w:hAnsi="Arial"/>
                <w:sz w:val="22"/>
              </w:rPr>
              <w:t>In. H</w:t>
            </w:r>
            <w:r>
              <w:rPr>
                <w:rFonts w:cs="Arial" w:ascii="Arial" w:hAnsi="Arial"/>
                <w:sz w:val="22"/>
                <w:vertAlign w:val="subscript"/>
              </w:rPr>
              <w:t>2</w:t>
            </w:r>
            <w:r>
              <w:rPr>
                <w:rFonts w:cs="Arial" w:ascii="Arial" w:hAnsi="Arial"/>
                <w:sz w:val="22"/>
              </w:rPr>
              <w:t>0</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Inlet Loss (Static)</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[3.5]</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pPr>
            <w:r>
              <w:rPr>
                <w:rFonts w:cs="Arial" w:ascii="Arial" w:hAnsi="Arial"/>
                <w:sz w:val="22"/>
              </w:rPr>
              <w:t>In. H</w:t>
            </w:r>
            <w:r>
              <w:rPr>
                <w:rFonts w:cs="Arial" w:ascii="Arial" w:hAnsi="Arial"/>
                <w:sz w:val="22"/>
                <w:vertAlign w:val="subscript"/>
              </w:rPr>
              <w:t>2</w:t>
            </w:r>
            <w:r>
              <w:rPr>
                <w:rFonts w:cs="Arial" w:ascii="Arial" w:hAnsi="Arial"/>
                <w:sz w:val="22"/>
              </w:rPr>
              <w:t>0</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Generator Power Factor</w:t>
            </w:r>
          </w:p>
          <w:p>
            <w:pPr>
              <w:pStyle w:val="Normal"/>
              <w:spacing w:lineRule="auto" w:line="360"/>
              <w:rPr>
                <w:rFonts w:ascii="Arial" w:hAnsi="Arial" w:cs="Arial"/>
                <w:sz w:val="22"/>
              </w:rPr>
            </w:pPr>
            <w:r>
              <w:rPr>
                <w:rFonts w:cs="Arial" w:ascii="Arial" w:hAnsi="Arial"/>
                <w:sz w:val="22"/>
              </w:rPr>
              <w:t>(Lagging/Leading)</w:t>
            </w:r>
          </w:p>
        </w:tc>
        <w:tc>
          <w:tcPr>
            <w:tcW w:w="21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60"/>
              <w:rPr>
                <w:rFonts w:ascii="Arial" w:hAnsi="Arial" w:cs="Arial"/>
                <w:sz w:val="22"/>
              </w:rPr>
            </w:pPr>
            <w:r>
              <w:rPr>
                <w:rFonts w:cs="Arial" w:ascii="Arial" w:hAnsi="Arial"/>
                <w:sz w:val="22"/>
              </w:rPr>
            </w:r>
          </w:p>
          <w:p>
            <w:pPr>
              <w:pStyle w:val="Normal"/>
              <w:spacing w:lineRule="auto" w:line="360"/>
              <w:rPr>
                <w:rFonts w:ascii="Arial" w:hAnsi="Arial" w:cs="Arial"/>
                <w:sz w:val="22"/>
              </w:rPr>
            </w:pPr>
            <w:r>
              <w:rPr>
                <w:rFonts w:cs="Arial" w:ascii="Arial" w:hAnsi="Arial"/>
                <w:sz w:val="22"/>
              </w:rPr>
              <w:t>0.85 / 0.95</w:t>
            </w:r>
          </w:p>
        </w:tc>
        <w:tc>
          <w:tcPr>
            <w:tcW w:w="2088" w:type="dxa"/>
            <w:tcBorders>
              <w:top w:val="single" w:sz="4" w:space="0" w:color="000000"/>
              <w:start w:val="single" w:sz="4" w:space="0" w:color="000000"/>
              <w:bottom w:val="single" w:sz="4" w:space="0" w:color="000000"/>
              <w:end w:val="double" w:sz="4" w:space="0" w:color="000000"/>
            </w:tcBorders>
          </w:tcPr>
          <w:p>
            <w:pPr>
              <w:pStyle w:val="Normal"/>
              <w:snapToGrid w:val="false"/>
              <w:spacing w:lineRule="auto" w:line="360"/>
              <w:rPr>
                <w:rFonts w:ascii="Arial" w:hAnsi="Arial" w:cs="Arial"/>
                <w:sz w:val="22"/>
              </w:rPr>
            </w:pPr>
            <w:r>
              <w:rPr>
                <w:rFonts w:cs="Arial" w:ascii="Arial" w:hAnsi="Arial"/>
                <w:sz w:val="22"/>
              </w:rPr>
            </w:r>
          </w:p>
        </w:tc>
      </w:tr>
      <w:tr>
        <w:trPr>
          <w:trHeight w:val="413" w:hRule="atLeast"/>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Generator Frequency</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60</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rFonts w:ascii="Arial" w:hAnsi="Arial" w:cs="Arial"/>
                <w:sz w:val="22"/>
              </w:rPr>
            </w:pPr>
            <w:r>
              <w:rPr>
                <w:rFonts w:cs="Arial" w:ascii="Arial" w:hAnsi="Arial"/>
                <w:sz w:val="22"/>
              </w:rPr>
              <w:t>Hertz</w:t>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Evaporative Cooler at 85% Effectiveness</w:t>
            </w:r>
          </w:p>
        </w:tc>
        <w:tc>
          <w:tcPr>
            <w:tcW w:w="2160"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pacing w:lineRule="auto" w:line="360"/>
              <w:rPr>
                <w:rFonts w:ascii="Arial" w:hAnsi="Arial" w:cs="Arial"/>
                <w:sz w:val="22"/>
              </w:rPr>
            </w:pPr>
            <w:r>
              <w:rPr>
                <w:rFonts w:cs="Arial" w:ascii="Arial" w:hAnsi="Arial"/>
                <w:sz w:val="22"/>
              </w:rPr>
              <w:t>N/A</w:t>
            </w:r>
          </w:p>
        </w:tc>
        <w:tc>
          <w:tcPr>
            <w:tcW w:w="2088" w:type="dxa"/>
            <w:tcBorders>
              <w:top w:val="single" w:sz="4" w:space="0" w:color="000000"/>
              <w:start w:val="single" w:sz="4" w:space="0" w:color="000000"/>
              <w:bottom w:val="single" w:sz="4" w:space="0" w:color="000000"/>
              <w:end w:val="double" w:sz="4" w:space="0" w:color="000000"/>
            </w:tcBorders>
          </w:tcPr>
          <w:p>
            <w:pPr>
              <w:pStyle w:val="Normal"/>
              <w:snapToGrid w:val="false"/>
              <w:spacing w:lineRule="auto" w:line="360"/>
              <w:rPr>
                <w:rFonts w:ascii="Arial" w:hAnsi="Arial" w:cs="Arial"/>
                <w:sz w:val="22"/>
              </w:rPr>
            </w:pPr>
            <w:r>
              <w:rPr>
                <w:rFonts w:cs="Arial" w:ascii="Arial" w:hAnsi="Arial"/>
                <w:sz w:val="22"/>
              </w:rPr>
            </w:r>
          </w:p>
        </w:tc>
      </w:tr>
      <w:tr>
        <w:trPr/>
        <w:tc>
          <w:tcPr>
            <w:tcW w:w="4608" w:type="dxa"/>
            <w:tcBorders>
              <w:top w:val="single" w:sz="4" w:space="0" w:color="000000"/>
              <w:start w:val="doub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Generator Application</w:t>
            </w:r>
          </w:p>
        </w:tc>
        <w:tc>
          <w:tcPr>
            <w:tcW w:w="2160"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 xml:space="preserve">7A6 TEWAC </w:t>
            </w:r>
          </w:p>
        </w:tc>
        <w:tc>
          <w:tcPr>
            <w:tcW w:w="2088" w:type="dxa"/>
            <w:tcBorders>
              <w:top w:val="single" w:sz="4" w:space="0" w:color="000000"/>
              <w:start w:val="single" w:sz="4" w:space="0" w:color="000000"/>
              <w:bottom w:val="single" w:sz="4" w:space="0" w:color="000000"/>
              <w:end w:val="double" w:sz="4" w:space="0" w:color="000000"/>
            </w:tcBorders>
          </w:tcPr>
          <w:p>
            <w:pPr>
              <w:pStyle w:val="Normal"/>
              <w:spacing w:lineRule="auto" w:line="360"/>
              <w:rPr>
                <w:rFonts w:ascii="Arial" w:hAnsi="Arial" w:cs="Arial"/>
                <w:sz w:val="22"/>
              </w:rPr>
            </w:pPr>
            <w:r>
              <w:rPr>
                <w:rFonts w:cs="Arial" w:ascii="Arial" w:hAnsi="Arial"/>
                <w:sz w:val="22"/>
              </w:rPr>
              <w:t>Generator</w:t>
            </w:r>
          </w:p>
        </w:tc>
      </w:tr>
      <w:tr>
        <w:trPr/>
        <w:tc>
          <w:tcPr>
            <w:tcW w:w="4608" w:type="dxa"/>
            <w:tcBorders>
              <w:top w:val="single" w:sz="4" w:space="0" w:color="000000"/>
              <w:start w:val="double" w:sz="4" w:space="0" w:color="000000"/>
              <w:bottom w:val="doub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Combustion System</w:t>
            </w:r>
          </w:p>
        </w:tc>
        <w:tc>
          <w:tcPr>
            <w:tcW w:w="2160" w:type="dxa"/>
            <w:tcBorders>
              <w:top w:val="single" w:sz="4" w:space="0" w:color="000000"/>
              <w:start w:val="single" w:sz="4" w:space="0" w:color="000000"/>
              <w:bottom w:val="double" w:sz="4" w:space="0" w:color="000000"/>
              <w:end w:val="single" w:sz="4" w:space="0" w:color="000000"/>
            </w:tcBorders>
          </w:tcPr>
          <w:p>
            <w:pPr>
              <w:pStyle w:val="Normal"/>
              <w:spacing w:lineRule="auto" w:line="360"/>
              <w:rPr>
                <w:rFonts w:ascii="Arial" w:hAnsi="Arial" w:cs="Arial"/>
                <w:sz w:val="22"/>
              </w:rPr>
            </w:pPr>
            <w:r>
              <w:rPr>
                <w:rFonts w:cs="Arial" w:ascii="Arial" w:hAnsi="Arial"/>
                <w:sz w:val="22"/>
              </w:rPr>
              <w:t>DLN</w:t>
            </w:r>
          </w:p>
        </w:tc>
        <w:tc>
          <w:tcPr>
            <w:tcW w:w="2088" w:type="dxa"/>
            <w:tcBorders>
              <w:top w:val="single" w:sz="4" w:space="0" w:color="000000"/>
              <w:start w:val="single" w:sz="4" w:space="0" w:color="000000"/>
              <w:bottom w:val="double" w:sz="4" w:space="0" w:color="000000"/>
              <w:end w:val="double" w:sz="4" w:space="0" w:color="000000"/>
            </w:tcBorders>
          </w:tcPr>
          <w:p>
            <w:pPr>
              <w:pStyle w:val="Normal"/>
              <w:snapToGrid w:val="false"/>
              <w:spacing w:lineRule="auto" w:line="360"/>
              <w:rPr>
                <w:rFonts w:ascii="Arial" w:hAnsi="Arial" w:cs="Arial"/>
                <w:sz w:val="22"/>
              </w:rPr>
            </w:pPr>
            <w:r>
              <w:rPr>
                <w:rFonts w:cs="Arial" w:ascii="Arial" w:hAnsi="Arial"/>
                <w:sz w:val="22"/>
              </w:rPr>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
    </w:p>
    <w:p>
      <w:pPr>
        <w:pStyle w:val="Normal"/>
        <w:jc w:val="center"/>
        <w:rPr>
          <w:rFonts w:ascii="Arial" w:hAnsi="Arial" w:cs="Arial"/>
        </w:rPr>
      </w:pPr>
      <w:r>
        <w:rPr>
          <w:rFonts w:cs="Arial" w:ascii="Arial" w:hAnsi="Arial"/>
        </w:rPr>
      </w:r>
    </w:p>
    <w:p>
      <w:pPr>
        <w:pStyle w:val="Header"/>
        <w:tabs>
          <w:tab w:val="clear" w:pos="4320"/>
          <w:tab w:val="clear" w:pos="8640"/>
        </w:tabs>
        <w:rPr>
          <w:rFonts w:ascii="Arial" w:hAnsi="Arial" w:cs="Arial"/>
        </w:rPr>
      </w:pPr>
      <w:r>
        <w:rPr>
          <w:rFonts w:cs="Arial" w:ascii="Arial" w:hAnsi="Arial"/>
        </w:rPr>
      </w:r>
    </w:p>
    <w:p>
      <w:pPr>
        <w:pStyle w:val="Normal"/>
        <w:rPr>
          <w:rFonts w:ascii="Arial" w:hAnsi="Arial" w:cs="Arial"/>
          <w:b/>
          <w:sz w:val="22"/>
          <w:u w:val="single"/>
        </w:rPr>
      </w:pPr>
      <w:r>
        <w:rPr>
          <w:rFonts w:cs="Arial" w:ascii="Arial" w:hAnsi="Arial"/>
          <w:b/>
          <w:sz w:val="22"/>
          <w:u w:val="single"/>
        </w:rPr>
        <w:t>Guaranteed Performance PG7121(EA) Table 2-1</w:t>
      </w:r>
    </w:p>
    <w:p>
      <w:pPr>
        <w:pStyle w:val="Normal"/>
        <w:rPr/>
      </w:pPr>
      <w:r>
        <w:rPr>
          <w:rFonts w:cs="Arial" w:ascii="Arial" w:hAnsi="Arial"/>
          <w:sz w:val="22"/>
        </w:rPr>
        <w:t xml:space="preserve">Guaranteed Figures in </w:t>
      </w:r>
      <w:r>
        <w:rPr>
          <w:rFonts w:cs="Arial" w:ascii="Arial" w:hAnsi="Arial"/>
          <w:b/>
          <w:sz w:val="22"/>
        </w:rPr>
        <w:t>Bold Text</w:t>
      </w:r>
    </w:p>
    <w:p>
      <w:pPr>
        <w:pStyle w:val="Normal"/>
        <w:rPr>
          <w:rFonts w:ascii="Arial" w:hAnsi="Arial" w:cs="Arial"/>
          <w:b/>
          <w:sz w:val="22"/>
        </w:rPr>
      </w:pPr>
      <w:r>
        <w:rPr>
          <w:rFonts w:cs="Arial" w:ascii="Arial" w:hAnsi="Arial"/>
          <w:b/>
          <w:sz w:val="22"/>
        </w:rPr>
      </w:r>
    </w:p>
    <w:tbl>
      <w:tblPr>
        <w:tblW w:w="8856" w:type="dxa"/>
        <w:jc w:val="start"/>
        <w:tblInd w:w="0" w:type="dxa"/>
        <w:tblLayout w:type="fixed"/>
        <w:tblCellMar>
          <w:top w:w="0" w:type="dxa"/>
          <w:start w:w="108" w:type="dxa"/>
          <w:bottom w:w="0" w:type="dxa"/>
          <w:end w:w="108" w:type="dxa"/>
        </w:tblCellMar>
      </w:tblPr>
      <w:tblGrid>
        <w:gridCol w:w="2952"/>
        <w:gridCol w:w="2952"/>
        <w:gridCol w:w="2952"/>
      </w:tblGrid>
      <w:tr>
        <w:trPr/>
        <w:tc>
          <w:tcPr>
            <w:tcW w:w="2952"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b/>
                <w:sz w:val="22"/>
              </w:rPr>
            </w:pPr>
            <w:r>
              <w:rPr>
                <w:rFonts w:cs="Arial" w:ascii="Arial" w:hAnsi="Arial"/>
                <w:b/>
                <w:sz w:val="22"/>
              </w:rPr>
              <w:t>Output (gross)</w:t>
            </w:r>
          </w:p>
          <w:p>
            <w:pPr>
              <w:pStyle w:val="Normal"/>
              <w:rPr>
                <w:rFonts w:ascii="Arial" w:hAnsi="Arial" w:eastAsia="Arial" w:cs="Arial"/>
                <w:b/>
                <w:sz w:val="22"/>
              </w:rPr>
            </w:pPr>
            <w:r>
              <w:rPr>
                <w:rFonts w:eastAsia="Arial" w:cs="Arial" w:ascii="Arial" w:hAnsi="Arial"/>
                <w:b/>
                <w:sz w:val="22"/>
              </w:rPr>
              <w:t xml:space="preserve"> </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b/>
                <w:sz w:val="22"/>
              </w:rPr>
            </w:pPr>
            <w:r>
              <w:rPr>
                <w:rFonts w:cs="Arial" w:ascii="Arial" w:hAnsi="Arial"/>
                <w:b/>
                <w:sz w:val="22"/>
              </w:rPr>
              <w:t>77,260@0.85 PF lagging</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b/>
              </w:rPr>
              <w:t>KW</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b/>
                <w:sz w:val="22"/>
              </w:rPr>
            </w:pPr>
            <w:r>
              <w:rPr>
                <w:rFonts w:cs="Arial" w:ascii="Arial" w:hAnsi="Arial"/>
                <w:b/>
                <w:sz w:val="22"/>
              </w:rPr>
              <w:t>Heat Rate (LHV) (gross)</w:t>
            </w:r>
          </w:p>
          <w:p>
            <w:pPr>
              <w:pStyle w:val="Normal"/>
              <w:rPr>
                <w:rFonts w:ascii="Arial" w:hAnsi="Arial" w:cs="Arial"/>
                <w:b/>
                <w:sz w:val="22"/>
              </w:rPr>
            </w:pPr>
            <w:r>
              <w:rPr>
                <w:rFonts w:cs="Arial" w:ascii="Arial" w:hAnsi="Arial"/>
                <w:b/>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b/>
                <w:sz w:val="22"/>
              </w:rPr>
            </w:pPr>
            <w:r>
              <w:rPr>
                <w:rFonts w:cs="Arial" w:ascii="Arial" w:hAnsi="Arial"/>
                <w:b/>
                <w:sz w:val="22"/>
              </w:rPr>
              <w:t>10,730 @0.85 PF lagging</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b/>
              </w:rPr>
              <w:t>BTU/kWh</w:t>
            </w:r>
          </w:p>
          <w:p>
            <w:pPr>
              <w:pStyle w:val="Normal"/>
              <w:jc w:val="center"/>
              <w:rPr>
                <w:rFonts w:ascii="Arial" w:hAnsi="Arial" w:cs="Arial"/>
                <w:b/>
              </w:rPr>
            </w:pPr>
            <w:r>
              <w:rPr>
                <w:rFonts w:cs="Arial" w:ascii="Arial" w:hAnsi="Arial"/>
                <w:b/>
              </w:rPr>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pPr>
            <w:r>
              <w:rPr>
                <w:rFonts w:cs="Arial" w:ascii="Arial" w:hAnsi="Arial"/>
                <w:sz w:val="22"/>
              </w:rPr>
              <w:t>Heat Cons. (LHV) X10</w:t>
            </w:r>
            <w:r>
              <w:rPr>
                <w:rFonts w:cs="Arial" w:ascii="Arial" w:hAnsi="Arial"/>
                <w:sz w:val="22"/>
                <w:vertAlign w:val="superscript"/>
              </w:rPr>
              <w:t>6</w:t>
            </w:r>
          </w:p>
          <w:p>
            <w:pPr>
              <w:pStyle w:val="Normal"/>
              <w:rPr>
                <w:rFonts w:ascii="Arial" w:hAnsi="Arial" w:cs="Arial"/>
                <w:sz w:val="22"/>
                <w:vertAlign w:val="superscript"/>
              </w:rPr>
            </w:pPr>
            <w:r>
              <w:rPr>
                <w:rFonts w:cs="Arial" w:ascii="Arial" w:hAnsi="Arial"/>
                <w:sz w:val="22"/>
                <w:vertAlign w:val="superscript"/>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829</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BTU/h</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pPr>
            <w:r>
              <w:rPr>
                <w:rFonts w:cs="Arial" w:ascii="Arial" w:hAnsi="Arial"/>
                <w:sz w:val="22"/>
              </w:rPr>
              <w:t>Exhaust Flow X 10</w:t>
            </w:r>
            <w:r>
              <w:rPr>
                <w:rFonts w:cs="Arial" w:ascii="Arial" w:hAnsi="Arial"/>
                <w:sz w:val="22"/>
                <w:vertAlign w:val="superscript"/>
              </w:rPr>
              <w:t>3</w:t>
            </w:r>
          </w:p>
          <w:p>
            <w:pPr>
              <w:pStyle w:val="Normal"/>
              <w:rPr>
                <w:rFonts w:ascii="Arial" w:hAnsi="Arial" w:cs="Arial"/>
                <w:sz w:val="22"/>
                <w:vertAlign w:val="superscript"/>
              </w:rPr>
            </w:pPr>
            <w:r>
              <w:rPr>
                <w:rFonts w:cs="Arial" w:ascii="Arial" w:hAnsi="Arial"/>
                <w:sz w:val="22"/>
                <w:vertAlign w:val="superscript"/>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2210</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Lb/h</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sz w:val="22"/>
              </w:rPr>
            </w:pPr>
            <w:r>
              <w:rPr>
                <w:rFonts w:cs="Arial" w:ascii="Arial" w:hAnsi="Arial"/>
                <w:sz w:val="22"/>
              </w:rPr>
              <w:t>Exhaust Temp.</w:t>
            </w:r>
          </w:p>
          <w:p>
            <w:pPr>
              <w:pStyle w:val="Header"/>
              <w:tabs>
                <w:tab w:val="clear" w:pos="4320"/>
                <w:tab w:val="clear" w:pos="8640"/>
              </w:tabs>
              <w:rPr>
                <w:rFonts w:ascii="Arial" w:hAnsi="Arial" w:cs="Arial"/>
                <w:sz w:val="22"/>
              </w:rPr>
            </w:pPr>
            <w:r>
              <w:rPr>
                <w:rFonts w:cs="Arial" w:ascii="Arial" w:hAnsi="Arial"/>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1010</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Arial" w:ascii="Arial" w:hAnsi="Arial"/>
                <w:sz w:val="22"/>
                <w:vertAlign w:val="superscript"/>
              </w:rPr>
              <w:t>o</w:t>
            </w:r>
            <w:r>
              <w:rPr>
                <w:rFonts w:cs="Arial" w:ascii="Arial" w:hAnsi="Arial"/>
                <w:sz w:val="22"/>
              </w:rPr>
              <w:t xml:space="preserve">F </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pPr>
            <w:r>
              <w:rPr>
                <w:rFonts w:cs="Arial" w:ascii="Arial" w:hAnsi="Arial"/>
                <w:sz w:val="22"/>
              </w:rPr>
              <w:t>Exhaust Heat (LHV) X10</w:t>
            </w:r>
            <w:r>
              <w:rPr>
                <w:rFonts w:cs="Arial" w:ascii="Arial" w:hAnsi="Arial"/>
                <w:sz w:val="22"/>
                <w:vertAlign w:val="superscript"/>
              </w:rPr>
              <w:t>6</w:t>
            </w:r>
          </w:p>
          <w:p>
            <w:pPr>
              <w:pStyle w:val="Normal"/>
              <w:rPr>
                <w:rFonts w:ascii="Arial" w:hAnsi="Arial" w:cs="Arial"/>
                <w:sz w:val="22"/>
                <w:vertAlign w:val="superscript"/>
              </w:rPr>
            </w:pPr>
            <w:r>
              <w:rPr>
                <w:rFonts w:cs="Arial" w:ascii="Arial" w:hAnsi="Arial"/>
                <w:sz w:val="22"/>
                <w:vertAlign w:val="superscript"/>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533.4</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rFonts w:ascii="Arial" w:hAnsi="Arial" w:cs="Arial"/>
                <w:sz w:val="22"/>
              </w:rPr>
            </w:pPr>
            <w:r>
              <w:rPr>
                <w:rFonts w:cs="Arial" w:ascii="Arial" w:hAnsi="Arial"/>
                <w:sz w:val="22"/>
              </w:rPr>
              <w:t>BTU/h</w:t>
            </w:r>
          </w:p>
        </w:tc>
      </w:tr>
    </w:tbl>
    <w:p>
      <w:pPr>
        <w:pStyle w:val="Normal"/>
        <w:rPr>
          <w:rFonts w:ascii="Arial" w:hAnsi="Arial" w:cs="Arial"/>
          <w:sz w:val="22"/>
        </w:rPr>
      </w:pPr>
      <w:r>
        <w:rPr>
          <w:rFonts w:cs="Arial" w:ascii="Arial" w:hAnsi="Arial"/>
          <w:sz w:val="22"/>
        </w:rPr>
      </w:r>
    </w:p>
    <w:p>
      <w:pPr>
        <w:pStyle w:val="Normal"/>
        <w:rPr>
          <w:b/>
          <w:u w:val="single"/>
        </w:rPr>
      </w:pPr>
      <w:r>
        <w:rPr>
          <w:b/>
          <w:u w:val="single"/>
        </w:rPr>
        <w:t>EMMISIONS Table 2-2</w:t>
      </w:r>
    </w:p>
    <w:p>
      <w:pPr>
        <w:pStyle w:val="Normal"/>
        <w:rPr/>
      </w:pPr>
      <w:r>
        <w:rPr>
          <w:rFonts w:cs="Arial" w:ascii="Arial" w:hAnsi="Arial"/>
          <w:sz w:val="22"/>
        </w:rPr>
        <w:t xml:space="preserve">Guaranteed Figures in </w:t>
      </w:r>
      <w:r>
        <w:rPr>
          <w:rFonts w:cs="Arial" w:ascii="Arial" w:hAnsi="Arial"/>
          <w:b/>
          <w:sz w:val="22"/>
        </w:rPr>
        <w:t>Bold Text</w:t>
      </w:r>
    </w:p>
    <w:p>
      <w:pPr>
        <w:pStyle w:val="Normal"/>
        <w:rPr>
          <w:rFonts w:ascii="Arial" w:hAnsi="Arial" w:cs="Arial"/>
          <w:b/>
          <w:sz w:val="22"/>
        </w:rPr>
      </w:pPr>
      <w:r>
        <w:rPr>
          <w:rFonts w:cs="Arial" w:ascii="Arial" w:hAnsi="Arial"/>
          <w:b/>
          <w:sz w:val="22"/>
        </w:rPr>
      </w:r>
    </w:p>
    <w:tbl>
      <w:tblPr>
        <w:tblW w:w="8856" w:type="dxa"/>
        <w:jc w:val="start"/>
        <w:tblInd w:w="0" w:type="dxa"/>
        <w:tblLayout w:type="fixed"/>
        <w:tblCellMar>
          <w:top w:w="0" w:type="dxa"/>
          <w:start w:w="108" w:type="dxa"/>
          <w:bottom w:w="0" w:type="dxa"/>
          <w:end w:w="108" w:type="dxa"/>
        </w:tblCellMar>
      </w:tblPr>
      <w:tblGrid>
        <w:gridCol w:w="2952"/>
        <w:gridCol w:w="2952"/>
        <w:gridCol w:w="2952"/>
      </w:tblGrid>
      <w:tr>
        <w:trPr/>
        <w:tc>
          <w:tcPr>
            <w:tcW w:w="2952" w:type="dxa"/>
            <w:tcBorders>
              <w:top w:val="single" w:sz="4" w:space="0" w:color="000000"/>
              <w:start w:val="single" w:sz="4" w:space="0" w:color="000000"/>
              <w:bottom w:val="single" w:sz="4" w:space="0" w:color="000000"/>
              <w:end w:val="single" w:sz="4" w:space="0" w:color="000000"/>
            </w:tcBorders>
          </w:tcPr>
          <w:p>
            <w:pPr>
              <w:pStyle w:val="Normal"/>
              <w:rPr/>
            </w:pPr>
            <w:r>
              <w:rPr>
                <w:b/>
                <w:sz w:val="22"/>
              </w:rPr>
              <w:t>NO</w:t>
            </w:r>
            <w:r>
              <w:rPr>
                <w:b/>
                <w:sz w:val="22"/>
                <w:vertAlign w:val="subscript"/>
              </w:rPr>
              <w:t>x</w:t>
            </w:r>
          </w:p>
          <w:p>
            <w:pPr>
              <w:pStyle w:val="Normal"/>
              <w:rPr>
                <w:b/>
                <w:sz w:val="22"/>
                <w:vertAlign w:val="subscript"/>
              </w:rPr>
            </w:pPr>
            <w:r>
              <w:rPr>
                <w:b/>
                <w:sz w:val="22"/>
                <w:vertAlign w:val="subscript"/>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sz w:val="22"/>
              </w:rPr>
            </w:pPr>
            <w:r>
              <w:rPr>
                <w:b/>
                <w:sz w:val="22"/>
              </w:rPr>
              <w:t>25</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2"/>
              </w:rPr>
              <w:t>Ppmvd @ 15% O</w:t>
            </w:r>
            <w:r>
              <w:rPr>
                <w:b/>
                <w:sz w:val="22"/>
                <w:vertAlign w:val="subscript"/>
              </w:rPr>
              <w:t>2</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pPr>
            <w:r>
              <w:rPr>
                <w:sz w:val="22"/>
              </w:rPr>
              <w:t>NO</w:t>
            </w:r>
            <w:r>
              <w:rPr>
                <w:sz w:val="22"/>
                <w:vertAlign w:val="subscript"/>
              </w:rPr>
              <w:t xml:space="preserve">x  </w:t>
            </w:r>
            <w:r>
              <w:rPr>
                <w:sz w:val="22"/>
              </w:rPr>
              <w:t>as NO</w:t>
            </w:r>
            <w:r>
              <w:rPr>
                <w:sz w:val="22"/>
                <w:vertAlign w:val="subscript"/>
              </w:rPr>
              <w:t>2</w:t>
            </w:r>
          </w:p>
          <w:p>
            <w:pPr>
              <w:pStyle w:val="Normal"/>
              <w:rPr>
                <w:sz w:val="22"/>
                <w:vertAlign w:val="subscript"/>
              </w:rPr>
            </w:pPr>
            <w:r>
              <w:rPr>
                <w:sz w:val="22"/>
                <w:vertAlign w:val="subscript"/>
              </w:rPr>
            </w:r>
          </w:p>
        </w:tc>
        <w:tc>
          <w:tcPr>
            <w:tcW w:w="2952"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jc w:val="center"/>
              <w:rPr>
                <w:sz w:val="22"/>
              </w:rPr>
            </w:pPr>
            <w:r>
              <w:rPr>
                <w:sz w:val="22"/>
              </w:rPr>
              <w:t>84</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Lb/h</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CO</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sz w:val="22"/>
              </w:rPr>
            </w:pPr>
            <w:r>
              <w:rPr>
                <w:b/>
                <w:sz w:val="22"/>
              </w:rPr>
              <w:t>15</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sz w:val="22"/>
              </w:rPr>
            </w:pPr>
            <w:r>
              <w:rPr>
                <w:b/>
                <w:sz w:val="22"/>
              </w:rPr>
              <w:t>Ppmvd</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CO</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30</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Lb/h</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UHC</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sz w:val="22"/>
              </w:rPr>
            </w:pPr>
            <w:r>
              <w:rPr>
                <w:b/>
                <w:sz w:val="22"/>
              </w:rPr>
              <w:t>7</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b/>
              </w:rPr>
              <w:t xml:space="preserve">Ppmvw </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UHC</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9</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Lb/h</w:t>
            </w:r>
          </w:p>
        </w:tc>
      </w:tr>
      <w:tr>
        <w:trPr/>
        <w:tc>
          <w:tcPr>
            <w:tcW w:w="2952" w:type="dxa"/>
            <w:tcBorders>
              <w:top w:val="single" w:sz="4" w:space="0" w:color="000000"/>
              <w:start w:val="single" w:sz="4" w:space="0" w:color="000000"/>
              <w:bottom w:val="single" w:sz="4" w:space="0" w:color="000000"/>
              <w:end w:val="single" w:sz="4" w:space="0" w:color="000000"/>
            </w:tcBorders>
          </w:tcPr>
          <w:p>
            <w:pPr>
              <w:pStyle w:val="Heading1"/>
              <w:numPr>
                <w:ilvl w:val="0"/>
                <w:numId w:val="0"/>
              </w:numPr>
              <w:ind w:hanging="0" w:start="0"/>
              <w:jc w:val="start"/>
              <w:rPr>
                <w:sz w:val="22"/>
              </w:rPr>
            </w:pPr>
            <w:r>
              <w:rPr>
                <w:sz w:val="22"/>
              </w:rPr>
              <w:t>Particulate(s) (TSP)</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b/>
                <w:sz w:val="22"/>
              </w:rPr>
            </w:pPr>
            <w:r>
              <w:rPr>
                <w:b/>
                <w:sz w:val="22"/>
              </w:rPr>
              <w:t>5.0</w:t>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Lb/h</w:t>
            </w:r>
          </w:p>
        </w:tc>
      </w:tr>
    </w:tbl>
    <w:p>
      <w:pPr>
        <w:pStyle w:val="Normal"/>
        <w:rPr>
          <w:sz w:val="22"/>
        </w:rPr>
      </w:pPr>
      <w:r>
        <w:rPr>
          <w:sz w:val="22"/>
        </w:rPr>
      </w:r>
      <w:r>
        <w:br w:type="page"/>
      </w:r>
    </w:p>
    <w:p>
      <w:pPr>
        <w:pStyle w:val="Normal"/>
        <w:rPr>
          <w:b/>
          <w:sz w:val="22"/>
          <w:u w:val="single"/>
        </w:rPr>
      </w:pPr>
      <w:r>
        <w:rPr>
          <w:b/>
          <w:sz w:val="22"/>
          <w:u w:val="single"/>
        </w:rPr>
        <w:t>Exhaust Analysis (%Vol.) Table 2-3</w:t>
      </w:r>
    </w:p>
    <w:p>
      <w:pPr>
        <w:pStyle w:val="Normal"/>
        <w:rPr>
          <w:b/>
          <w:sz w:val="22"/>
          <w:u w:val="single"/>
        </w:rPr>
      </w:pPr>
      <w:r>
        <w:rPr>
          <w:b/>
          <w:sz w:val="22"/>
          <w:u w:val="single"/>
        </w:rPr>
      </w:r>
    </w:p>
    <w:tbl>
      <w:tblPr>
        <w:tblW w:w="5904" w:type="dxa"/>
        <w:jc w:val="start"/>
        <w:tblInd w:w="0" w:type="dxa"/>
        <w:tblLayout w:type="fixed"/>
        <w:tblCellMar>
          <w:top w:w="0" w:type="dxa"/>
          <w:start w:w="108" w:type="dxa"/>
          <w:bottom w:w="0" w:type="dxa"/>
          <w:end w:w="108" w:type="dxa"/>
        </w:tblCellMar>
      </w:tblPr>
      <w:tblGrid>
        <w:gridCol w:w="2952"/>
        <w:gridCol w:w="2952"/>
      </w:tblGrid>
      <w:tr>
        <w:trPr/>
        <w:tc>
          <w:tcPr>
            <w:tcW w:w="2952"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rPr>
                <w:sz w:val="22"/>
              </w:rPr>
            </w:pPr>
            <w:r>
              <w:rPr>
                <w:sz w:val="22"/>
              </w:rPr>
              <w:t>Argon</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0.89</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Nitrogen</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73.38</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Oxygen</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13.49</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Carbon Dioxide</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3.13</w:t>
            </w:r>
          </w:p>
        </w:tc>
      </w:tr>
      <w:tr>
        <w:trPr/>
        <w:tc>
          <w:tcPr>
            <w:tcW w:w="2952"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Water</w:t>
            </w:r>
          </w:p>
          <w:p>
            <w:pPr>
              <w:pStyle w:val="Normal"/>
              <w:rPr>
                <w:sz w:val="22"/>
              </w:rPr>
            </w:pPr>
            <w:r>
              <w:rPr>
                <w:sz w:val="22"/>
              </w:rPr>
            </w:r>
          </w:p>
        </w:tc>
        <w:tc>
          <w:tcPr>
            <w:tcW w:w="2952" w:type="dxa"/>
            <w:tcBorders>
              <w:top w:val="single" w:sz="4" w:space="0" w:color="000000"/>
              <w:start w:val="single" w:sz="4" w:space="0" w:color="000000"/>
              <w:bottom w:val="single" w:sz="4" w:space="0" w:color="000000"/>
              <w:end w:val="single" w:sz="4" w:space="0" w:color="000000"/>
            </w:tcBorders>
          </w:tcPr>
          <w:p>
            <w:pPr>
              <w:pStyle w:val="Normal"/>
              <w:jc w:val="center"/>
              <w:rPr>
                <w:sz w:val="22"/>
              </w:rPr>
            </w:pPr>
            <w:r>
              <w:rPr>
                <w:sz w:val="22"/>
              </w:rPr>
              <w:t>9.12</w:t>
            </w:r>
          </w:p>
        </w:tc>
      </w:tr>
    </w:tbl>
    <w:p>
      <w:pPr>
        <w:pStyle w:val="Normal"/>
        <w:rPr>
          <w:b/>
          <w:sz w:val="22"/>
          <w:u w:val="single"/>
        </w:rPr>
      </w:pPr>
      <w:r>
        <w:rPr>
          <w:b/>
          <w:sz w:val="22"/>
          <w:u w:val="single"/>
        </w:rPr>
      </w:r>
    </w:p>
    <w:p>
      <w:pPr>
        <w:pStyle w:val="Normal"/>
        <w:rPr>
          <w:b/>
          <w:sz w:val="22"/>
          <w:u w:val="single"/>
        </w:rPr>
      </w:pPr>
      <w:r>
        <w:rPr>
          <w:b/>
          <w:sz w:val="22"/>
          <w:u w:val="single"/>
        </w:rPr>
      </w:r>
    </w:p>
    <w:p>
      <w:pPr>
        <w:pStyle w:val="Normal"/>
        <w:widowControl/>
        <w:rPr/>
      </w:pPr>
      <w:r>
        <w:rPr/>
      </w:r>
    </w:p>
    <w:p>
      <w:pPr>
        <w:sectPr>
          <w:footerReference w:type="default" r:id="rId6"/>
          <w:footerReference w:type="first" r:id="rId7"/>
          <w:type w:val="nextPage"/>
          <w:pgSz w:w="12240" w:h="15840"/>
          <w:pgMar w:left="2160" w:right="1872" w:gutter="0" w:header="0" w:top="2160" w:footer="1440" w:bottom="1800"/>
          <w:pgNumType w:start="1" w:fmt="decimal"/>
          <w:formProt w:val="false"/>
          <w:titlePg/>
          <w:textDirection w:val="lrTb"/>
          <w:docGrid w:type="default" w:linePitch="360" w:charSpace="0"/>
        </w:sectPr>
        <w:pStyle w:val="Normal"/>
        <w:widowControl/>
        <w:rPr/>
      </w:pPr>
      <w:r>
        <w:rPr/>
      </w:r>
    </w:p>
    <w:p>
      <w:pPr>
        <w:pStyle w:val="Normal"/>
        <w:widowControl/>
        <w:rPr/>
      </w:pPr>
      <w:r>
        <w:rPr/>
      </w:r>
    </w:p>
    <w:p>
      <w:pPr>
        <w:pStyle w:val="Normal"/>
        <w:jc w:val="center"/>
        <w:rPr/>
      </w:pPr>
      <w:r>
        <w:rPr/>
        <w:tab/>
      </w:r>
      <w:r>
        <w:rPr>
          <w:b/>
        </w:rPr>
        <w:t>ATTACHMENT 3</w:t>
      </w:r>
    </w:p>
    <w:p>
      <w:pPr>
        <w:pStyle w:val="Normal"/>
        <w:jc w:val="center"/>
        <w:rPr>
          <w:rFonts w:ascii="Arial" w:hAnsi="Arial" w:cs="Arial"/>
          <w:b/>
        </w:rPr>
      </w:pPr>
      <w:r>
        <w:rPr>
          <w:rFonts w:cs="Arial" w:ascii="Arial" w:hAnsi="Arial"/>
          <w:b/>
        </w:rPr>
      </w:r>
    </w:p>
    <w:p>
      <w:pPr>
        <w:pStyle w:val="Normal"/>
        <w:ind w:firstLine="720" w:end="0"/>
        <w:jc w:val="center"/>
        <w:rPr>
          <w:b/>
        </w:rPr>
      </w:pPr>
      <w:r>
        <w:rPr>
          <w:b/>
        </w:rPr>
        <w:t>SCOPE OF AGENCY</w:t>
      </w:r>
    </w:p>
    <w:p>
      <w:pPr>
        <w:pStyle w:val="Normal"/>
        <w:rPr/>
      </w:pPr>
      <w:r>
        <w:rPr/>
      </w:r>
    </w:p>
    <w:p>
      <w:pPr>
        <w:pStyle w:val="Normal"/>
        <w:widowControl/>
        <w:tabs>
          <w:tab w:val="clear" w:pos="720"/>
          <w:tab w:val="center" w:pos="4104" w:leader="none"/>
        </w:tabs>
        <w:jc w:val="center"/>
        <w:rPr/>
      </w:pPr>
      <w:r>
        <w:rPr/>
      </w:r>
    </w:p>
    <w:p>
      <w:pPr>
        <w:pStyle w:val="BodyText2"/>
        <w:jc w:val="start"/>
        <w:rPr/>
      </w:pPr>
      <w:r>
        <w:rPr/>
        <w:t>PURCHASER REPRESENTS AND WARRANTS THAT IT HAS APPOINTED OR HAS CAUSED TO BE APPOINTED AGENT AS ITS SOLE AND EXCLUSIVE AGENT WITH RESPECT TO THIS AGREEMENT, HAS ASSIGNED TO AGENT CERTAIN RIGHTS OF PURCHASER UNDER THIS AGREEMENT AND HAS DELEGATED TO AGENT CERTAIN RESPONSIBILITIES AND OBLIGATIONS OF PURCHASER UNDER THIS AGREEMENT.  AGENT REPRESENTS AND WARRANTS THAT IT HAS ACCEPTED APPOINTMENT AS PURCHASER'S SOLE AND EXCLUSIVE ACQUISITION AGENT WITH RESPECT TO THIS AGREEMENT.  NOTWITHSTANDING ANY OTHER TERM OR PROVISION OF THIS AGREEMENT, SELLER AGREES, ACCEPTS AND ACKNOWLEDGES, FOR ITSELF, ITS SUCCESSORS AND ASSIGNS (I) THAT PURCHASER HAS APPOINTED AGENT ITS SOLE AND EXCLUSIVE ACQUISITION AGENT WITH RESPECT TO THIS AGREEMENT, AND AGENT HAS ACCEPTED SUCH APPOINTMENT, AND (II) THAT IT SHALL NOT SEEK OR CLAIM RECOURSE AGAINST OR PAYMENT FROM PURCHASER FOR ANY REASON WITH RESPECT TO OR ARISING FROM OR RELATED TO AGENT'S ACTIONS OR OMISSIONS WITH RESPECT TO THIS AGREEMENT OTHER THAN FOR PAYMENT OF THE PURCHASE AMOUNT HEREUNDER.  EXCEPT FOR AMOUNTS PAYABLE TO SELLER PURSUANT TO SECTION 20.1(B) HEREOF, THE AGGREGATE AMOUNTS DUE OR PAYABLE BY PURCHASER HEREUNDER OR WITH RESPECT TO THIS AGREEMENT SHALL IN NO EVENT EXCEED THE PURCHASE AMOUNT IN TOTAL (AS SUCH AMOUNT MAY BE INCREASED FROM TIME TO TIME BY WRITTEN NOTICE FROM PURCHASER TO SELLER.).</w:t>
      </w:r>
    </w:p>
    <w:p>
      <w:pPr>
        <w:sectPr>
          <w:footerReference w:type="default" r:id="rId8"/>
          <w:footerReference w:type="first" r:id="rId9"/>
          <w:type w:val="nextPage"/>
          <w:pgSz w:w="12240" w:h="15840"/>
          <w:pgMar w:left="2160" w:right="1872" w:gutter="0" w:header="0" w:top="2160" w:footer="1440" w:bottom="1800"/>
          <w:pgNumType w:fmt="decimal"/>
          <w:formProt w:val="false"/>
          <w:titlePg/>
          <w:textDirection w:val="lrTb"/>
          <w:docGrid w:type="default" w:linePitch="360" w:charSpace="0"/>
        </w:sectPr>
        <w:pStyle w:val="Normal"/>
        <w:widowControl/>
        <w:tabs>
          <w:tab w:val="clear" w:pos="720"/>
          <w:tab w:val="center" w:pos="4104" w:leader="none"/>
        </w:tabs>
        <w:jc w:val="center"/>
        <w:rPr>
          <w:i/>
          <w:i/>
        </w:rPr>
      </w:pPr>
      <w:r>
        <w:rPr>
          <w:i/>
        </w:rPr>
      </w:r>
    </w:p>
    <w:p>
      <w:pPr>
        <w:pStyle w:val="Normal"/>
        <w:widowControl/>
        <w:tabs>
          <w:tab w:val="clear" w:pos="720"/>
          <w:tab w:val="center" w:pos="4104" w:leader="none"/>
        </w:tabs>
        <w:jc w:val="center"/>
        <w:rPr>
          <w:b/>
        </w:rPr>
      </w:pPr>
      <w:r>
        <w:rPr>
          <w:b/>
        </w:rPr>
        <w:t>ATTACHMENT 4</w:t>
      </w:r>
    </w:p>
    <w:p>
      <w:pPr>
        <w:pStyle w:val="Normal"/>
        <w:rPr>
          <w:b/>
        </w:rPr>
      </w:pPr>
      <w:r>
        <w:rPr>
          <w:b/>
        </w:rPr>
      </w:r>
    </w:p>
    <w:p>
      <w:pPr>
        <w:pStyle w:val="Normal"/>
        <w:jc w:val="center"/>
        <w:rPr>
          <w:b/>
          <w:caps/>
        </w:rPr>
      </w:pPr>
      <w:r>
        <w:rPr>
          <w:b/>
          <w:caps/>
        </w:rPr>
        <w:t>Payment Schedule</w:t>
      </w:r>
    </w:p>
    <w:p>
      <w:pPr>
        <w:pStyle w:val="Normal"/>
        <w:jc w:val="center"/>
        <w:rPr>
          <w:b/>
          <w:smallCaps/>
        </w:rPr>
      </w:pPr>
      <w:r>
        <w:rPr>
          <w:b/>
          <w:smallCaps/>
        </w:rPr>
      </w:r>
    </w:p>
    <w:p>
      <w:pPr>
        <w:pStyle w:val="Normal"/>
        <w:rPr>
          <w:b/>
          <w:smallCaps/>
        </w:rPr>
      </w:pPr>
      <w:r>
        <w:rPr>
          <w:b/>
          <w:smallCaps/>
        </w:rPr>
      </w:r>
    </w:p>
    <w:tbl>
      <w:tblPr>
        <w:tblW w:w="11250" w:type="dxa"/>
        <w:jc w:val="start"/>
        <w:tblInd w:w="-522" w:type="dxa"/>
        <w:tblLayout w:type="fixed"/>
        <w:tblCellMar>
          <w:top w:w="0" w:type="dxa"/>
          <w:start w:w="108" w:type="dxa"/>
          <w:bottom w:w="0" w:type="dxa"/>
          <w:end w:w="108" w:type="dxa"/>
        </w:tblCellMar>
      </w:tblPr>
      <w:tblGrid>
        <w:gridCol w:w="990"/>
        <w:gridCol w:w="990"/>
        <w:gridCol w:w="2340"/>
        <w:gridCol w:w="2340"/>
        <w:gridCol w:w="1080"/>
        <w:gridCol w:w="900"/>
        <w:gridCol w:w="1350"/>
        <w:gridCol w:w="1260"/>
      </w:tblGrid>
      <w:tr>
        <w:trPr>
          <w:trHeight w:val="368" w:hRule="atLeast"/>
        </w:trPr>
        <w:tc>
          <w:tcPr>
            <w:tcW w:w="990" w:type="dxa"/>
            <w:vMerge w:val="restart"/>
            <w:tcBorders>
              <w:top w:val="single" w:sz="4" w:space="0" w:color="000000"/>
              <w:start w:val="single" w:sz="4" w:space="0" w:color="000000"/>
              <w:bottom w:val="single" w:sz="4" w:space="0" w:color="000000"/>
              <w:end w:val="single" w:sz="4" w:space="0" w:color="000000"/>
            </w:tcBorders>
          </w:tcPr>
          <w:p>
            <w:pPr>
              <w:pStyle w:val="Normal"/>
              <w:jc w:val="center"/>
              <w:rPr>
                <w:b/>
                <w:sz w:val="16"/>
              </w:rPr>
            </w:pPr>
            <w:r>
              <w:rPr>
                <w:b/>
                <w:sz w:val="16"/>
              </w:rPr>
              <w:t xml:space="preserve">Months from Purchase Agreement </w:t>
            </w:r>
            <w:r>
              <w:rPr>
                <w:b/>
                <w:sz w:val="16"/>
                <w:u w:val="single"/>
              </w:rPr>
              <w:t>Execution</w:t>
            </w:r>
          </w:p>
        </w:tc>
        <w:tc>
          <w:tcPr>
            <w:tcW w:w="99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rPr>
            </w:pPr>
            <w:r>
              <w:rPr>
                <w:b/>
                <w:sz w:val="16"/>
              </w:rPr>
            </w:r>
          </w:p>
          <w:p>
            <w:pPr>
              <w:pStyle w:val="Normal"/>
              <w:jc w:val="center"/>
              <w:rPr>
                <w:b/>
                <w:sz w:val="16"/>
              </w:rPr>
            </w:pPr>
            <w:r>
              <w:rPr>
                <w:b/>
                <w:sz w:val="16"/>
              </w:rPr>
            </w:r>
          </w:p>
          <w:p>
            <w:pPr>
              <w:pStyle w:val="Normal"/>
              <w:jc w:val="center"/>
              <w:rPr>
                <w:b/>
                <w:sz w:val="16"/>
              </w:rPr>
            </w:pPr>
            <w:r>
              <w:rPr>
                <w:b/>
                <w:sz w:val="16"/>
              </w:rPr>
            </w:r>
          </w:p>
          <w:p>
            <w:pPr>
              <w:pStyle w:val="Normal"/>
              <w:jc w:val="center"/>
              <w:rPr>
                <w:b/>
                <w:sz w:val="16"/>
              </w:rPr>
            </w:pPr>
            <w:r>
              <w:rPr>
                <w:b/>
                <w:sz w:val="16"/>
              </w:rPr>
              <w:t xml:space="preserve">Calendar </w:t>
            </w:r>
            <w:r>
              <w:rPr>
                <w:b/>
                <w:sz w:val="16"/>
                <w:u w:val="single"/>
              </w:rPr>
              <w:t>Month</w:t>
            </w:r>
          </w:p>
        </w:tc>
        <w:tc>
          <w:tcPr>
            <w:tcW w:w="234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u w:val="single"/>
              </w:rPr>
            </w:pPr>
            <w:r>
              <w:rPr>
                <w:b/>
                <w:sz w:val="16"/>
                <w:u w:val="single"/>
              </w:rPr>
            </w:r>
          </w:p>
          <w:p>
            <w:pPr>
              <w:pStyle w:val="Normal"/>
              <w:jc w:val="center"/>
              <w:rPr>
                <w:b/>
                <w:sz w:val="16"/>
                <w:u w:val="single"/>
              </w:rPr>
            </w:pPr>
            <w:r>
              <w:rPr>
                <w:b/>
                <w:sz w:val="16"/>
                <w:u w:val="single"/>
              </w:rPr>
            </w:r>
          </w:p>
          <w:p>
            <w:pPr>
              <w:pStyle w:val="Normal"/>
              <w:jc w:val="center"/>
              <w:rPr>
                <w:b/>
                <w:sz w:val="16"/>
                <w:u w:val="single"/>
              </w:rPr>
            </w:pPr>
            <w:r>
              <w:rPr>
                <w:b/>
                <w:sz w:val="16"/>
                <w:u w:val="single"/>
              </w:rPr>
            </w:r>
          </w:p>
          <w:p>
            <w:pPr>
              <w:pStyle w:val="Normal"/>
              <w:jc w:val="center"/>
              <w:rPr>
                <w:b/>
                <w:sz w:val="16"/>
                <w:u w:val="single"/>
              </w:rPr>
            </w:pPr>
            <w:r>
              <w:rPr>
                <w:b/>
                <w:sz w:val="16"/>
                <w:u w:val="single"/>
              </w:rPr>
            </w:r>
          </w:p>
          <w:p>
            <w:pPr>
              <w:pStyle w:val="Heading1"/>
              <w:ind w:hanging="0" w:start="0"/>
              <w:rPr>
                <w:b/>
                <w:sz w:val="16"/>
                <w:u w:val="single"/>
              </w:rPr>
            </w:pPr>
            <w:r>
              <w:rPr>
                <w:b/>
                <w:sz w:val="16"/>
                <w:u w:val="single"/>
              </w:rPr>
              <w:t>Event</w:t>
            </w:r>
          </w:p>
        </w:tc>
        <w:tc>
          <w:tcPr>
            <w:tcW w:w="234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u w:val="single"/>
              </w:rPr>
            </w:pPr>
            <w:r>
              <w:rPr>
                <w:b/>
                <w:sz w:val="16"/>
                <w:u w:val="single"/>
              </w:rPr>
            </w:r>
          </w:p>
          <w:p>
            <w:pPr>
              <w:pStyle w:val="Normal"/>
              <w:jc w:val="center"/>
              <w:rPr>
                <w:b/>
                <w:sz w:val="16"/>
                <w:u w:val="single"/>
              </w:rPr>
            </w:pPr>
            <w:r>
              <w:rPr>
                <w:b/>
                <w:sz w:val="16"/>
                <w:u w:val="single"/>
              </w:rPr>
            </w:r>
          </w:p>
          <w:p>
            <w:pPr>
              <w:pStyle w:val="Normal"/>
              <w:jc w:val="center"/>
              <w:rPr>
                <w:b/>
                <w:sz w:val="16"/>
                <w:u w:val="single"/>
              </w:rPr>
            </w:pPr>
            <w:r>
              <w:rPr>
                <w:b/>
                <w:sz w:val="16"/>
                <w:u w:val="single"/>
              </w:rPr>
            </w:r>
          </w:p>
          <w:p>
            <w:pPr>
              <w:pStyle w:val="Normal"/>
              <w:jc w:val="center"/>
              <w:rPr>
                <w:b/>
                <w:sz w:val="16"/>
                <w:u w:val="single"/>
              </w:rPr>
            </w:pPr>
            <w:r>
              <w:rPr>
                <w:b/>
                <w:sz w:val="16"/>
                <w:u w:val="single"/>
              </w:rPr>
            </w:r>
          </w:p>
          <w:p>
            <w:pPr>
              <w:pStyle w:val="Heading1"/>
              <w:ind w:hanging="0" w:start="0"/>
              <w:rPr>
                <w:b/>
                <w:sz w:val="16"/>
                <w:u w:val="single"/>
              </w:rPr>
            </w:pPr>
            <w:r>
              <w:rPr>
                <w:b/>
                <w:sz w:val="16"/>
                <w:u w:val="single"/>
              </w:rPr>
              <w:t>Milestone</w:t>
            </w:r>
          </w:p>
        </w:tc>
        <w:tc>
          <w:tcPr>
            <w:tcW w:w="1980" w:type="dxa"/>
            <w:gridSpan w:val="2"/>
            <w:tcBorders>
              <w:top w:val="single" w:sz="4" w:space="0" w:color="000000"/>
              <w:start w:val="single" w:sz="4" w:space="0" w:color="000000"/>
              <w:end w:val="single" w:sz="4" w:space="0" w:color="000000"/>
            </w:tcBorders>
          </w:tcPr>
          <w:p>
            <w:pPr>
              <w:pStyle w:val="Normal"/>
              <w:snapToGrid w:val="false"/>
              <w:jc w:val="center"/>
              <w:rPr>
                <w:b/>
                <w:sz w:val="16"/>
                <w:u w:val="single"/>
              </w:rPr>
            </w:pPr>
            <w:r>
              <w:rPr>
                <w:b/>
                <w:sz w:val="16"/>
                <w:u w:val="single"/>
              </w:rPr>
            </w:r>
          </w:p>
          <w:p>
            <w:pPr>
              <w:pStyle w:val="Normal"/>
              <w:jc w:val="center"/>
              <w:rPr>
                <w:b/>
                <w:sz w:val="16"/>
                <w:u w:val="single"/>
              </w:rPr>
            </w:pPr>
            <w:r>
              <w:rPr>
                <w:b/>
                <w:sz w:val="16"/>
                <w:u w:val="single"/>
              </w:rPr>
            </w:r>
          </w:p>
          <w:p>
            <w:pPr>
              <w:pStyle w:val="Normal"/>
              <w:jc w:val="center"/>
              <w:rPr>
                <w:b/>
                <w:sz w:val="16"/>
                <w:u w:val="single"/>
              </w:rPr>
            </w:pPr>
            <w:r>
              <w:rPr>
                <w:b/>
                <w:sz w:val="16"/>
                <w:u w:val="single"/>
              </w:rPr>
            </w:r>
          </w:p>
          <w:p>
            <w:pPr>
              <w:pStyle w:val="Normal"/>
              <w:jc w:val="center"/>
              <w:rPr>
                <w:b/>
                <w:sz w:val="16"/>
                <w:u w:val="single"/>
              </w:rPr>
            </w:pPr>
            <w:r>
              <w:rPr>
                <w:b/>
                <w:sz w:val="16"/>
                <w:u w:val="single"/>
              </w:rPr>
              <w:t>Monthly % of CGT Price</w:t>
            </w:r>
          </w:p>
        </w:tc>
        <w:tc>
          <w:tcPr>
            <w:tcW w:w="135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u w:val="single"/>
              </w:rPr>
            </w:pPr>
            <w:r>
              <w:rPr>
                <w:b/>
                <w:sz w:val="16"/>
                <w:u w:val="single"/>
              </w:rPr>
            </w:r>
          </w:p>
          <w:p>
            <w:pPr>
              <w:pStyle w:val="Normal"/>
              <w:jc w:val="center"/>
              <w:rPr>
                <w:b/>
                <w:sz w:val="16"/>
              </w:rPr>
            </w:pPr>
            <w:r>
              <w:rPr>
                <w:b/>
                <w:sz w:val="16"/>
              </w:rPr>
              <w:t>Monthly Payment Total for Two (2) %</w:t>
            </w:r>
            <w:r>
              <w:rPr>
                <w:b/>
                <w:sz w:val="16"/>
                <w:u w:val="single"/>
              </w:rPr>
              <w:t xml:space="preserve"> of CTG Price</w:t>
            </w:r>
          </w:p>
        </w:tc>
        <w:tc>
          <w:tcPr>
            <w:tcW w:w="126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rPr>
            </w:pPr>
            <w:r>
              <w:rPr>
                <w:b/>
                <w:sz w:val="16"/>
              </w:rPr>
            </w:r>
          </w:p>
          <w:p>
            <w:pPr>
              <w:pStyle w:val="Normal"/>
              <w:jc w:val="center"/>
              <w:rPr>
                <w:b/>
                <w:sz w:val="16"/>
              </w:rPr>
            </w:pPr>
            <w:r>
              <w:rPr>
                <w:b/>
                <w:sz w:val="16"/>
              </w:rPr>
              <w:t>Cumulative Payment Total for Two (2) %</w:t>
            </w:r>
            <w:r>
              <w:rPr>
                <w:b/>
                <w:sz w:val="16"/>
                <w:u w:val="single"/>
              </w:rPr>
              <w:t xml:space="preserve"> of CTG Price</w:t>
            </w:r>
          </w:p>
        </w:tc>
      </w:tr>
      <w:tr>
        <w:trPr>
          <w:trHeight w:val="188" w:hRule="atLeast"/>
        </w:trPr>
        <w:tc>
          <w:tcPr>
            <w:tcW w:w="9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rPr>
            </w:pPr>
            <w:r>
              <w:rPr>
                <w:b/>
                <w:sz w:val="16"/>
              </w:rPr>
            </w:r>
          </w:p>
        </w:tc>
        <w:tc>
          <w:tcPr>
            <w:tcW w:w="9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rPr>
            </w:pPr>
            <w:r>
              <w:rPr>
                <w:b/>
                <w:sz w:val="16"/>
              </w:rPr>
            </w:r>
          </w:p>
        </w:tc>
        <w:tc>
          <w:tcPr>
            <w:tcW w:w="234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u w:val="single"/>
              </w:rPr>
            </w:pPr>
            <w:r>
              <w:rPr>
                <w:b/>
                <w:sz w:val="16"/>
                <w:u w:val="single"/>
              </w:rPr>
            </w:r>
          </w:p>
        </w:tc>
        <w:tc>
          <w:tcPr>
            <w:tcW w:w="234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u w:val="single"/>
              </w:rPr>
            </w:pPr>
            <w:r>
              <w:rPr>
                <w:b/>
                <w:sz w:val="16"/>
                <w:u w:val="single"/>
              </w:rPr>
            </w:r>
          </w:p>
        </w:tc>
        <w:tc>
          <w:tcPr>
            <w:tcW w:w="1080" w:type="dxa"/>
            <w:tcBorders>
              <w:start w:val="single" w:sz="4" w:space="0" w:color="000000"/>
              <w:bottom w:val="single" w:sz="4" w:space="0" w:color="000000"/>
              <w:end w:val="single" w:sz="4" w:space="0" w:color="000000"/>
            </w:tcBorders>
          </w:tcPr>
          <w:p>
            <w:pPr>
              <w:pStyle w:val="Normal"/>
              <w:jc w:val="center"/>
              <w:rPr>
                <w:b/>
                <w:sz w:val="16"/>
                <w:u w:val="single"/>
              </w:rPr>
            </w:pPr>
            <w:r>
              <w:rPr>
                <w:b/>
                <w:sz w:val="16"/>
                <w:u w:val="single"/>
              </w:rPr>
              <w:t>CTG#1</w:t>
            </w:r>
          </w:p>
        </w:tc>
        <w:tc>
          <w:tcPr>
            <w:tcW w:w="900" w:type="dxa"/>
            <w:tcBorders>
              <w:start w:val="single" w:sz="4" w:space="0" w:color="000000"/>
              <w:bottom w:val="single" w:sz="4" w:space="0" w:color="000000"/>
              <w:end w:val="single" w:sz="4" w:space="0" w:color="000000"/>
            </w:tcBorders>
          </w:tcPr>
          <w:p>
            <w:pPr>
              <w:pStyle w:val="Normal"/>
              <w:jc w:val="center"/>
              <w:rPr>
                <w:b/>
                <w:sz w:val="16"/>
                <w:u w:val="single"/>
              </w:rPr>
            </w:pPr>
            <w:r>
              <w:rPr>
                <w:b/>
                <w:sz w:val="16"/>
                <w:u w:val="single"/>
              </w:rPr>
              <w:t>CTG#2</w:t>
            </w:r>
          </w:p>
        </w:tc>
        <w:tc>
          <w:tcPr>
            <w:tcW w:w="135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u w:val="single"/>
              </w:rPr>
            </w:pPr>
            <w:r>
              <w:rPr>
                <w:b/>
                <w:sz w:val="16"/>
                <w:u w:val="single"/>
              </w:rPr>
            </w:r>
          </w:p>
        </w:tc>
        <w:tc>
          <w:tcPr>
            <w:tcW w:w="126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sz w:val="16"/>
              </w:rPr>
            </w:pPr>
            <w:r>
              <w:rPr>
                <w:b/>
                <w:sz w:val="16"/>
              </w:rPr>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0</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Date of Execution of the Purchase Agreement</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Purchase Agreement Execution</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6.11%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6.11%</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May-00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9.72%</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Jun-00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13.33%</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Jul-00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6.11%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19.44%</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4</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Aug-00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23.05%</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Sep-00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26.66%</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Oct-00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6.11%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32.77%</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Nov-00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36.38%</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Dec-00</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7.22%</w:t>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39.99%</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9</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Jan-01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7.24%</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9.00%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8.12%</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48.11%</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10</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Feb-01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Available to Ship CTG #1 EXW</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Available to Ship CTG #1 EXW</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22.22%</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14.61%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62.72%</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11</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Mar-01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Final Payment CTG #1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CTG #1 FCA Port of Export</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5.56%</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5.78%</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68.50%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12</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Apr-01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9.00%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4.50%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73.00%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13</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May-01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FootnoteText"/>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FootnoteText"/>
              <w:jc w:val="center"/>
              <w:rPr>
                <w:sz w:val="16"/>
              </w:rPr>
            </w:pPr>
            <w:r>
              <w:rPr>
                <w:sz w:val="16"/>
              </w:rPr>
              <w:t>7.00%</w:t>
            </w:r>
          </w:p>
        </w:tc>
        <w:tc>
          <w:tcPr>
            <w:tcW w:w="1350" w:type="dxa"/>
            <w:tcBorders>
              <w:top w:val="single" w:sz="4" w:space="0" w:color="000000"/>
              <w:start w:val="single" w:sz="4" w:space="0" w:color="000000"/>
              <w:bottom w:val="single" w:sz="4" w:space="0" w:color="000000"/>
              <w:end w:val="single" w:sz="4" w:space="0" w:color="000000"/>
            </w:tcBorders>
          </w:tcPr>
          <w:p>
            <w:pPr>
              <w:pStyle w:val="FootnoteText"/>
              <w:jc w:val="center"/>
              <w:rPr>
                <w:sz w:val="16"/>
              </w:rPr>
            </w:pPr>
            <w:r>
              <w:rPr>
                <w:sz w:val="16"/>
              </w:rPr>
              <w:t>3.50%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76.50%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14</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Jun-01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6.00%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79.50%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15</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Jul-01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4.00%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81.50%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16</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Aug-01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4.00%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83.50%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17</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Sep-01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3.00%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1.50%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85.00%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18</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Oct-01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2.22%</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1.11%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86.11%</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19</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Nov-01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0.00%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86.11%</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20</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Dec-01</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0.00%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86.11%</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21</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Jan-02</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Monthly Progress Payment</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0.00%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86.11%</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22</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Feb-02</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Available to Ship CTG #2 EXW</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Available to Ship CTG #2 EXW</w:t>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22.22%</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11.11%</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97.22%</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23</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Mar-02</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Final Payment CTG #2</w:t>
            </w:r>
          </w:p>
        </w:tc>
        <w:tc>
          <w:tcPr>
            <w:tcW w:w="2340" w:type="dxa"/>
            <w:tcBorders>
              <w:top w:val="single" w:sz="4" w:space="0" w:color="000000"/>
              <w:start w:val="single" w:sz="4" w:space="0" w:color="000000"/>
              <w:bottom w:val="single" w:sz="4" w:space="0" w:color="000000"/>
              <w:end w:val="single" w:sz="4" w:space="0" w:color="000000"/>
            </w:tcBorders>
          </w:tcPr>
          <w:p>
            <w:pPr>
              <w:pStyle w:val="Normal"/>
              <w:rPr>
                <w:sz w:val="16"/>
              </w:rPr>
            </w:pPr>
            <w:r>
              <w:rPr>
                <w:sz w:val="16"/>
              </w:rPr>
              <w:t>CTG #2 FCA Port of Export</w:t>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5.56%</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2.78%</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100.00%</w:t>
            </w:r>
          </w:p>
        </w:tc>
      </w:tr>
      <w:tr>
        <w:trPr/>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24</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Apr-02</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9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0.00%</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100.00%</w:t>
            </w:r>
          </w:p>
        </w:tc>
      </w:tr>
      <w:tr>
        <w:trPr/>
        <w:tc>
          <w:tcPr>
            <w:tcW w:w="4320" w:type="dxa"/>
            <w:gridSpan w:val="3"/>
            <w:tcBorders>
              <w:top w:val="single" w:sz="4" w:space="0" w:color="000000"/>
              <w:start w:val="single" w:sz="4" w:space="0" w:color="000000"/>
              <w:bottom w:val="single" w:sz="4" w:space="0" w:color="000000"/>
              <w:end w:val="single" w:sz="4" w:space="0" w:color="000000"/>
            </w:tcBorders>
          </w:tcPr>
          <w:p>
            <w:pPr>
              <w:pStyle w:val="FooterB"/>
              <w:tabs>
                <w:tab w:val="clear" w:pos="0"/>
                <w:tab w:val="clear" w:pos="4320"/>
                <w:tab w:val="left" w:pos="1422" w:leader="none"/>
                <w:tab w:val="left" w:pos="1962" w:leader="none"/>
                <w:tab w:val="right" w:pos="8208" w:leader="none"/>
              </w:tabs>
              <w:rPr/>
            </w:pPr>
            <w:r>
              <w:rPr/>
              <w:tab/>
              <w:tab/>
              <w:t>Total</w:t>
              <w:tab/>
              <w:tab/>
              <w:tab/>
              <w:tab/>
              <w:t>Total</w:t>
            </w:r>
          </w:p>
        </w:tc>
        <w:tc>
          <w:tcPr>
            <w:tcW w:w="2340" w:type="dxa"/>
            <w:tcBorders>
              <w:top w:val="single" w:sz="4" w:space="0" w:color="000000"/>
              <w:start w:val="single" w:sz="4" w:space="0" w:color="000000"/>
              <w:bottom w:val="single" w:sz="4" w:space="0" w:color="000000"/>
              <w:end w:val="single" w:sz="4" w:space="0" w:color="000000"/>
            </w:tcBorders>
          </w:tcPr>
          <w:p>
            <w:pPr>
              <w:pStyle w:val="Normal"/>
              <w:snapToGrid w:val="false"/>
              <w:rPr>
                <w:sz w:val="16"/>
              </w:rPr>
            </w:pPr>
            <w:r>
              <w:rPr>
                <w:sz w:val="16"/>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100.00%</w:t>
            </w:r>
          </w:p>
        </w:tc>
        <w:tc>
          <w:tcPr>
            <w:tcW w:w="90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100.00%</w:t>
            </w:r>
          </w:p>
        </w:tc>
        <w:tc>
          <w:tcPr>
            <w:tcW w:w="1350" w:type="dxa"/>
            <w:tcBorders>
              <w:top w:val="single" w:sz="4" w:space="0" w:color="000000"/>
              <w:start w:val="single" w:sz="4" w:space="0" w:color="000000"/>
              <w:bottom w:val="single" w:sz="4" w:space="0" w:color="000000"/>
              <w:end w:val="single" w:sz="4" w:space="0" w:color="000000"/>
            </w:tcBorders>
          </w:tcPr>
          <w:p>
            <w:pPr>
              <w:pStyle w:val="Normal"/>
              <w:jc w:val="center"/>
              <w:rPr>
                <w:sz w:val="16"/>
              </w:rPr>
            </w:pPr>
            <w:r>
              <w:rPr>
                <w:sz w:val="16"/>
              </w:rPr>
              <w:t>100.00%</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sz w:val="16"/>
              </w:rPr>
            </w:pPr>
            <w:r>
              <w:rPr>
                <w:sz w:val="16"/>
              </w:rPr>
            </w:r>
          </w:p>
        </w:tc>
      </w:tr>
    </w:tbl>
    <w:p>
      <w:pPr>
        <w:pStyle w:val="Normal"/>
        <w:rPr>
          <w:sz w:val="16"/>
        </w:rPr>
      </w:pPr>
      <w:r>
        <w:rPr>
          <w:sz w:val="16"/>
        </w:rPr>
      </w:r>
    </w:p>
    <w:p>
      <w:pPr>
        <w:pStyle w:val="Normal"/>
        <w:jc w:val="center"/>
        <w:rPr>
          <w:sz w:val="16"/>
        </w:rPr>
      </w:pPr>
      <w:r>
        <w:rPr>
          <w:sz w:val="16"/>
        </w:rPr>
        <w:t>Initial progress payment is due within 5 business days of the execution of the Purchase Agreement, via wire transfer</w:t>
      </w:r>
    </w:p>
    <w:p>
      <w:pPr>
        <w:pStyle w:val="Normal"/>
        <w:jc w:val="center"/>
        <w:rPr/>
      </w:pPr>
      <w:r>
        <w:rPr>
          <w:sz w:val="16"/>
        </w:rPr>
        <w:t>All other progress payments are due on the 20</w:t>
      </w:r>
      <w:r>
        <w:rPr>
          <w:sz w:val="16"/>
          <w:vertAlign w:val="superscript"/>
        </w:rPr>
        <w:t>th</w:t>
      </w:r>
      <w:r>
        <w:rPr>
          <w:sz w:val="16"/>
        </w:rPr>
        <w:t xml:space="preserve"> of the indicated month, via wire transfer</w:t>
      </w:r>
    </w:p>
    <w:p>
      <w:pPr>
        <w:pStyle w:val="Normal"/>
        <w:jc w:val="center"/>
        <w:rPr>
          <w:sz w:val="16"/>
        </w:rPr>
      </w:pPr>
      <w:r>
        <w:rPr>
          <w:sz w:val="16"/>
        </w:rPr>
        <w:t>Payments tied to availability to ship/shipment are due net 30 days from receipt of invoice</w:t>
      </w:r>
    </w:p>
    <w:p>
      <w:pPr>
        <w:pStyle w:val="Normal"/>
        <w:rPr>
          <w:sz w:val="16"/>
        </w:rPr>
      </w:pPr>
      <w:r>
        <w:rPr>
          <w:sz w:val="16"/>
        </w:rPr>
      </w:r>
    </w:p>
    <w:p>
      <w:pPr>
        <w:pStyle w:val="Normal"/>
        <w:rPr>
          <w:sz w:val="16"/>
        </w:rPr>
      </w:pPr>
      <w:r>
        <w:rPr>
          <w:sz w:val="16"/>
        </w:rPr>
      </w:r>
    </w:p>
    <w:p>
      <w:pPr>
        <w:sectPr>
          <w:footerReference w:type="default" r:id="rId10"/>
          <w:footerReference w:type="first" r:id="rId11"/>
          <w:type w:val="nextPage"/>
          <w:pgSz w:w="12240" w:h="15840"/>
          <w:pgMar w:left="1152" w:right="720" w:gutter="0" w:header="0" w:top="2160" w:footer="1440" w:bottom="1800"/>
          <w:pgNumType w:fmt="decimal"/>
          <w:formProt w:val="false"/>
          <w:titlePg/>
          <w:textDirection w:val="lrTb"/>
          <w:docGrid w:type="default" w:linePitch="360" w:charSpace="0"/>
        </w:sectPr>
        <w:pStyle w:val="Normal"/>
        <w:rPr/>
      </w:pPr>
      <w:r>
        <w:rPr/>
      </w:r>
    </w:p>
    <w:p>
      <w:pPr>
        <w:pStyle w:val="Normal"/>
        <w:jc w:val="center"/>
        <w:rPr>
          <w:b/>
        </w:rPr>
      </w:pPr>
      <w:r>
        <w:rPr>
          <w:b/>
        </w:rPr>
        <w:t>ATTACHMENT 5</w:t>
      </w:r>
    </w:p>
    <w:p>
      <w:pPr>
        <w:pStyle w:val="Normal"/>
        <w:rPr>
          <w:b/>
        </w:rPr>
      </w:pPr>
      <w:r>
        <w:rPr>
          <w:b/>
        </w:rPr>
      </w:r>
    </w:p>
    <w:p>
      <w:pPr>
        <w:pStyle w:val="Normal"/>
        <w:jc w:val="center"/>
        <w:rPr>
          <w:b/>
        </w:rPr>
      </w:pPr>
      <w:r>
        <w:rPr>
          <w:b/>
        </w:rPr>
        <w:t>SPARE PARTS LIST PRICES</w:t>
      </w:r>
    </w:p>
    <w:p>
      <w:pPr>
        <w:pStyle w:val="Normal"/>
        <w:rPr>
          <w:b/>
        </w:rPr>
      </w:pPr>
      <w:r>
        <w:rPr>
          <w:b/>
        </w:rPr>
      </w:r>
    </w:p>
    <w:p>
      <w:pPr>
        <w:sectPr>
          <w:footerReference w:type="default" r:id="rId12"/>
          <w:footerReference w:type="first" r:id="rId13"/>
          <w:type w:val="nextPage"/>
          <w:pgSz w:w="12240" w:h="15840"/>
          <w:pgMar w:left="2160" w:right="1872" w:gutter="0" w:header="0" w:top="2160" w:footer="1440" w:bottom="1800"/>
          <w:pgNumType w:fmt="decimal"/>
          <w:formProt w:val="false"/>
          <w:titlePg/>
          <w:textDirection w:val="lrTb"/>
          <w:docGrid w:type="default" w:linePitch="360" w:charSpace="0"/>
        </w:sectPr>
        <w:pStyle w:val="Normal"/>
        <w:jc w:val="center"/>
        <w:rPr/>
      </w:pPr>
      <w:r>
        <w:rPr/>
        <w:t xml:space="preserve">[Transmitted separately] </w:t>
      </w:r>
    </w:p>
    <w:p>
      <w:pPr>
        <w:pStyle w:val="Normal"/>
        <w:jc w:val="center"/>
        <w:rPr>
          <w:b/>
        </w:rPr>
      </w:pPr>
      <w:r>
        <w:rPr>
          <w:b/>
        </w:rPr>
        <w:t>ATTACHMENT 6</w:t>
      </w:r>
    </w:p>
    <w:p>
      <w:pPr>
        <w:pStyle w:val="Normal"/>
        <w:rPr>
          <w:b/>
        </w:rPr>
      </w:pPr>
      <w:r>
        <w:rPr>
          <w:b/>
        </w:rPr>
      </w:r>
    </w:p>
    <w:p>
      <w:pPr>
        <w:pStyle w:val="Normal"/>
        <w:jc w:val="center"/>
        <w:rPr>
          <w:b/>
          <w:caps/>
        </w:rPr>
      </w:pPr>
      <w:r>
        <w:rPr>
          <w:b/>
          <w:caps/>
        </w:rPr>
        <w:t>Termination Schedule</w:t>
      </w:r>
    </w:p>
    <w:p>
      <w:pPr>
        <w:pStyle w:val="Normal"/>
        <w:rPr>
          <w:b/>
          <w:caps/>
        </w:rPr>
      </w:pPr>
      <w:r>
        <w:rPr>
          <w:b/>
          <w:caps/>
        </w:rPr>
      </w:r>
    </w:p>
    <w:tbl>
      <w:tblPr>
        <w:tblW w:w="7290" w:type="dxa"/>
        <w:jc w:val="start"/>
        <w:tblInd w:w="558" w:type="dxa"/>
        <w:tblLayout w:type="fixed"/>
        <w:tblCellMar>
          <w:top w:w="0" w:type="dxa"/>
          <w:start w:w="108" w:type="dxa"/>
          <w:bottom w:w="0" w:type="dxa"/>
          <w:end w:w="108" w:type="dxa"/>
        </w:tblCellMar>
      </w:tblPr>
      <w:tblGrid>
        <w:gridCol w:w="1170"/>
        <w:gridCol w:w="1350"/>
        <w:gridCol w:w="1800"/>
        <w:gridCol w:w="1620"/>
        <w:gridCol w:w="1350"/>
      </w:tblGrid>
      <w:tr>
        <w:trPr>
          <w:trHeight w:val="398" w:hRule="atLeast"/>
        </w:trPr>
        <w:tc>
          <w:tcPr>
            <w:tcW w:w="1170" w:type="dxa"/>
            <w:vMerge w:val="restart"/>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b/>
              </w:rPr>
            </w:pPr>
            <w:r>
              <w:rPr>
                <w:b/>
              </w:rPr>
              <w:t xml:space="preserve">Months from Purchase Agreement </w:t>
            </w:r>
            <w:r>
              <w:rPr>
                <w:b/>
                <w:u w:val="single"/>
              </w:rPr>
              <w:t>Execution</w:t>
            </w:r>
          </w:p>
        </w:tc>
        <w:tc>
          <w:tcPr>
            <w:tcW w:w="1350" w:type="dxa"/>
            <w:vMerge w:val="restart"/>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snapToGrid w:val="false"/>
              <w:jc w:val="center"/>
              <w:rPr>
                <w:b/>
              </w:rPr>
            </w:pPr>
            <w:r>
              <w:rPr>
                <w:b/>
              </w:rPr>
            </w:r>
          </w:p>
          <w:p>
            <w:pPr>
              <w:pStyle w:val="FooterB"/>
              <w:tabs>
                <w:tab w:val="clear" w:pos="4320"/>
                <w:tab w:val="left" w:pos="0" w:leader="none"/>
                <w:tab w:val="right" w:pos="8208" w:leader="none"/>
              </w:tabs>
              <w:jc w:val="center"/>
              <w:rPr>
                <w:b/>
              </w:rPr>
            </w:pPr>
            <w:r>
              <w:rPr>
                <w:b/>
              </w:rPr>
            </w:r>
          </w:p>
          <w:p>
            <w:pPr>
              <w:pStyle w:val="FooterB"/>
              <w:tabs>
                <w:tab w:val="clear" w:pos="4320"/>
                <w:tab w:val="left" w:pos="0" w:leader="none"/>
                <w:tab w:val="right" w:pos="8208" w:leader="none"/>
              </w:tabs>
              <w:jc w:val="center"/>
              <w:rPr>
                <w:b/>
              </w:rPr>
            </w:pPr>
            <w:r>
              <w:rPr>
                <w:b/>
              </w:rPr>
              <w:t xml:space="preserve">Calendar </w:t>
            </w:r>
            <w:r>
              <w:rPr>
                <w:b/>
                <w:u w:val="single"/>
              </w:rPr>
              <w:t>Month</w:t>
            </w:r>
          </w:p>
        </w:tc>
        <w:tc>
          <w:tcPr>
            <w:tcW w:w="3420" w:type="dxa"/>
            <w:gridSpan w:val="2"/>
            <w:tcBorders>
              <w:top w:val="single" w:sz="4" w:space="0" w:color="000000"/>
              <w:start w:val="single" w:sz="4" w:space="0" w:color="000000"/>
              <w:end w:val="single" w:sz="4" w:space="0" w:color="000000"/>
            </w:tcBorders>
          </w:tcPr>
          <w:p>
            <w:pPr>
              <w:pStyle w:val="FooterB"/>
              <w:tabs>
                <w:tab w:val="clear" w:pos="4320"/>
                <w:tab w:val="left" w:pos="0" w:leader="none"/>
                <w:tab w:val="right" w:pos="8208" w:leader="none"/>
              </w:tabs>
              <w:snapToGrid w:val="false"/>
              <w:jc w:val="center"/>
              <w:rPr>
                <w:b/>
                <w:u w:val="single"/>
              </w:rPr>
            </w:pPr>
            <w:r>
              <w:rPr>
                <w:b/>
                <w:u w:val="single"/>
              </w:rPr>
            </w:r>
          </w:p>
          <w:p>
            <w:pPr>
              <w:pStyle w:val="FooterB"/>
              <w:tabs>
                <w:tab w:val="clear" w:pos="4320"/>
                <w:tab w:val="left" w:pos="0" w:leader="none"/>
                <w:tab w:val="right" w:pos="8208" w:leader="none"/>
              </w:tabs>
              <w:jc w:val="center"/>
              <w:rPr>
                <w:b/>
                <w:u w:val="single"/>
              </w:rPr>
            </w:pPr>
            <w:r>
              <w:rPr>
                <w:b/>
                <w:u w:val="single"/>
              </w:rPr>
            </w:r>
          </w:p>
          <w:p>
            <w:pPr>
              <w:pStyle w:val="FooterB"/>
              <w:tabs>
                <w:tab w:val="clear" w:pos="4320"/>
                <w:tab w:val="left" w:pos="0" w:leader="none"/>
                <w:tab w:val="right" w:pos="8208" w:leader="none"/>
              </w:tabs>
              <w:jc w:val="center"/>
              <w:rPr>
                <w:b/>
                <w:u w:val="single"/>
              </w:rPr>
            </w:pPr>
            <w:r>
              <w:rPr>
                <w:b/>
                <w:u w:val="single"/>
              </w:rPr>
              <w:t>Monthly % of CTG Price</w:t>
            </w:r>
          </w:p>
        </w:tc>
        <w:tc>
          <w:tcPr>
            <w:tcW w:w="1350" w:type="dxa"/>
            <w:vMerge w:val="restart"/>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b/>
              </w:rPr>
            </w:pPr>
            <w:r>
              <w:rPr>
                <w:b/>
              </w:rPr>
              <w:t xml:space="preserve">Cumulative Cancellation Total for Two </w:t>
            </w:r>
            <w:r>
              <w:rPr>
                <w:b/>
                <w:u w:val="single"/>
              </w:rPr>
              <w:t>% CTG Price</w:t>
            </w:r>
          </w:p>
        </w:tc>
      </w:tr>
      <w:tr>
        <w:trPr>
          <w:trHeight w:val="197" w:hRule="atLeast"/>
        </w:trPr>
        <w:tc>
          <w:tcPr>
            <w:tcW w:w="1170" w:type="dxa"/>
            <w:vMerge w:val="continue"/>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snapToGrid w:val="false"/>
              <w:jc w:val="center"/>
              <w:rPr>
                <w:b/>
              </w:rPr>
            </w:pPr>
            <w:r>
              <w:rPr>
                <w:b/>
              </w:rPr>
            </w:r>
          </w:p>
        </w:tc>
        <w:tc>
          <w:tcPr>
            <w:tcW w:w="1350" w:type="dxa"/>
            <w:vMerge w:val="continue"/>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snapToGrid w:val="false"/>
              <w:jc w:val="center"/>
              <w:rPr>
                <w:b/>
              </w:rPr>
            </w:pPr>
            <w:r>
              <w:rPr>
                <w:b/>
              </w:rPr>
            </w:r>
          </w:p>
        </w:tc>
        <w:tc>
          <w:tcPr>
            <w:tcW w:w="1800" w:type="dxa"/>
            <w:tcBorders>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b/>
                <w:u w:val="single"/>
              </w:rPr>
            </w:pPr>
            <w:r>
              <w:rPr>
                <w:b/>
                <w:u w:val="single"/>
              </w:rPr>
              <w:t>CTG #1</w:t>
            </w:r>
          </w:p>
        </w:tc>
        <w:tc>
          <w:tcPr>
            <w:tcW w:w="1620" w:type="dxa"/>
            <w:tcBorders>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b/>
                <w:u w:val="single"/>
              </w:rPr>
            </w:pPr>
            <w:r>
              <w:rPr>
                <w:b/>
                <w:u w:val="single"/>
              </w:rPr>
              <w:t>CTG #2</w:t>
            </w:r>
          </w:p>
        </w:tc>
        <w:tc>
          <w:tcPr>
            <w:tcW w:w="1350" w:type="dxa"/>
            <w:vMerge w:val="continue"/>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snapToGrid w:val="false"/>
              <w:jc w:val="center"/>
              <w:rPr>
                <w:b/>
                <w:u w:val="single"/>
              </w:rPr>
            </w:pPr>
            <w:r>
              <w:rPr>
                <w:b/>
                <w:u w:val="single"/>
              </w:rPr>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Date of Execution of the Purchase Agreement</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May-00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13.00%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12.00%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12.50%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Jun-00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16.00%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14.00%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15.00%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Jul-00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19.00%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16.00%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17.50%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Aug-00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22.00%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18.00%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5</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b/>
              </w:rPr>
            </w:pPr>
            <w:r>
              <w:rPr/>
              <w:t>Sep-00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25.00%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22.50%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6</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Oct-00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28.00%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22.00%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25.00%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Nov-00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31.00%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24.00%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27.50%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8</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Dec-00</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34.00%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26.00%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9</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Jan-01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37.00%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33.50%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Feb-01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32.00%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36.00%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11</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Mar-01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34.00%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67.00%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12</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Apr-01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36.00%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68.00%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13</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May-01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38.00%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69.00%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14</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Jun-01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15</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Jul-01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16</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Aug-01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17</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Sep-01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18</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Oct-01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19</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Nov-01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Dec-01</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21</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Jan-02</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22</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Feb-02</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40.00%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70.00%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23</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Mar-02</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r>
      <w:tr>
        <w:trPr/>
        <w:tc>
          <w:tcPr>
            <w:tcW w:w="117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24</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Apr-02</w:t>
            </w:r>
          </w:p>
        </w:tc>
        <w:tc>
          <w:tcPr>
            <w:tcW w:w="180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62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c>
          <w:tcPr>
            <w:tcW w:w="1350" w:type="dxa"/>
            <w:tcBorders>
              <w:top w:val="single" w:sz="4" w:space="0" w:color="000000"/>
              <w:start w:val="single" w:sz="4" w:space="0" w:color="000000"/>
              <w:bottom w:val="single" w:sz="4" w:space="0" w:color="000000"/>
              <w:end w:val="single" w:sz="4" w:space="0" w:color="000000"/>
            </w:tcBorders>
          </w:tcPr>
          <w:p>
            <w:pPr>
              <w:pStyle w:val="FooterB"/>
              <w:tabs>
                <w:tab w:val="clear" w:pos="4320"/>
                <w:tab w:val="left" w:pos="0" w:leader="none"/>
                <w:tab w:val="right" w:pos="8208" w:leader="none"/>
              </w:tabs>
              <w:jc w:val="center"/>
              <w:rPr/>
            </w:pPr>
            <w:r>
              <w:rPr/>
              <w:t>100.00%</w:t>
            </w:r>
          </w:p>
        </w:tc>
      </w:tr>
    </w:tbl>
    <w:p>
      <w:pPr>
        <w:pStyle w:val="FooterB"/>
        <w:tabs>
          <w:tab w:val="clear" w:pos="4320"/>
          <w:tab w:val="left" w:pos="0" w:leader="none"/>
          <w:tab w:val="left" w:pos="450" w:leader="none"/>
          <w:tab w:val="right" w:pos="8208" w:leader="none"/>
        </w:tabs>
        <w:jc w:val="both"/>
        <w:rPr/>
      </w:pPr>
      <w:r>
        <w:rPr/>
        <w:tab/>
      </w:r>
    </w:p>
    <w:p>
      <w:pPr>
        <w:pStyle w:val="FooterB"/>
        <w:tabs>
          <w:tab w:val="clear" w:pos="4320"/>
          <w:tab w:val="left" w:pos="0" w:leader="none"/>
          <w:tab w:val="right" w:pos="8208" w:leader="none"/>
        </w:tabs>
        <w:jc w:val="center"/>
        <w:rPr/>
      </w:pPr>
      <w:r>
        <w:rPr/>
        <w:t xml:space="preserve">The Buyer may terminate the contract at any time upon written notification and </w:t>
        <w:br/>
        <w:t>payment of Termination Charges in accordance with the schedule set forth above.</w:t>
      </w:r>
    </w:p>
    <w:p>
      <w:pPr>
        <w:pStyle w:val="FooterB"/>
        <w:tabs>
          <w:tab w:val="clear" w:pos="4320"/>
          <w:tab w:val="left" w:pos="0" w:leader="none"/>
          <w:tab w:val="right" w:pos="8208" w:leader="none"/>
        </w:tabs>
        <w:jc w:val="center"/>
        <w:rPr/>
      </w:pPr>
      <w:r>
        <w:rPr/>
        <w:t>Title to any terminated Gas Turbine equipment remains with the Seller.</w:t>
      </w:r>
    </w:p>
    <w:p>
      <w:pPr>
        <w:pStyle w:val="FooterB"/>
        <w:tabs>
          <w:tab w:val="clear" w:pos="4320"/>
          <w:tab w:val="left" w:pos="0" w:leader="none"/>
          <w:tab w:val="right" w:pos="8208" w:leader="none"/>
        </w:tabs>
        <w:jc w:val="center"/>
        <w:rPr/>
      </w:pPr>
      <w:r>
        <w:rPr/>
        <w:t>The Termination Charge for any equipment for which Title has Transferred is 100%</w:t>
      </w:r>
    </w:p>
    <w:p>
      <w:pPr>
        <w:pStyle w:val="FooterB"/>
        <w:tabs>
          <w:tab w:val="clear" w:pos="4320"/>
          <w:tab w:val="left" w:pos="0" w:leader="none"/>
          <w:tab w:val="right" w:pos="8208" w:leader="none"/>
        </w:tabs>
        <w:rPr/>
      </w:pPr>
      <w:r>
        <w:rPr/>
      </w:r>
    </w:p>
    <w:p>
      <w:pPr>
        <w:pStyle w:val="Normal"/>
        <w:rPr/>
      </w:pPr>
      <w:r>
        <w:rPr/>
      </w:r>
    </w:p>
    <w:p>
      <w:pPr>
        <w:sectPr>
          <w:footerReference w:type="default" r:id="rId14"/>
          <w:footerReference w:type="first" r:id="rId15"/>
          <w:type w:val="nextPage"/>
          <w:pgSz w:w="12240" w:h="15840"/>
          <w:pgMar w:left="2160" w:right="1872" w:gutter="0" w:header="0" w:top="2160" w:footer="1440" w:bottom="1800"/>
          <w:pgNumType w:fmt="decimal"/>
          <w:formProt w:val="false"/>
          <w:titlePg/>
          <w:textDirection w:val="lrTb"/>
          <w:docGrid w:type="default" w:linePitch="360" w:charSpace="0"/>
        </w:sectPr>
        <w:pStyle w:val="Normal"/>
        <w:rPr/>
      </w:pPr>
      <w:r>
        <w:rPr/>
      </w:r>
    </w:p>
    <w:p>
      <w:pPr>
        <w:pStyle w:val="Normal"/>
        <w:jc w:val="center"/>
        <w:rPr>
          <w:b/>
        </w:rPr>
      </w:pPr>
      <w:r>
        <w:rPr>
          <w:b/>
        </w:rPr>
        <w:t>ATTACHMENT 7</w:t>
      </w:r>
    </w:p>
    <w:p>
      <w:pPr>
        <w:pStyle w:val="Header"/>
        <w:widowControl/>
        <w:tabs>
          <w:tab w:val="clear" w:pos="4320"/>
          <w:tab w:val="clear" w:pos="8640"/>
          <w:tab w:val="center" w:pos="4104" w:leader="none"/>
        </w:tabs>
        <w:jc w:val="center"/>
        <w:rPr>
          <w:b/>
        </w:rPr>
      </w:pPr>
      <w:r>
        <w:rPr>
          <w:b/>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pPr>
      <w:r>
        <w:rPr/>
      </w:r>
    </w:p>
    <w:p>
      <w:pPr>
        <w:pStyle w:val="Heading1"/>
        <w:keepNext w:val="false"/>
        <w:widowControl w:val="false"/>
        <w:numPr>
          <w:ilvl w:val="0"/>
          <w:numId w:val="0"/>
        </w:numPr>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hanging="0" w:start="0"/>
        <w:jc w:val="start"/>
        <w:rPr>
          <w:b/>
          <w:kern w:val="2"/>
          <w:lang w:eastAsia="en-CA"/>
        </w:rPr>
      </w:pPr>
      <w:bookmarkStart w:id="0" w:name="_Ref445165316"/>
      <w:r>
        <w:rPr>
          <w:b/>
          <w:kern w:val="2"/>
          <w:lang w:eastAsia="en-CA"/>
        </w:rPr>
        <w:tab/>
        <w:tab/>
        <w:t>7.</w:t>
        <w:tab/>
        <w:t>GE Scope of Supply</w:t>
      </w:r>
      <w:bookmarkEnd w:id="0"/>
    </w:p>
    <w:p>
      <w:pPr>
        <w:pStyle w:val="para"/>
        <w:tabs>
          <w:tab w:val="clear" w:pos="2520"/>
          <w:tab w:val="left" w:pos="720" w:leader="none"/>
          <w:tab w:val="left" w:pos="1440" w:leader="none"/>
          <w:tab w:val="left" w:pos="2160" w:leader="none"/>
          <w:tab w:val="left" w:pos="2880" w:leader="none"/>
        </w:tabs>
        <w:spacing w:lineRule="auto" w:line="240" w:before="0" w:after="0"/>
        <w:rPr>
          <w:rFonts w:ascii="Times New Roman" w:hAnsi="Times New Roman" w:cs="Times New Roman"/>
        </w:rPr>
      </w:pPr>
      <w:r>
        <w:rPr>
          <w:rFonts w:cs="Times New Roman" w:ascii="Times New Roman" w:hAnsi="Times New Roman"/>
        </w:rPr>
        <w:object w:dxaOrig="9993" w:dyaOrig="57">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467.65pt;height:2.65pt" filled="f" o:ole="">
            <v:imagedata r:id="rId17" o:title=""/>
          </v:shape>
          <o:OLEObject Type="Embed" ProgID="" ShapeID="ole_rId16" DrawAspect="Content" ObjectID="_2142735784" r:id="rId16"/>
        </w:object>
      </w:r>
    </w:p>
    <w:p>
      <w:pPr>
        <w:pStyle w:val="para"/>
        <w:tabs>
          <w:tab w:val="clear" w:pos="2520"/>
          <w:tab w:val="left" w:pos="720" w:leader="none"/>
          <w:tab w:val="left" w:pos="1440" w:leader="none"/>
          <w:tab w:val="left" w:pos="2160" w:leader="none"/>
          <w:tab w:val="left" w:pos="2880" w:leader="none"/>
        </w:tabs>
        <w:spacing w:lineRule="auto" w:line="240" w:before="0" w:after="0"/>
        <w:rPr>
          <w:rFonts w:ascii="Times New Roman" w:hAnsi="Times New Roman" w:cs="Times New Roman"/>
        </w:rPr>
      </w:pPr>
      <w:r>
        <w:rPr>
          <w:rFonts w:cs="Times New Roman" w:ascii="Times New Roman" w:hAnsi="Times New Roman"/>
        </w:rPr>
      </w:r>
    </w:p>
    <w:p>
      <w:pPr>
        <w:pStyle w:val="para"/>
        <w:tabs>
          <w:tab w:val="clear" w:pos="2520"/>
          <w:tab w:val="left" w:pos="2880" w:leader="none"/>
          <w:tab w:val="right" w:pos="9360" w:leader="dot"/>
        </w:tabs>
        <w:spacing w:lineRule="auto" w:line="240" w:before="0" w:after="0"/>
        <w:ind w:start="2160" w:end="0"/>
        <w:rPr>
          <w:rFonts w:ascii="Times New Roman" w:hAnsi="Times New Roman" w:cs="Times New Roman"/>
          <w:lang w:val="en-CA"/>
        </w:rPr>
      </w:pPr>
      <w:r>
        <w:rPr>
          <w:rFonts w:cs="Times New Roman" w:ascii="Times New Roman" w:hAnsi="Times New Roman"/>
          <w:lang w:val="en-CA"/>
        </w:rPr>
        <w:t>7.1</w:t>
        <w:tab/>
        <w:t>Gas Turbine Systems</w:t>
        <w:tab/>
        <w:t>7.1</w:t>
      </w:r>
    </w:p>
    <w:p>
      <w:pPr>
        <w:pStyle w:val="para"/>
        <w:tabs>
          <w:tab w:val="clear" w:pos="2520"/>
          <w:tab w:val="left" w:pos="2880" w:leader="none"/>
          <w:tab w:val="right" w:pos="9360" w:leader="dot"/>
        </w:tabs>
        <w:spacing w:lineRule="auto" w:line="240" w:before="0" w:after="0"/>
        <w:ind w:start="2160" w:end="0"/>
        <w:rPr>
          <w:rFonts w:ascii="Times New Roman" w:hAnsi="Times New Roman" w:cs="Times New Roman"/>
          <w:lang w:val="en-CA"/>
        </w:rPr>
      </w:pPr>
      <w:r>
        <w:rPr>
          <w:rFonts w:cs="Times New Roman" w:ascii="Times New Roman" w:hAnsi="Times New Roman"/>
          <w:lang w:val="en-CA"/>
        </w:rPr>
        <w:t>7.2</w:t>
        <w:tab/>
        <w:t>Generator</w:t>
        <w:tab/>
        <w:t>7.6</w:t>
      </w:r>
    </w:p>
    <w:p>
      <w:pPr>
        <w:pStyle w:val="para"/>
        <w:tabs>
          <w:tab w:val="clear" w:pos="2520"/>
          <w:tab w:val="left" w:pos="2880" w:leader="none"/>
          <w:tab w:val="right" w:pos="9360" w:leader="dot"/>
        </w:tabs>
        <w:spacing w:lineRule="auto" w:line="240" w:before="0" w:after="0"/>
        <w:ind w:start="2160" w:end="0"/>
        <w:rPr>
          <w:rFonts w:ascii="Times New Roman" w:hAnsi="Times New Roman" w:cs="Times New Roman"/>
          <w:lang w:val="en-CA"/>
        </w:rPr>
      </w:pPr>
      <w:r>
        <w:rPr>
          <w:rFonts w:cs="Times New Roman" w:ascii="Times New Roman" w:hAnsi="Times New Roman"/>
          <w:lang w:val="en-CA"/>
        </w:rPr>
        <w:t>7.3</w:t>
        <w:tab/>
        <w:t>Gas Turbine-Generator Controls and Electric Auxiliaries</w:t>
        <w:tab/>
        <w:t>7.12</w:t>
      </w:r>
    </w:p>
    <w:p>
      <w:pPr>
        <w:pStyle w:val="para"/>
        <w:tabs>
          <w:tab w:val="clear" w:pos="2520"/>
          <w:tab w:val="left" w:pos="2880" w:leader="none"/>
          <w:tab w:val="right" w:pos="9360" w:leader="dot"/>
        </w:tabs>
        <w:spacing w:lineRule="auto" w:line="240" w:before="0" w:after="0"/>
        <w:ind w:start="2160" w:end="0"/>
        <w:rPr>
          <w:rFonts w:ascii="Times New Roman" w:hAnsi="Times New Roman" w:cs="Times New Roman"/>
          <w:lang w:val="en-CA"/>
        </w:rPr>
      </w:pPr>
      <w:r>
        <w:rPr>
          <w:rFonts w:cs="Times New Roman" w:ascii="Times New Roman" w:hAnsi="Times New Roman"/>
          <w:lang w:val="en-CA"/>
        </w:rPr>
        <w:t>7.4</w:t>
        <w:tab/>
        <w:t>Services</w:t>
        <w:tab/>
        <w:t>7.17</w:t>
      </w:r>
    </w:p>
    <w:p>
      <w:pPr>
        <w:pStyle w:val="para"/>
        <w:tabs>
          <w:tab w:val="clear" w:pos="2520"/>
          <w:tab w:val="left" w:pos="720" w:leader="none"/>
          <w:tab w:val="left" w:pos="1440" w:leader="none"/>
          <w:tab w:val="left" w:pos="2160" w:leader="none"/>
          <w:tab w:val="left" w:pos="2880" w:leader="none"/>
        </w:tabs>
        <w:spacing w:lineRule="auto" w:line="240" w:before="0" w:after="0"/>
        <w:rPr>
          <w:rFonts w:ascii="Times New Roman" w:hAnsi="Times New Roman" w:cs="Times New Roman"/>
        </w:rPr>
      </w:pPr>
      <w:r>
        <w:rPr>
          <w:rFonts w:cs="Times New Roman" w:ascii="Times New Roman" w:hAnsi="Times New Roman"/>
        </w:rPr>
        <w:object w:dxaOrig="9993" w:dyaOrig="57">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467.65pt;height:2.65pt" filled="f" o:ole="">
            <v:imagedata r:id="rId19" o:title=""/>
          </v:shape>
          <o:OLEObject Type="Embed" ProgID="" ShapeID="ole_rId18" DrawAspect="Content" ObjectID="_1893873080" r:id="rId18"/>
        </w:object>
      </w:r>
    </w:p>
    <w:p>
      <w:pPr>
        <w:pStyle w:val="Paragraph"/>
        <w:widowControl w:val="false"/>
        <w:tabs>
          <w:tab w:val="clear" w:pos="2520"/>
          <w:tab w:val="left" w:pos="720" w:leader="none"/>
          <w:tab w:val="left" w:pos="1440" w:leader="none"/>
          <w:tab w:val="left" w:pos="2160" w:leader="none"/>
          <w:tab w:val="left" w:pos="2880" w:leader="none"/>
        </w:tabs>
        <w:spacing w:before="0" w:after="0"/>
        <w:ind w:start="0" w:end="0"/>
        <w:jc w:val="start"/>
        <w:rPr>
          <w:rFonts w:ascii="Times New Roman" w:hAnsi="Times New Roman" w:cs="Times New Roman"/>
        </w:rPr>
      </w:pPr>
      <w:r>
        <w:rPr>
          <w:rFonts w:cs="Times New Roman"/>
        </w:rPr>
      </w:r>
    </w:p>
    <w:p>
      <w:pPr>
        <w:pStyle w:val="Paragraph"/>
        <w:widowControl w:val="false"/>
        <w:tabs>
          <w:tab w:val="clear" w:pos="2520"/>
          <w:tab w:val="left" w:pos="720" w:leader="none"/>
          <w:tab w:val="left" w:pos="1440" w:leader="none"/>
          <w:tab w:val="left" w:pos="2160" w:leader="none"/>
          <w:tab w:val="left" w:pos="2880" w:leader="none"/>
        </w:tabs>
        <w:spacing w:before="0" w:after="0"/>
        <w:ind w:start="2160" w:end="0"/>
        <w:jc w:val="start"/>
        <w:rPr/>
      </w:pPr>
      <w:r>
        <w:rPr/>
        <w:t>This chapter presents a listing of the equipment and services which GE proposes to provide. The list is only a quick reference to the scope of supply. Please refer to the Table of Contents to locate more detailed descriptions of the items listed here.</w:t>
      </w:r>
    </w:p>
    <w:p>
      <w:pPr>
        <w:pStyle w:val="Paragraph"/>
        <w:widowControl w:val="false"/>
        <w:tabs>
          <w:tab w:val="clear" w:pos="2520"/>
          <w:tab w:val="left" w:pos="720" w:leader="none"/>
          <w:tab w:val="left" w:pos="1440" w:leader="none"/>
          <w:tab w:val="left" w:pos="2160" w:leader="none"/>
          <w:tab w:val="left" w:pos="2880" w:leader="none"/>
        </w:tabs>
        <w:spacing w:before="0" w:after="0"/>
        <w:ind w:start="0" w:end="0"/>
        <w:jc w:val="start"/>
        <w:rPr/>
      </w:pPr>
      <w:r>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s>
        <w:spacing w:lineRule="auto" w:line="360"/>
        <w:ind w:hanging="0" w:start="0"/>
        <w:jc w:val="start"/>
        <w:rPr>
          <w:b/>
          <w:u w:val="none"/>
          <w:lang w:eastAsia="en-CA"/>
        </w:rPr>
      </w:pPr>
      <w:r>
        <w:rPr>
          <w:b/>
          <w:u w:val="none"/>
          <w:lang w:eastAsia="en-CA"/>
        </w:rPr>
        <w:t>7.1</w:t>
        <w:tab/>
        <w:t>Gas Turbine Systems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7.1.1</w:t>
        <w:tab/>
        <w:t>Gas Turbine</w:t>
      </w:r>
    </w:p>
    <w:p>
      <w:pPr>
        <w:pStyle w:val="Paragraph"/>
        <w:widowControl w:val="false"/>
        <w:tabs>
          <w:tab w:val="clear" w:pos="2520"/>
          <w:tab w:val="left" w:pos="720" w:leader="none"/>
          <w:tab w:val="left" w:pos="1440" w:leader="none"/>
          <w:tab w:val="left" w:pos="2160" w:leader="none"/>
          <w:tab w:val="left" w:pos="2880" w:leader="none"/>
        </w:tabs>
        <w:spacing w:lineRule="auto" w:line="360" w:before="0" w:after="0"/>
        <w:ind w:start="0" w:end="0"/>
        <w:jc w:val="start"/>
        <w:rPr/>
      </w:pPr>
      <w:r>
        <w:rPr/>
        <w:tab/>
        <w:tab/>
        <w:tab/>
        <w:t>Base-mounted gas turbine including: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Modulating IGV</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Provision for air extraction</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7.1.2</w:t>
        <w:tab/>
        <w:t>Combustion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Dry Low NOx combustion system</w:t>
      </w:r>
    </w:p>
    <w:p>
      <w:pPr>
        <w:pStyle w:val="ListDash"/>
        <w:numPr>
          <w:ilvl w:val="0"/>
          <w:numId w:val="4"/>
        </w:numPr>
        <w:ind w:hanging="0" w:start="0"/>
        <w:rPr/>
      </w:pPr>
      <w:r>
        <w:rPr/>
        <w:t>with inlet heating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Compressor inlet humidity sensor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Compressor inlet temperature thermocouple</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7.1.3</w:t>
        <w:tab/>
        <w:t>Fuel Systems</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7.1.3.1</w:t>
        <w:tab/>
        <w:t>Gas Fuel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Natural gas only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Stainless steel gas piping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Orifice type gas flow measurement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Single gas strainer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Off base gas fuel module in a standardized location</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7.1.4</w:t>
        <w:tab/>
        <w:t>Lubricating and Hydraulic Systems</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7.1.4.1</w:t>
        <w:tab/>
        <w:t>Pumps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Shaft driven main lube oil pump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Shaft driven main hydraulic pump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AC motor driven, auxiliary lube oil and hydraulic pumps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DC motor driven, emergency lube oil pump</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7.1.4.2</w:t>
        <w:tab/>
        <w:t>Filters and Coolers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Dual lube oil system filters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Dual hydraulic oil filters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Dual lube oil coolers</w:t>
      </w:r>
    </w:p>
    <w:p>
      <w:pPr>
        <w:pStyle w:val="ListDash"/>
        <w:numPr>
          <w:ilvl w:val="0"/>
          <w:numId w:val="4"/>
        </w:numPr>
        <w:ind w:hanging="0" w:start="0"/>
        <w:rPr/>
      </w:pPr>
      <w:r>
        <w:rPr/>
        <w:t>with 90-10 copper-nickel U-tubes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ASME code stamp</w:t>
      </w:r>
    </w:p>
    <w:p>
      <w:pPr>
        <w:pStyle w:val="ListDash"/>
        <w:numPr>
          <w:ilvl w:val="0"/>
          <w:numId w:val="4"/>
        </w:numPr>
        <w:ind w:hanging="0" w:start="0"/>
        <w:rPr/>
      </w:pPr>
      <w:r>
        <w:rPr/>
        <w:t>Lube oil coolers</w:t>
      </w:r>
    </w:p>
    <w:p>
      <w:pPr>
        <w:pStyle w:val="ListDash"/>
        <w:numPr>
          <w:ilvl w:val="0"/>
          <w:numId w:val="4"/>
        </w:numPr>
        <w:ind w:hanging="0" w:start="0"/>
        <w:rPr/>
      </w:pPr>
      <w:r>
        <w:rPr/>
        <w:t>Lube oil filters</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7.1.4.3</w:t>
        <w:tab/>
        <w:t>Lube Oil Piping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304L stainless steel lube oil feed pipe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Carbon steel lube oil drain pipe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Lube system valve stainless steel trim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Schedule 10 lube oil piping inside lube oil tank</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Lube vent demister</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7.1.4.4</w:t>
        <w:tab/>
        <w:t>Oil Reservoir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with heater for -20°F</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7.1.4.5</w:t>
        <w:tab/>
        <w:t>Instrumentation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Pressure switches for lubrication and hydraulic oil filters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7.1.5</w:t>
        <w:tab/>
        <w:t>Inlet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Inlet system arrangement</w:t>
      </w:r>
    </w:p>
    <w:p>
      <w:pPr>
        <w:pStyle w:val="ListDash"/>
        <w:numPr>
          <w:ilvl w:val="0"/>
          <w:numId w:val="4"/>
        </w:numPr>
        <w:ind w:hanging="0" w:start="0"/>
        <w:rPr/>
      </w:pPr>
      <w:r>
        <w:rPr/>
        <w:t>Up and forward inlet system arrangement</w:t>
      </w:r>
    </w:p>
    <w:p>
      <w:pPr>
        <w:pStyle w:val="ListDash"/>
        <w:numPr>
          <w:ilvl w:val="0"/>
          <w:numId w:val="4"/>
        </w:numPr>
        <w:ind w:hanging="0" w:start="0"/>
        <w:rPr/>
      </w:pPr>
      <w:r>
        <w:rPr/>
        <w:t>Inlet compartment supports straddle ductline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Inlet filtration</w:t>
      </w:r>
    </w:p>
    <w:p>
      <w:pPr>
        <w:pStyle w:val="ListDash"/>
        <w:numPr>
          <w:ilvl w:val="0"/>
          <w:numId w:val="4"/>
        </w:numPr>
        <w:ind w:hanging="0" w:start="0"/>
        <w:rPr/>
      </w:pPr>
      <w:r>
        <w:rPr/>
        <w:t>Self-cleaning inlet filter</w:t>
      </w:r>
    </w:p>
    <w:p>
      <w:pPr>
        <w:pStyle w:val="ListDash"/>
        <w:numPr>
          <w:ilvl w:val="0"/>
          <w:numId w:val="4"/>
        </w:numPr>
        <w:ind w:hanging="0" w:start="0"/>
        <w:rPr/>
      </w:pPr>
      <w:r>
        <w:rPr/>
        <w:t>Compressor bleed air supply for filter cleaning</w:t>
      </w:r>
    </w:p>
    <w:p>
      <w:pPr>
        <w:pStyle w:val="ListDash"/>
        <w:numPr>
          <w:ilvl w:val="0"/>
          <w:numId w:val="4"/>
        </w:numPr>
        <w:spacing w:lineRule="auto" w:line="240"/>
        <w:ind w:hanging="0" w:start="0"/>
        <w:rPr/>
      </w:pPr>
      <w:r>
        <w:rPr/>
        <w:t>Moisture resistant filter media (high humidity environments)</w:t>
      </w:r>
    </w:p>
    <w:p>
      <w:pPr>
        <w:pStyle w:val="ListDash"/>
        <w:numPr>
          <w:ilvl w:val="0"/>
          <w:numId w:val="4"/>
        </w:numPr>
        <w:spacing w:before="120" w:after="0"/>
        <w:ind w:hanging="0" w:start="0"/>
        <w:rPr/>
      </w:pPr>
      <w:r>
        <w:rPr/>
        <w:t>APU with galvanized steel piping</w:t>
      </w:r>
    </w:p>
    <w:p>
      <w:pPr>
        <w:pStyle w:val="ListDash"/>
        <w:numPr>
          <w:ilvl w:val="0"/>
          <w:numId w:val="4"/>
        </w:numPr>
        <w:ind w:hanging="0" w:start="0"/>
        <w:rPr/>
      </w:pPr>
      <w:r>
        <w:rPr/>
        <w:t>APU heat tracing kit</w:t>
      </w:r>
    </w:p>
    <w:p>
      <w:pPr>
        <w:pStyle w:val="ListDash"/>
        <w:numPr>
          <w:ilvl w:val="0"/>
          <w:numId w:val="4"/>
        </w:numPr>
        <w:ind w:hanging="0" w:start="0"/>
        <w:rPr/>
      </w:pPr>
      <w:r>
        <w:rPr/>
        <w:t>APU NEMA 4X kit</w:t>
      </w:r>
    </w:p>
    <w:p>
      <w:pPr>
        <w:pStyle w:val="ListDash"/>
        <w:numPr>
          <w:ilvl w:val="0"/>
          <w:numId w:val="4"/>
        </w:numPr>
        <w:ind w:hanging="0" w:start="0"/>
        <w:rPr/>
      </w:pPr>
      <w:r>
        <w:rPr/>
        <w:t>Weather protection on inlet filter compartment</w:t>
      </w:r>
    </w:p>
    <w:p>
      <w:pPr>
        <w:pStyle w:val="ListDash"/>
        <w:numPr>
          <w:ilvl w:val="0"/>
          <w:numId w:val="4"/>
        </w:numPr>
        <w:ind w:hanging="0" w:start="0"/>
        <w:rPr/>
      </w:pPr>
      <w:r>
        <w:rPr/>
        <w:t>Inlet system differential pressure indicator</w:t>
      </w:r>
    </w:p>
    <w:p>
      <w:pPr>
        <w:pStyle w:val="ListDash"/>
        <w:numPr>
          <w:ilvl w:val="0"/>
          <w:numId w:val="4"/>
        </w:numPr>
        <w:ind w:hanging="0" w:start="0"/>
        <w:rPr/>
      </w:pPr>
      <w:r>
        <w:rPr/>
        <w:t>Inlet system differential pressure alarm</w:t>
      </w:r>
    </w:p>
    <w:p>
      <w:pPr>
        <w:pStyle w:val="ListDash"/>
        <w:numPr>
          <w:ilvl w:val="0"/>
          <w:numId w:val="4"/>
        </w:numPr>
        <w:spacing w:lineRule="auto" w:line="240"/>
        <w:ind w:hanging="0" w:start="0"/>
        <w:rPr/>
      </w:pPr>
      <w:r>
        <w:rPr/>
        <w:t>Inlet filter compartment support steel (Seismic Zone 2A,</w:t>
        <w:br/>
        <w:tab/>
        <w:t>&lt;= 100 mph wind speed)</w:t>
      </w:r>
    </w:p>
    <w:p>
      <w:pPr>
        <w:pStyle w:val="ListDash"/>
        <w:numPr>
          <w:ilvl w:val="0"/>
          <w:numId w:val="4"/>
        </w:numPr>
        <w:spacing w:before="120" w:after="0"/>
        <w:ind w:hanging="0" w:start="0"/>
        <w:rPr/>
      </w:pPr>
      <w:r>
        <w:rPr/>
        <w:t>Caged ladder access to inlet filter compartment</w:t>
      </w:r>
    </w:p>
    <w:p>
      <w:pPr>
        <w:pStyle w:val="ListDash"/>
        <w:numPr>
          <w:ilvl w:val="0"/>
          <w:numId w:val="4"/>
        </w:numPr>
        <w:ind w:hanging="0" w:start="0"/>
        <w:rPr/>
      </w:pPr>
      <w:r>
        <w:rPr/>
        <w:t>Left hand access to inlet filter compartment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Inlet heating</w:t>
      </w:r>
    </w:p>
    <w:p>
      <w:pPr>
        <w:pStyle w:val="ListDash"/>
        <w:numPr>
          <w:ilvl w:val="0"/>
          <w:numId w:val="4"/>
        </w:numPr>
        <w:ind w:hanging="0" w:start="0"/>
        <w:rPr/>
      </w:pPr>
      <w:r>
        <w:rPr/>
        <w:t>Bleed heat manifold located in duct</w:t>
      </w:r>
    </w:p>
    <w:p>
      <w:pPr>
        <w:pStyle w:val="ListDash"/>
        <w:numPr>
          <w:ilvl w:val="0"/>
          <w:numId w:val="4"/>
        </w:numPr>
        <w:ind w:hanging="0" w:start="0"/>
        <w:rPr/>
      </w:pPr>
      <w:r>
        <w:rPr/>
        <w:t>DLN premix turndown inlet bleed heat control</w:t>
      </w:r>
    </w:p>
    <w:p>
      <w:pPr>
        <w:pStyle w:val="ListDash"/>
        <w:numPr>
          <w:ilvl w:val="0"/>
          <w:numId w:val="4"/>
        </w:numPr>
        <w:ind w:hanging="0" w:start="0"/>
        <w:rPr/>
      </w:pPr>
      <w:r>
        <w:rPr/>
        <w:t>Inlet bleed heat control valve(s)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Inlet ducting</w:t>
      </w:r>
    </w:p>
    <w:p>
      <w:pPr>
        <w:pStyle w:val="ListDash"/>
        <w:numPr>
          <w:ilvl w:val="0"/>
          <w:numId w:val="4"/>
        </w:numPr>
        <w:ind w:hanging="0" w:start="0"/>
        <w:rPr/>
      </w:pPr>
      <w:r>
        <w:rPr/>
        <w:t>Inlet silencing</w:t>
      </w:r>
    </w:p>
    <w:p>
      <w:pPr>
        <w:pStyle w:val="ListDash"/>
        <w:numPr>
          <w:ilvl w:val="0"/>
          <w:numId w:val="4"/>
        </w:numPr>
        <w:spacing w:lineRule="auto" w:line="240"/>
        <w:ind w:hanging="0" w:start="0"/>
        <w:rPr/>
      </w:pPr>
      <w:r>
        <w:rPr/>
        <w:t>Inlet duct section arrangement per proposed mechanical outline</w:t>
      </w:r>
    </w:p>
    <w:p>
      <w:pPr>
        <w:pStyle w:val="ListDash"/>
        <w:numPr>
          <w:ilvl w:val="0"/>
          <w:numId w:val="4"/>
        </w:numPr>
        <w:spacing w:before="120" w:after="0"/>
        <w:ind w:hanging="0" w:start="0"/>
        <w:rPr/>
      </w:pPr>
      <w:r>
        <w:rPr/>
        <w:t>Inlet expansion joint</w:t>
      </w:r>
    </w:p>
    <w:p>
      <w:pPr>
        <w:pStyle w:val="ListDash"/>
        <w:numPr>
          <w:ilvl w:val="0"/>
          <w:numId w:val="4"/>
        </w:numPr>
        <w:ind w:hanging="0" w:start="0"/>
        <w:rPr/>
      </w:pPr>
      <w:r>
        <w:rPr/>
        <w:t>Inlet 90 degree elbow</w:t>
      </w:r>
    </w:p>
    <w:p>
      <w:pPr>
        <w:pStyle w:val="ListDash"/>
        <w:numPr>
          <w:ilvl w:val="0"/>
          <w:numId w:val="4"/>
        </w:numPr>
        <w:ind w:hanging="0" w:start="0"/>
        <w:rPr/>
      </w:pPr>
      <w:r>
        <w:rPr/>
        <w:t>Inlet transition piece</w:t>
      </w:r>
    </w:p>
    <w:p>
      <w:pPr>
        <w:pStyle w:val="ListDash"/>
        <w:numPr>
          <w:ilvl w:val="0"/>
          <w:numId w:val="4"/>
        </w:numPr>
        <w:spacing w:lineRule="auto" w:line="240"/>
        <w:ind w:hanging="0" w:start="0"/>
        <w:rPr/>
      </w:pPr>
      <w:r>
        <w:rPr/>
        <w:t>Inlet ducting support steel (Seismic Zone 2A, = 100 mph wind</w:t>
        <w:br/>
        <w:tab/>
        <w:t>speed)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Inlet system atmospheric protection</w:t>
      </w:r>
    </w:p>
    <w:p>
      <w:pPr>
        <w:pStyle w:val="ListDash"/>
        <w:numPr>
          <w:ilvl w:val="0"/>
          <w:numId w:val="4"/>
        </w:numPr>
        <w:spacing w:lineRule="auto" w:line="240"/>
        <w:ind w:hanging="0" w:start="0"/>
        <w:rPr/>
      </w:pPr>
      <w:r>
        <w:rPr/>
        <w:t>Zinc rich paint inside and outside of inlet filter compartment</w:t>
      </w:r>
    </w:p>
    <w:p>
      <w:pPr>
        <w:pStyle w:val="ListDash"/>
        <w:numPr>
          <w:ilvl w:val="0"/>
          <w:numId w:val="4"/>
        </w:numPr>
        <w:spacing w:before="120" w:after="0"/>
        <w:ind w:hanging="0" w:start="0"/>
        <w:rPr/>
      </w:pPr>
      <w:r>
        <w:rPr/>
        <w:t>Epoxy overcoat inside and outside inlet filter compartment</w:t>
      </w:r>
    </w:p>
    <w:p>
      <w:pPr>
        <w:pStyle w:val="ListDash"/>
        <w:numPr>
          <w:ilvl w:val="0"/>
          <w:numId w:val="4"/>
        </w:numPr>
        <w:ind w:hanging="0" w:start="0"/>
        <w:rPr/>
      </w:pPr>
      <w:r>
        <w:rPr/>
        <w:t>Zinc rich paint on inlet filter compartment support steel</w:t>
      </w:r>
    </w:p>
    <w:p>
      <w:pPr>
        <w:pStyle w:val="ListDash"/>
        <w:numPr>
          <w:ilvl w:val="0"/>
          <w:numId w:val="4"/>
        </w:numPr>
        <w:ind w:hanging="0" w:start="0"/>
        <w:rPr/>
      </w:pPr>
      <w:r>
        <w:rPr/>
        <w:t>Zinc rich paint inside and outside of inlet ducting</w:t>
      </w:r>
    </w:p>
    <w:p>
      <w:pPr>
        <w:pStyle w:val="ListDash"/>
        <w:numPr>
          <w:ilvl w:val="0"/>
          <w:numId w:val="4"/>
        </w:numPr>
        <w:ind w:hanging="0" w:start="0"/>
        <w:rPr/>
      </w:pPr>
      <w:r>
        <w:rPr/>
        <w:t>Galvanized inlet silencing perforated sheet</w:t>
      </w:r>
    </w:p>
    <w:p>
      <w:pPr>
        <w:pStyle w:val="ListDash"/>
        <w:numPr>
          <w:ilvl w:val="0"/>
          <w:numId w:val="4"/>
        </w:numPr>
        <w:ind w:hanging="0" w:start="0"/>
        <w:rPr/>
      </w:pPr>
      <w:r>
        <w:rPr/>
        <w:t>Galvanized inlet ducting support steel</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7.1.6</w:t>
        <w:tab/>
        <w:t>Exhaust System</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7.1.6.1</w:t>
        <w:tab/>
        <w:t>Arrangement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Exhaust plenum with right side exit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Exhaust expansion joint</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7.1.6.2</w:t>
        <w:tab/>
        <w:t>Exhaust System Features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Exhaust system materials and atmospheric protection</w:t>
      </w:r>
    </w:p>
    <w:p>
      <w:pPr>
        <w:pStyle w:val="ListDash"/>
        <w:numPr>
          <w:ilvl w:val="0"/>
          <w:numId w:val="4"/>
        </w:numPr>
        <w:ind w:hanging="0" w:start="0"/>
        <w:rPr/>
      </w:pPr>
      <w:r>
        <w:rPr/>
        <w:t>Carbon steel exhaust system shell and stiffeners</w:t>
      </w:r>
    </w:p>
    <w:p>
      <w:pPr>
        <w:pStyle w:val="ListDash"/>
        <w:numPr>
          <w:ilvl w:val="0"/>
          <w:numId w:val="4"/>
        </w:numPr>
        <w:ind w:hanging="0" w:start="0"/>
        <w:rPr/>
      </w:pPr>
      <w:r>
        <w:rPr/>
        <w:t>409 stainless steel internal lagging</w:t>
      </w:r>
    </w:p>
    <w:p>
      <w:pPr>
        <w:pStyle w:val="ListDash"/>
        <w:numPr>
          <w:ilvl w:val="0"/>
          <w:numId w:val="4"/>
        </w:numPr>
        <w:ind w:hanging="0" w:start="0"/>
        <w:rPr/>
      </w:pPr>
      <w:r>
        <w:rPr/>
        <w:t>Inorganic zinc primer</w:t>
      </w:r>
    </w:p>
    <w:p>
      <w:pPr>
        <w:pStyle w:val="ListDash"/>
        <w:numPr>
          <w:ilvl w:val="0"/>
          <w:numId w:val="4"/>
        </w:numPr>
        <w:ind w:hanging="0" w:start="0"/>
        <w:rPr/>
      </w:pPr>
      <w:r>
        <w:rPr/>
        <w:t>Duct exterior</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7.1.7</w:t>
        <w:tab/>
        <w:t>Couplings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Oil filled accessory coupling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Rigid load coupling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Load coupling guard</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7.1.8</w:t>
        <w:tab/>
        <w:t>Gas Turbine Packaging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Lagging and enclosures</w:t>
      </w:r>
    </w:p>
    <w:p>
      <w:pPr>
        <w:pStyle w:val="ListDash"/>
        <w:numPr>
          <w:ilvl w:val="0"/>
          <w:numId w:val="4"/>
        </w:numPr>
        <w:ind w:hanging="0" w:start="0"/>
        <w:rPr/>
      </w:pPr>
      <w:r>
        <w:rPr/>
        <w:t>Load coupling compartment lagging</w:t>
      </w:r>
    </w:p>
    <w:p>
      <w:pPr>
        <w:pStyle w:val="ListDash"/>
        <w:numPr>
          <w:ilvl w:val="0"/>
          <w:numId w:val="4"/>
        </w:numPr>
        <w:spacing w:lineRule="auto" w:line="240"/>
        <w:ind w:hanging="0" w:start="0"/>
        <w:rPr/>
      </w:pPr>
      <w:r>
        <w:rPr/>
        <w:t xml:space="preserve">Off-base acoustic enclosure for turbine and accessory </w:t>
        <w:br/>
        <w:tab/>
        <w:t>compartments</w:t>
      </w:r>
    </w:p>
    <w:p>
      <w:pPr>
        <w:pStyle w:val="ListDash"/>
        <w:numPr>
          <w:ilvl w:val="0"/>
          <w:numId w:val="4"/>
        </w:numPr>
        <w:spacing w:before="120" w:after="0"/>
        <w:ind w:hanging="0" w:start="0"/>
        <w:rPr/>
      </w:pPr>
      <w:r>
        <w:rPr/>
        <w:t>Acoustic barrier wall around exhaust plenum and load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Compartment ventilation, pressurization and heating</w:t>
      </w:r>
    </w:p>
    <w:p>
      <w:pPr>
        <w:pStyle w:val="ListDash"/>
        <w:numPr>
          <w:ilvl w:val="0"/>
          <w:numId w:val="4"/>
        </w:numPr>
        <w:ind w:hanging="0" w:start="0"/>
        <w:rPr/>
      </w:pPr>
      <w:r>
        <w:rPr/>
        <w:t>Dual turbine and accessory compartment vent fans</w:t>
      </w:r>
    </w:p>
    <w:p>
      <w:pPr>
        <w:pStyle w:val="ListDash"/>
        <w:numPr>
          <w:ilvl w:val="0"/>
          <w:numId w:val="4"/>
        </w:numPr>
        <w:ind w:hanging="0" w:start="0"/>
        <w:rPr/>
      </w:pPr>
      <w:r>
        <w:rPr/>
        <w:t>Dual load compartment vent fan</w:t>
      </w:r>
    </w:p>
    <w:p>
      <w:pPr>
        <w:pStyle w:val="ListDash"/>
        <w:numPr>
          <w:ilvl w:val="0"/>
          <w:numId w:val="4"/>
        </w:numPr>
        <w:spacing w:lineRule="auto" w:line="240"/>
        <w:ind w:hanging="0" w:start="0"/>
        <w:rPr/>
      </w:pPr>
      <w:r>
        <w:rPr/>
        <w:t xml:space="preserve">Heated turbine and accessory compartments for humidity </w:t>
        <w:br/>
        <w:tab/>
        <w:t>control</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Plant arrangement</w:t>
      </w:r>
    </w:p>
    <w:p>
      <w:pPr>
        <w:pStyle w:val="ListDash"/>
        <w:numPr>
          <w:ilvl w:val="0"/>
          <w:numId w:val="4"/>
        </w:numPr>
        <w:ind w:hanging="0" w:start="0"/>
        <w:rPr/>
      </w:pPr>
      <w:r>
        <w:rPr/>
        <w:t>Turbine designed for installation outdoors</w:t>
      </w:r>
    </w:p>
    <w:p>
      <w:pPr>
        <w:pStyle w:val="ListDash"/>
        <w:numPr>
          <w:ilvl w:val="0"/>
          <w:numId w:val="4"/>
        </w:numPr>
        <w:ind w:hanging="0" w:start="0"/>
        <w:rPr/>
      </w:pPr>
      <w:r>
        <w:rPr/>
        <w:t>In-line accessory module</w:t>
      </w:r>
    </w:p>
    <w:p>
      <w:pPr>
        <w:pStyle w:val="ListDash"/>
        <w:numPr>
          <w:ilvl w:val="0"/>
          <w:numId w:val="4"/>
        </w:numPr>
        <w:ind w:hanging="0" w:start="0"/>
        <w:rPr/>
      </w:pPr>
      <w:r>
        <w:rPr/>
        <w:t>Unit walkways by customer, mounting pads by GE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Turbine and accessory base painting</w:t>
      </w:r>
    </w:p>
    <w:p>
      <w:pPr>
        <w:pStyle w:val="ListDash"/>
        <w:numPr>
          <w:ilvl w:val="0"/>
          <w:numId w:val="4"/>
        </w:numPr>
        <w:ind w:hanging="0" w:start="0"/>
        <w:rPr/>
      </w:pPr>
      <w:r>
        <w:rPr/>
        <w:t>Standard primer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UBC seismic zone #4</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Hazardous area classification</w:t>
      </w:r>
    </w:p>
    <w:p>
      <w:pPr>
        <w:pStyle w:val="ListDash"/>
        <w:numPr>
          <w:ilvl w:val="0"/>
          <w:numId w:val="4"/>
        </w:numPr>
        <w:ind w:hanging="0" w:start="0"/>
        <w:rPr/>
      </w:pPr>
      <w:r>
        <w:rPr/>
        <w:t>NEC Class1, Group D, Division 2</w:t>
      </w:r>
    </w:p>
    <w:p>
      <w:pPr>
        <w:pStyle w:val="ListDash"/>
        <w:numPr>
          <w:ilvl w:val="0"/>
          <w:numId w:val="4"/>
        </w:numPr>
        <w:ind w:hanging="0" w:start="0"/>
        <w:rPr/>
      </w:pPr>
      <w:r>
        <w:rPr/>
        <w:t>Turbine compartment</w:t>
      </w:r>
    </w:p>
    <w:p>
      <w:pPr>
        <w:pStyle w:val="ListDash"/>
        <w:numPr>
          <w:ilvl w:val="0"/>
          <w:numId w:val="4"/>
        </w:numPr>
        <w:ind w:hanging="0" w:start="0"/>
        <w:rPr/>
      </w:pPr>
      <w:r>
        <w:rPr/>
        <w:t>Gas fuel compartment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Special features</w:t>
      </w:r>
    </w:p>
    <w:p>
      <w:pPr>
        <w:pStyle w:val="ListDash"/>
        <w:numPr>
          <w:ilvl w:val="0"/>
          <w:numId w:val="4"/>
        </w:numPr>
        <w:ind w:hanging="0" w:start="0"/>
        <w:rPr/>
      </w:pPr>
      <w:r>
        <w:rPr/>
        <w:t>Dual (metric-English) indicators and gauges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7.1.9</w:t>
        <w:tab/>
        <w:t>Protection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Fire detection system</w:t>
      </w:r>
    </w:p>
    <w:p>
      <w:pPr>
        <w:pStyle w:val="ListDash"/>
        <w:numPr>
          <w:ilvl w:val="0"/>
          <w:numId w:val="4"/>
        </w:numPr>
        <w:ind w:hanging="0" w:start="0"/>
        <w:rPr/>
      </w:pPr>
      <w:r>
        <w:rPr/>
        <w:t>Turbine, accessory and load coupling compartments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Smoke detection system</w:t>
      </w:r>
    </w:p>
    <w:p>
      <w:pPr>
        <w:pStyle w:val="ListDash"/>
        <w:numPr>
          <w:ilvl w:val="0"/>
          <w:numId w:val="4"/>
        </w:numPr>
        <w:ind w:hanging="0" w:start="0"/>
        <w:rPr/>
      </w:pPr>
      <w:r>
        <w:rPr/>
        <w:t>Control cab/PEECC</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Compartment warning signs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CO2 supply system</w:t>
      </w:r>
    </w:p>
    <w:p>
      <w:pPr>
        <w:pStyle w:val="ListDash"/>
        <w:numPr>
          <w:ilvl w:val="0"/>
          <w:numId w:val="4"/>
        </w:numPr>
        <w:ind w:hanging="0" w:start="0"/>
        <w:rPr/>
      </w:pPr>
      <w:r>
        <w:rPr/>
        <w:t>One low pressure CO2 tank per unit</w:t>
      </w:r>
    </w:p>
    <w:p>
      <w:pPr>
        <w:pStyle w:val="ListDash"/>
        <w:numPr>
          <w:ilvl w:val="0"/>
          <w:numId w:val="4"/>
        </w:numPr>
        <w:ind w:hanging="0" w:start="0"/>
        <w:rPr/>
      </w:pPr>
      <w:r>
        <w:rPr/>
        <w:t>Tank suitable for 0-120°F (-18 to 49°C)</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Fire protection piping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720" w:start="2880" w:end="0"/>
        <w:rPr/>
      </w:pPr>
      <w:r>
        <w:rPr/>
        <w:t>Hazardous atmosphere detectors in turbine and gas fuel compartments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Hazardous atmosphere detector readout</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7.1.10</w:t>
        <w:tab/>
        <w:t>Cleaning Systems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On base piping for on and offline compressor water wash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Water wash skid</w:t>
      </w:r>
    </w:p>
    <w:p>
      <w:pPr>
        <w:pStyle w:val="ListDash"/>
        <w:numPr>
          <w:ilvl w:val="0"/>
          <w:numId w:val="4"/>
        </w:numPr>
        <w:ind w:hanging="0" w:start="0"/>
        <w:rPr/>
      </w:pPr>
      <w:r>
        <w:rPr/>
        <w:t>Water storage tank and freeze protection</w:t>
      </w:r>
    </w:p>
    <w:p>
      <w:pPr>
        <w:pStyle w:val="ListDash"/>
        <w:numPr>
          <w:ilvl w:val="0"/>
          <w:numId w:val="4"/>
        </w:numPr>
        <w:ind w:hanging="0" w:start="0"/>
        <w:rPr/>
      </w:pPr>
      <w:r>
        <w:rPr/>
        <w:t>Capability to heat water to 180°F (82°C)</w:t>
      </w:r>
    </w:p>
    <w:p>
      <w:pPr>
        <w:pStyle w:val="ListDash"/>
        <w:numPr>
          <w:ilvl w:val="0"/>
          <w:numId w:val="4"/>
        </w:numPr>
        <w:ind w:hanging="0" w:start="0"/>
        <w:rPr/>
      </w:pPr>
      <w:r>
        <w:rPr/>
        <w:t>Skid enclosure</w:t>
      </w:r>
    </w:p>
    <w:p>
      <w:pPr>
        <w:pStyle w:val="ListDash"/>
        <w:numPr>
          <w:ilvl w:val="0"/>
          <w:numId w:val="4"/>
        </w:numPr>
        <w:ind w:hanging="0" w:start="0"/>
        <w:rPr/>
      </w:pPr>
      <w:r>
        <w:rPr/>
        <w:t>Single skid for multiple units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7.1.11</w:t>
        <w:tab/>
        <w:t>Cooling Water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Cooling system temperature regulating valve</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7.1.12</w:t>
        <w:tab/>
        <w:t>Starting Systems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AC motor start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Rotor turning systems</w:t>
      </w:r>
    </w:p>
    <w:p>
      <w:pPr>
        <w:pStyle w:val="ListDash"/>
        <w:numPr>
          <w:ilvl w:val="0"/>
          <w:numId w:val="4"/>
        </w:numPr>
        <w:ind w:hanging="0" w:start="0"/>
        <w:rPr/>
      </w:pPr>
      <w:r>
        <w:rPr/>
        <w:t>Rotor indexing (borescope inspection)</w:t>
      </w:r>
    </w:p>
    <w:p>
      <w:pPr>
        <w:pStyle w:val="ListDash"/>
        <w:numPr>
          <w:ilvl w:val="0"/>
          <w:numId w:val="4"/>
        </w:numPr>
        <w:ind w:hanging="0" w:start="0"/>
        <w:rPr/>
      </w:pPr>
      <w:r>
        <w:rPr/>
        <w:t>Non self sequencing, hydraulic ratchet</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7.1.13</w:t>
        <w:tab/>
        <w:t>Miscellaneous Systems</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7.1.13.1</w:t>
        <w:tab/>
        <w:t>Special Systems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Exhaust frame blowers on left side</w:t>
      </w:r>
    </w:p>
    <w:p>
      <w:pPr>
        <w:pStyle w:val="ListBullet"/>
        <w:widowControl w:val="false"/>
        <w:numPr>
          <w:ilvl w:val="0"/>
          <w:numId w:val="0"/>
        </w:numPr>
        <w:tabs>
          <w:tab w:val="clear" w:pos="3600"/>
          <w:tab w:val="clear" w:pos="4320"/>
          <w:tab w:val="clear" w:pos="5760"/>
          <w:tab w:val="clear" w:pos="7200"/>
          <w:tab w:val="left" w:pos="720" w:leader="none"/>
          <w:tab w:val="left" w:pos="1440" w:leader="none"/>
          <w:tab w:val="left" w:pos="2160" w:leader="none"/>
          <w:tab w:val="left" w:pos="2520" w:leader="none"/>
          <w:tab w:val="left" w:pos="2880" w:leader="none"/>
        </w:tabs>
        <w:spacing w:lineRule="auto" w:line="360" w:before="0" w:after="0"/>
        <w:ind w:hanging="360" w:start="360" w:end="0"/>
        <w:rPr/>
      </w:pPr>
      <w:r>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s>
        <w:spacing w:lineRule="auto" w:line="360"/>
        <w:ind w:hanging="0" w:start="0"/>
        <w:jc w:val="start"/>
        <w:rPr>
          <w:b/>
          <w:u w:val="none"/>
          <w:lang w:eastAsia="en-CA"/>
        </w:rPr>
      </w:pPr>
      <w:r>
        <w:rPr>
          <w:b/>
          <w:u w:val="none"/>
          <w:lang w:eastAsia="en-CA"/>
        </w:rPr>
        <w:t>7.2</w:t>
        <w:tab/>
        <w:t>Generator</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7.2.1</w:t>
        <w:tab/>
        <w:t>General Information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Totally enclosed water-to-air cooled (TEWAC) generator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Outdoor installation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60 Hz generator frequency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voltage 13.8 kV</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0.85 power factor (lagging)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Capability to 1.00 power factor (leading)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Class “F” armature and rotor insulation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Class “B” temperature rise, armature and rotor winding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bearings</w:t>
      </w:r>
    </w:p>
    <w:p>
      <w:pPr>
        <w:pStyle w:val="ListDash"/>
        <w:numPr>
          <w:ilvl w:val="0"/>
          <w:numId w:val="4"/>
        </w:numPr>
        <w:ind w:hanging="0" w:start="0"/>
        <w:rPr/>
      </w:pPr>
      <w:r>
        <w:rPr/>
        <w:t>Pedestal bearing support</w:t>
      </w:r>
    </w:p>
    <w:p>
      <w:pPr>
        <w:pStyle w:val="ListDash"/>
        <w:numPr>
          <w:ilvl w:val="0"/>
          <w:numId w:val="4"/>
        </w:numPr>
        <w:ind w:hanging="0" w:start="0"/>
        <w:rPr/>
      </w:pPr>
      <w:r>
        <w:rPr/>
        <w:t>Tilting pad bearings</w:t>
      </w:r>
    </w:p>
    <w:p>
      <w:pPr>
        <w:pStyle w:val="ListDash"/>
        <w:numPr>
          <w:ilvl w:val="0"/>
          <w:numId w:val="4"/>
        </w:numPr>
        <w:ind w:hanging="0" w:start="0"/>
        <w:rPr/>
      </w:pPr>
      <w:r>
        <w:rPr/>
        <w:t>Roll out bearing capability without removing rotor</w:t>
      </w:r>
    </w:p>
    <w:p>
      <w:pPr>
        <w:pStyle w:val="ListDash"/>
        <w:numPr>
          <w:ilvl w:val="0"/>
          <w:numId w:val="4"/>
        </w:numPr>
        <w:ind w:hanging="0" w:start="0"/>
        <w:rPr/>
      </w:pPr>
      <w:r>
        <w:rPr/>
        <w:t>Insulated collector end bearing</w:t>
      </w:r>
    </w:p>
    <w:p>
      <w:pPr>
        <w:pStyle w:val="ListDash"/>
        <w:numPr>
          <w:ilvl w:val="0"/>
          <w:numId w:val="4"/>
        </w:numPr>
        <w:ind w:hanging="0" w:start="0"/>
        <w:rPr/>
      </w:pPr>
      <w:r>
        <w:rPr/>
        <w:t>Offline bearing insulation check with isolated rotor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Monitoring Devices</w:t>
      </w:r>
    </w:p>
    <w:p>
      <w:pPr>
        <w:pStyle w:val="ListDash"/>
        <w:numPr>
          <w:ilvl w:val="0"/>
          <w:numId w:val="4"/>
        </w:numPr>
        <w:spacing w:lineRule="auto" w:line="240"/>
        <w:ind w:hanging="0" w:start="0"/>
        <w:rPr/>
      </w:pPr>
      <w:r>
        <w:rPr/>
        <w:t xml:space="preserve">Two (2) velocity vibration probes at turbine end, one (1) at </w:t>
        <w:br/>
        <w:tab/>
        <w:t>collector end</w:t>
      </w:r>
    </w:p>
    <w:p>
      <w:pPr>
        <w:pStyle w:val="ListDash"/>
        <w:numPr>
          <w:ilvl w:val="0"/>
          <w:numId w:val="4"/>
        </w:numPr>
        <w:spacing w:before="120" w:after="0"/>
        <w:ind w:hanging="0" w:start="0"/>
        <w:rPr/>
      </w:pPr>
      <w:r>
        <w:rPr/>
        <w:t>Provisions for key phaser-generator</w:t>
      </w:r>
    </w:p>
    <w:p>
      <w:pPr>
        <w:pStyle w:val="ListDash"/>
        <w:numPr>
          <w:ilvl w:val="0"/>
          <w:numId w:val="4"/>
        </w:numPr>
        <w:ind w:hanging="0" w:start="0"/>
        <w:rPr/>
      </w:pPr>
      <w:r>
        <w:rPr/>
        <w:t>Provisions for permanent flux probe</w:t>
      </w:r>
    </w:p>
    <w:p>
      <w:pPr>
        <w:pStyle w:val="ListDash"/>
        <w:numPr>
          <w:ilvl w:val="0"/>
          <w:numId w:val="4"/>
        </w:numPr>
        <w:ind w:hanging="0" w:start="0"/>
        <w:rPr/>
      </w:pPr>
      <w:r>
        <w:rPr/>
        <w:t>Proximity vibration sensors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Field</w:t>
      </w:r>
    </w:p>
    <w:p>
      <w:pPr>
        <w:pStyle w:val="ListDash"/>
        <w:numPr>
          <w:ilvl w:val="0"/>
          <w:numId w:val="4"/>
        </w:numPr>
        <w:ind w:hanging="0" w:start="0"/>
        <w:rPr/>
      </w:pPr>
      <w:r>
        <w:rPr/>
        <w:t>Direct cooled field</w:t>
      </w:r>
    </w:p>
    <w:p>
      <w:pPr>
        <w:pStyle w:val="ListDash"/>
        <w:numPr>
          <w:ilvl w:val="0"/>
          <w:numId w:val="4"/>
        </w:numPr>
        <w:ind w:hanging="0" w:start="0"/>
        <w:rPr/>
      </w:pPr>
      <w:r>
        <w:rPr/>
        <w:t>Two-pole field</w:t>
      </w:r>
    </w:p>
    <w:p>
      <w:pPr>
        <w:pStyle w:val="ListDash"/>
        <w:numPr>
          <w:ilvl w:val="0"/>
          <w:numId w:val="4"/>
        </w:numPr>
        <w:ind w:hanging="0" w:start="0"/>
        <w:rPr/>
      </w:pPr>
      <w:r>
        <w:rPr/>
        <w:t>Finger type amortissuers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7.2.2</w:t>
        <w:tab/>
        <w:t>Generator Gas Coolers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Cooler assembly shipped separate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gas cooler configuration</w:t>
      </w:r>
    </w:p>
    <w:p>
      <w:pPr>
        <w:pStyle w:val="ListDash"/>
        <w:numPr>
          <w:ilvl w:val="0"/>
          <w:numId w:val="4"/>
        </w:numPr>
        <w:ind w:hanging="0" w:start="0"/>
        <w:rPr/>
      </w:pPr>
      <w:r>
        <w:rPr/>
        <w:t>Two (2) horizontally mounted duplex coolers</w:t>
      </w:r>
    </w:p>
    <w:p>
      <w:pPr>
        <w:pStyle w:val="ListDash"/>
        <w:numPr>
          <w:ilvl w:val="0"/>
          <w:numId w:val="4"/>
        </w:numPr>
        <w:ind w:hanging="0" w:start="0"/>
        <w:rPr/>
      </w:pPr>
      <w:r>
        <w:rPr/>
        <w:t>Coolers located on generator roof</w:t>
      </w:r>
    </w:p>
    <w:p>
      <w:pPr>
        <w:pStyle w:val="ListDash"/>
        <w:numPr>
          <w:ilvl w:val="0"/>
          <w:numId w:val="4"/>
        </w:numPr>
        <w:spacing w:lineRule="auto" w:line="240"/>
        <w:ind w:hanging="0" w:start="0"/>
        <w:rPr/>
      </w:pPr>
      <w:r>
        <w:rPr/>
        <w:t xml:space="preserve">Cooler piping connections on left side as viewed from collector </w:t>
        <w:br/>
        <w:tab/>
        <w:t>end</w:t>
      </w:r>
    </w:p>
    <w:p>
      <w:pPr>
        <w:pStyle w:val="ListDash"/>
        <w:numPr>
          <w:ilvl w:val="0"/>
          <w:numId w:val="4"/>
        </w:numPr>
        <w:spacing w:before="120" w:after="0"/>
        <w:ind w:hanging="0" w:start="0"/>
        <w:rPr/>
      </w:pPr>
      <w:r>
        <w:rPr/>
        <w:t>ASME code stamp</w:t>
      </w:r>
    </w:p>
    <w:p>
      <w:pPr>
        <w:pStyle w:val="ListDash"/>
        <w:numPr>
          <w:ilvl w:val="0"/>
          <w:numId w:val="4"/>
        </w:numPr>
        <w:ind w:hanging="0" w:start="0"/>
        <w:rPr/>
      </w:pPr>
      <w:r>
        <w:rPr/>
        <w:t>Single wall cooler tubes</w:t>
      </w:r>
    </w:p>
    <w:p>
      <w:pPr>
        <w:pStyle w:val="ListDash"/>
        <w:numPr>
          <w:ilvl w:val="0"/>
          <w:numId w:val="4"/>
        </w:numPr>
        <w:ind w:hanging="0" w:start="0"/>
        <w:rPr/>
      </w:pPr>
      <w:r>
        <w:rPr/>
        <w:t>Raised cooler face flanges</w:t>
      </w:r>
    </w:p>
    <w:p>
      <w:pPr>
        <w:pStyle w:val="ListDash"/>
        <w:numPr>
          <w:ilvl w:val="0"/>
          <w:numId w:val="4"/>
        </w:numPr>
        <w:ind w:hanging="0" w:start="0"/>
        <w:rPr/>
      </w:pPr>
      <w:r>
        <w:rPr/>
        <w:t>Plate fins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gas cooling system characteristics</w:t>
      </w:r>
    </w:p>
    <w:p>
      <w:pPr>
        <w:pStyle w:val="ListDash"/>
        <w:numPr>
          <w:ilvl w:val="0"/>
          <w:numId w:val="4"/>
        </w:numPr>
        <w:ind w:hanging="0" w:start="0"/>
        <w:rPr/>
      </w:pPr>
      <w:r>
        <w:rPr/>
        <w:t>Coolant temperature</w:t>
      </w:r>
    </w:p>
    <w:p>
      <w:pPr>
        <w:pStyle w:val="ListDash"/>
        <w:numPr>
          <w:ilvl w:val="0"/>
          <w:numId w:val="4"/>
        </w:numPr>
        <w:ind w:hanging="0" w:start="0"/>
        <w:rPr/>
      </w:pPr>
      <w:r>
        <w:rPr/>
        <w:t>20°F approach</w:t>
      </w:r>
    </w:p>
    <w:p>
      <w:pPr>
        <w:pStyle w:val="ListDash"/>
        <w:numPr>
          <w:ilvl w:val="0"/>
          <w:numId w:val="4"/>
        </w:numPr>
        <w:ind w:hanging="0" w:start="0"/>
        <w:rPr/>
      </w:pPr>
      <w:r>
        <w:rPr/>
        <w:t>TEMA class C coolers</w:t>
      </w:r>
    </w:p>
    <w:p>
      <w:pPr>
        <w:pStyle w:val="ListDash"/>
        <w:numPr>
          <w:ilvl w:val="0"/>
          <w:numId w:val="4"/>
        </w:numPr>
        <w:spacing w:lineRule="auto" w:line="240"/>
        <w:ind w:hanging="0" w:start="0"/>
        <w:rPr/>
      </w:pPr>
      <w:r>
        <w:rPr/>
        <w:t xml:space="preserve">Generator capacity with one section out of service 80% with </w:t>
        <w:br/>
        <w:tab/>
        <w:t>Class “F” rise</w:t>
      </w:r>
    </w:p>
    <w:p>
      <w:pPr>
        <w:pStyle w:val="ListDash"/>
        <w:numPr>
          <w:ilvl w:val="0"/>
          <w:numId w:val="4"/>
        </w:numPr>
        <w:spacing w:before="120" w:after="0"/>
        <w:ind w:hanging="0" w:start="0"/>
        <w:rPr/>
      </w:pPr>
      <w:r>
        <w:rPr/>
        <w:t>Maximum cooler pressure capability - 125 psi</w:t>
      </w:r>
    </w:p>
    <w:p>
      <w:pPr>
        <w:pStyle w:val="ListDash"/>
        <w:numPr>
          <w:ilvl w:val="0"/>
          <w:numId w:val="4"/>
        </w:numPr>
        <w:ind w:hanging="0" w:start="0"/>
        <w:rPr/>
      </w:pPr>
      <w:r>
        <w:rPr/>
        <w:t xml:space="preserve">Coolant 100% water </w:t>
      </w:r>
    </w:p>
    <w:p>
      <w:pPr>
        <w:pStyle w:val="ListDash"/>
        <w:numPr>
          <w:ilvl w:val="0"/>
          <w:numId w:val="4"/>
        </w:numPr>
        <w:ind w:hanging="0" w:start="0"/>
        <w:rPr/>
      </w:pPr>
      <w:r>
        <w:rPr/>
        <w:t>Fouling factor 0.0005</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gas cooler construction materials</w:t>
      </w:r>
    </w:p>
    <w:p>
      <w:pPr>
        <w:pStyle w:val="ListDash"/>
        <w:numPr>
          <w:ilvl w:val="0"/>
          <w:numId w:val="4"/>
        </w:numPr>
        <w:ind w:hanging="0" w:start="0"/>
        <w:rPr/>
      </w:pPr>
      <w:r>
        <w:rPr/>
        <w:t>90-10 copper-nickel tubes</w:t>
      </w:r>
    </w:p>
    <w:p>
      <w:pPr>
        <w:pStyle w:val="ListDash"/>
        <w:numPr>
          <w:ilvl w:val="0"/>
          <w:numId w:val="4"/>
        </w:numPr>
        <w:ind w:hanging="0" w:start="0"/>
        <w:rPr/>
      </w:pPr>
      <w:r>
        <w:rPr/>
        <w:t>Carbon steel tube sheets</w:t>
      </w:r>
    </w:p>
    <w:p>
      <w:pPr>
        <w:pStyle w:val="ListDash"/>
        <w:numPr>
          <w:ilvl w:val="0"/>
          <w:numId w:val="4"/>
        </w:numPr>
        <w:spacing w:lineRule="auto" w:line="240"/>
        <w:ind w:hanging="0" w:start="0"/>
        <w:rPr/>
      </w:pPr>
      <w:r>
        <w:rPr/>
        <w:t>Carbon steel waterbox and coupling flanges with epoxy coating</w:t>
      </w:r>
    </w:p>
    <w:p>
      <w:pPr>
        <w:pStyle w:val="ListDash"/>
        <w:numPr>
          <w:ilvl w:val="0"/>
          <w:numId w:val="4"/>
        </w:numPr>
        <w:spacing w:before="120" w:after="0"/>
        <w:ind w:hanging="0" w:start="0"/>
        <w:rPr/>
      </w:pPr>
      <w:r>
        <w:rPr/>
        <w:t>Aluminum cooler tube fins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7.2.3</w:t>
        <w:tab/>
        <w:t>Generator Lube Oil Systems and Equipment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Bearing lube oil system</w:t>
      </w:r>
    </w:p>
    <w:p>
      <w:pPr>
        <w:pStyle w:val="ListDash"/>
        <w:numPr>
          <w:ilvl w:val="0"/>
          <w:numId w:val="4"/>
        </w:numPr>
        <w:ind w:hanging="0" w:start="0"/>
        <w:rPr/>
      </w:pPr>
      <w:r>
        <w:rPr/>
        <w:t>Generator lube oil system integral with turbine</w:t>
      </w:r>
    </w:p>
    <w:p>
      <w:pPr>
        <w:pStyle w:val="ListDash"/>
        <w:numPr>
          <w:ilvl w:val="0"/>
          <w:numId w:val="4"/>
        </w:numPr>
        <w:ind w:hanging="0" w:start="0"/>
        <w:rPr/>
      </w:pPr>
      <w:r>
        <w:rPr/>
        <w:t>Sight flow indicator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Bearing vapor extraction</w:t>
      </w:r>
    </w:p>
    <w:p>
      <w:pPr>
        <w:pStyle w:val="ListDash"/>
        <w:numPr>
          <w:ilvl w:val="0"/>
          <w:numId w:val="4"/>
        </w:numPr>
        <w:ind w:hanging="0" w:start="0"/>
        <w:rPr/>
      </w:pPr>
      <w:r>
        <w:rPr/>
        <w:t>Vapor extractor and motor</w:t>
      </w:r>
    </w:p>
    <w:p>
      <w:pPr>
        <w:pStyle w:val="ListDash"/>
        <w:numPr>
          <w:ilvl w:val="0"/>
          <w:numId w:val="4"/>
        </w:numPr>
        <w:ind w:hanging="0" w:start="0"/>
        <w:rPr/>
      </w:pPr>
      <w:r>
        <w:rPr/>
        <w:t>Coalescent mist eliminator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Lube oil system piping materials</w:t>
      </w:r>
    </w:p>
    <w:p>
      <w:pPr>
        <w:pStyle w:val="ListDash"/>
        <w:numPr>
          <w:ilvl w:val="0"/>
          <w:numId w:val="4"/>
        </w:numPr>
        <w:ind w:hanging="0" w:start="0"/>
        <w:rPr/>
      </w:pPr>
      <w:r>
        <w:rPr/>
        <w:t>Stainless steel lube oil feed pipe</w:t>
      </w:r>
    </w:p>
    <w:p>
      <w:pPr>
        <w:pStyle w:val="ListDash"/>
        <w:numPr>
          <w:ilvl w:val="0"/>
          <w:numId w:val="4"/>
        </w:numPr>
        <w:ind w:hanging="0" w:start="0"/>
        <w:rPr/>
      </w:pPr>
      <w:r>
        <w:rPr/>
        <w:t>Stainless steel lube oil drain pipe</w:t>
      </w:r>
    </w:p>
    <w:p>
      <w:pPr>
        <w:pStyle w:val="ListDash"/>
        <w:numPr>
          <w:ilvl w:val="0"/>
          <w:numId w:val="4"/>
        </w:numPr>
        <w:ind w:hanging="0" w:start="0"/>
        <w:rPr/>
      </w:pPr>
      <w:r>
        <w:rPr/>
        <w:t>Welded oil piping</w:t>
      </w:r>
    </w:p>
    <w:p>
      <w:pPr>
        <w:pStyle w:val="ListDash"/>
        <w:numPr>
          <w:ilvl w:val="0"/>
          <w:numId w:val="4"/>
        </w:numPr>
        <w:ind w:hanging="0" w:start="0"/>
        <w:rPr/>
      </w:pPr>
      <w:r>
        <w:rPr/>
        <w:t>Flexible pipe as permitted by ANSI 31.3</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7.2.4</w:t>
        <w:tab/>
        <w:t>Generator Grounding Equipment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Neutral grounding equipment</w:t>
      </w:r>
    </w:p>
    <w:p>
      <w:pPr>
        <w:pStyle w:val="ListDash"/>
        <w:numPr>
          <w:ilvl w:val="0"/>
          <w:numId w:val="4"/>
        </w:numPr>
        <w:ind w:hanging="0" w:start="0"/>
        <w:rPr/>
      </w:pPr>
      <w:r>
        <w:rPr/>
        <w:t>Neutral ground transformer and secondary resistor</w:t>
      </w:r>
    </w:p>
    <w:p>
      <w:pPr>
        <w:pStyle w:val="ListDash"/>
        <w:numPr>
          <w:ilvl w:val="0"/>
          <w:numId w:val="4"/>
        </w:numPr>
        <w:ind w:hanging="0" w:start="0"/>
        <w:rPr/>
      </w:pPr>
      <w:r>
        <w:rPr/>
        <w:t>Mounted in terminal enclosure</w:t>
      </w:r>
      <w:r>
        <w:br w:type="page"/>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7.2.5</w:t>
        <w:tab/>
        <w:t>Generator Temperature Devices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Stator winding temperature devices</w:t>
      </w:r>
    </w:p>
    <w:p>
      <w:pPr>
        <w:pStyle w:val="ListDash"/>
        <w:numPr>
          <w:ilvl w:val="0"/>
          <w:numId w:val="4"/>
        </w:numPr>
        <w:ind w:hanging="0" w:start="0"/>
        <w:rPr/>
      </w:pPr>
      <w:r>
        <w:rPr/>
        <w:t>100 ohm platinum RTDs (resistance temperature detector)</w:t>
      </w:r>
    </w:p>
    <w:p>
      <w:pPr>
        <w:pStyle w:val="ListDash"/>
        <w:numPr>
          <w:ilvl w:val="0"/>
          <w:numId w:val="4"/>
        </w:numPr>
        <w:ind w:hanging="0" w:start="0"/>
        <w:rPr/>
      </w:pPr>
      <w:r>
        <w:rPr/>
        <w:t>Single element RTDs</w:t>
      </w:r>
    </w:p>
    <w:p>
      <w:pPr>
        <w:pStyle w:val="ListDash"/>
        <w:numPr>
          <w:ilvl w:val="0"/>
          <w:numId w:val="4"/>
        </w:numPr>
        <w:ind w:hanging="0" w:start="0"/>
        <w:rPr/>
      </w:pPr>
      <w:r>
        <w:rPr/>
        <w:t>Grounded RTDs</w:t>
      </w:r>
    </w:p>
    <w:p>
      <w:pPr>
        <w:pStyle w:val="ListDash"/>
        <w:numPr>
          <w:ilvl w:val="0"/>
          <w:numId w:val="4"/>
        </w:numPr>
        <w:ind w:hanging="0" w:start="0"/>
        <w:rPr/>
      </w:pPr>
      <w:r>
        <w:rPr/>
        <w:t>Six (6) stator slot RTDs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Gas path temperature devices</w:t>
      </w:r>
    </w:p>
    <w:p>
      <w:pPr>
        <w:pStyle w:val="ListDash"/>
        <w:numPr>
          <w:ilvl w:val="0"/>
          <w:numId w:val="4"/>
        </w:numPr>
        <w:ind w:hanging="0" w:start="0"/>
        <w:rPr/>
      </w:pPr>
      <w:r>
        <w:rPr/>
        <w:t>100 ohm platinum gas path RTDs</w:t>
      </w:r>
    </w:p>
    <w:p>
      <w:pPr>
        <w:pStyle w:val="ListDash"/>
        <w:numPr>
          <w:ilvl w:val="0"/>
          <w:numId w:val="4"/>
        </w:numPr>
        <w:ind w:hanging="0" w:start="0"/>
        <w:rPr/>
      </w:pPr>
      <w:r>
        <w:rPr/>
        <w:t>Single element temperature sensors</w:t>
      </w:r>
    </w:p>
    <w:p>
      <w:pPr>
        <w:pStyle w:val="ListDash"/>
        <w:numPr>
          <w:ilvl w:val="0"/>
          <w:numId w:val="4"/>
        </w:numPr>
        <w:ind w:hanging="0" w:start="0"/>
        <w:rPr/>
      </w:pPr>
      <w:r>
        <w:rPr/>
        <w:t>Two (2) cold gas</w:t>
      </w:r>
    </w:p>
    <w:p>
      <w:pPr>
        <w:pStyle w:val="ListDash"/>
        <w:numPr>
          <w:ilvl w:val="0"/>
          <w:numId w:val="4"/>
        </w:numPr>
        <w:ind w:hanging="0" w:start="0"/>
        <w:rPr/>
      </w:pPr>
      <w:r>
        <w:rPr/>
        <w:t>Two (2) hot gas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Bearing temperature devices</w:t>
      </w:r>
    </w:p>
    <w:p>
      <w:pPr>
        <w:pStyle w:val="ListDash"/>
        <w:numPr>
          <w:ilvl w:val="0"/>
          <w:numId w:val="4"/>
        </w:numPr>
        <w:ind w:hanging="0" w:start="0"/>
        <w:rPr/>
      </w:pPr>
      <w:r>
        <w:rPr/>
        <w:t>Chromel alumel (type K) thermocouples</w:t>
      </w:r>
    </w:p>
    <w:p>
      <w:pPr>
        <w:pStyle w:val="ListDash"/>
        <w:numPr>
          <w:ilvl w:val="0"/>
          <w:numId w:val="4"/>
        </w:numPr>
        <w:ind w:hanging="0" w:start="0"/>
        <w:rPr/>
      </w:pPr>
      <w:r>
        <w:rPr/>
        <w:t>Dual element temperature sensors</w:t>
      </w:r>
    </w:p>
    <w:p>
      <w:pPr>
        <w:pStyle w:val="ListDash"/>
        <w:numPr>
          <w:ilvl w:val="0"/>
          <w:numId w:val="4"/>
        </w:numPr>
        <w:ind w:hanging="0" w:start="0"/>
        <w:rPr/>
      </w:pPr>
      <w:r>
        <w:rPr/>
        <w:t>Two (2) bearing metal temperature sensors per bearing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Lube oil system temperature devices</w:t>
      </w:r>
    </w:p>
    <w:p>
      <w:pPr>
        <w:pStyle w:val="ListDash"/>
        <w:numPr>
          <w:ilvl w:val="0"/>
          <w:numId w:val="4"/>
        </w:numPr>
        <w:ind w:hanging="0" w:start="0"/>
        <w:rPr/>
      </w:pPr>
      <w:r>
        <w:rPr/>
        <w:t>One (1) bearing drain temperature sensor per drain</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7.2.6</w:t>
        <w:tab/>
        <w:t>Packaging, Enclosures, and Compartments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Paint and preservation</w:t>
      </w:r>
    </w:p>
    <w:p>
      <w:pPr>
        <w:pStyle w:val="ListDash"/>
        <w:numPr>
          <w:ilvl w:val="0"/>
          <w:numId w:val="4"/>
        </w:numPr>
        <w:ind w:hanging="0" w:start="0"/>
        <w:rPr/>
      </w:pPr>
      <w:r>
        <w:rPr/>
        <w:t>Standard alkyd beige primer</w:t>
      </w:r>
    </w:p>
    <w:p>
      <w:pPr>
        <w:pStyle w:val="ListDash"/>
        <w:numPr>
          <w:ilvl w:val="0"/>
          <w:numId w:val="4"/>
        </w:numPr>
        <w:ind w:hanging="0" w:start="0"/>
        <w:rPr/>
      </w:pPr>
      <w:r>
        <w:rPr/>
        <w:t>Terminal enclosure shipped separate</w:t>
      </w:r>
    </w:p>
    <w:p>
      <w:pPr>
        <w:pStyle w:val="ListDash"/>
        <w:numPr>
          <w:ilvl w:val="0"/>
          <w:numId w:val="4"/>
        </w:numPr>
        <w:ind w:hanging="0" w:start="0"/>
        <w:rPr/>
      </w:pPr>
      <w:r>
        <w:rPr/>
        <w:t>Voltage transformers, fixed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C200 current transformers (CTs)</w:t>
      </w:r>
    </w:p>
    <w:p>
      <w:pPr>
        <w:pStyle w:val="ListDash"/>
        <w:numPr>
          <w:ilvl w:val="0"/>
          <w:numId w:val="4"/>
        </w:numPr>
        <w:ind w:hanging="0" w:start="0"/>
        <w:rPr/>
      </w:pPr>
      <w:r>
        <w:rPr/>
        <w:t>Up to 3 sets of CTs on the generator side of the breaker</w:t>
      </w:r>
    </w:p>
    <w:p>
      <w:pPr>
        <w:pStyle w:val="ListDash"/>
        <w:numPr>
          <w:ilvl w:val="0"/>
          <w:numId w:val="4"/>
        </w:numPr>
        <w:ind w:hanging="0" w:start="0"/>
        <w:rPr/>
      </w:pPr>
      <w:r>
        <w:rPr/>
        <w:t>CT 21, 22, 23 (generator differential relay)</w:t>
      </w:r>
    </w:p>
    <w:p>
      <w:pPr>
        <w:pStyle w:val="ListDash"/>
        <w:numPr>
          <w:ilvl w:val="0"/>
          <w:numId w:val="4"/>
        </w:numPr>
        <w:ind w:hanging="0" w:start="0"/>
        <w:rPr/>
      </w:pPr>
      <w:r>
        <w:rPr/>
        <w:t>CT 21A, 22A, 23A (second 87G)</w:t>
      </w:r>
    </w:p>
    <w:p>
      <w:pPr>
        <w:pStyle w:val="ListDash"/>
        <w:numPr>
          <w:ilvl w:val="0"/>
          <w:numId w:val="4"/>
        </w:numPr>
        <w:ind w:hanging="0" w:start="0"/>
        <w:rPr/>
      </w:pPr>
      <w:r>
        <w:rPr/>
        <w:t>CT 60, 61, 62 (breaker failure relay)</w:t>
      </w:r>
    </w:p>
    <w:p>
      <w:pPr>
        <w:pStyle w:val="ListDash"/>
        <w:numPr>
          <w:ilvl w:val="0"/>
          <w:numId w:val="4"/>
        </w:numPr>
        <w:ind w:hanging="0" w:start="0"/>
        <w:rPr/>
      </w:pPr>
      <w:r>
        <w:rPr/>
        <w:t>Metering Class - 0.3B-1.8 (ANSI C57.13)</w:t>
      </w:r>
    </w:p>
    <w:p>
      <w:pPr>
        <w:pStyle w:val="ListDash"/>
        <w:numPr>
          <w:ilvl w:val="0"/>
          <w:numId w:val="4"/>
        </w:numPr>
        <w:ind w:hanging="0" w:start="0"/>
        <w:rPr/>
      </w:pPr>
      <w:r>
        <w:rPr/>
        <w:t>CT ratio - 8000:5A</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Neutral terminal enclosure</w:t>
      </w:r>
    </w:p>
    <w:p>
      <w:pPr>
        <w:pStyle w:val="ListDash"/>
        <w:numPr>
          <w:ilvl w:val="0"/>
          <w:numId w:val="4"/>
        </w:numPr>
        <w:ind w:hanging="0" w:start="0"/>
        <w:rPr/>
      </w:pPr>
      <w:r>
        <w:rPr/>
        <w:t>Convection cooled</w:t>
      </w:r>
    </w:p>
    <w:p>
      <w:pPr>
        <w:pStyle w:val="ListDash"/>
        <w:numPr>
          <w:ilvl w:val="0"/>
          <w:numId w:val="4"/>
        </w:numPr>
        <w:ind w:hanging="0" w:start="0"/>
        <w:rPr/>
      </w:pPr>
      <w:r>
        <w:rPr/>
        <w:t>Neutral tie</w:t>
      </w:r>
    </w:p>
    <w:p>
      <w:pPr>
        <w:pStyle w:val="ListDash"/>
        <w:numPr>
          <w:ilvl w:val="0"/>
          <w:numId w:val="4"/>
        </w:numPr>
        <w:ind w:hanging="0" w:start="0"/>
        <w:rPr/>
      </w:pPr>
      <w:r>
        <w:rPr/>
        <w:t>Neutral CTs</w:t>
      </w:r>
    </w:p>
    <w:p>
      <w:pPr>
        <w:pStyle w:val="ListDash"/>
        <w:numPr>
          <w:ilvl w:val="0"/>
          <w:numId w:val="4"/>
        </w:numPr>
        <w:ind w:hanging="0" w:start="0"/>
        <w:rPr/>
      </w:pPr>
      <w:r>
        <w:rPr/>
        <w:t>CT1, CT2, CT3</w:t>
      </w:r>
    </w:p>
    <w:p>
      <w:pPr>
        <w:pStyle w:val="ListDash"/>
        <w:numPr>
          <w:ilvl w:val="0"/>
          <w:numId w:val="4"/>
        </w:numPr>
        <w:ind w:hanging="0" w:start="0"/>
        <w:rPr/>
      </w:pPr>
      <w:r>
        <w:rPr/>
        <w:t>CT4, CT5, CT6</w:t>
      </w:r>
    </w:p>
    <w:p>
      <w:pPr>
        <w:pStyle w:val="ListDash"/>
        <w:numPr>
          <w:ilvl w:val="0"/>
          <w:numId w:val="4"/>
        </w:numPr>
        <w:ind w:hanging="0" w:start="0"/>
        <w:rPr/>
      </w:pPr>
      <w:r>
        <w:rPr/>
        <w:t>CT7, CT8, CT9</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Collector compartment</w:t>
      </w:r>
    </w:p>
    <w:p>
      <w:pPr>
        <w:pStyle w:val="ListDash"/>
        <w:numPr>
          <w:ilvl w:val="0"/>
          <w:numId w:val="4"/>
        </w:numPr>
        <w:ind w:hanging="0" w:start="0"/>
        <w:rPr/>
      </w:pPr>
      <w:r>
        <w:rPr/>
        <w:t>Collector compartment shipped installed</w:t>
      </w:r>
    </w:p>
    <w:p>
      <w:pPr>
        <w:pStyle w:val="ListDash"/>
        <w:numPr>
          <w:ilvl w:val="0"/>
          <w:numId w:val="4"/>
        </w:numPr>
        <w:ind w:hanging="0" w:start="0"/>
        <w:rPr/>
      </w:pPr>
      <w:r>
        <w:rPr/>
        <w:t>Outdoor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Compartment lighting and outlets</w:t>
      </w:r>
    </w:p>
    <w:p>
      <w:pPr>
        <w:pStyle w:val="ListDash"/>
        <w:numPr>
          <w:ilvl w:val="0"/>
          <w:numId w:val="4"/>
        </w:numPr>
        <w:ind w:hanging="0" w:start="0"/>
        <w:rPr/>
      </w:pPr>
      <w:r>
        <w:rPr/>
        <w:t>AC lighting</w:t>
      </w:r>
    </w:p>
    <w:p>
      <w:pPr>
        <w:pStyle w:val="ListDash"/>
        <w:numPr>
          <w:ilvl w:val="0"/>
          <w:numId w:val="4"/>
        </w:numPr>
        <w:ind w:hanging="0" w:start="0"/>
        <w:rPr/>
      </w:pPr>
      <w:r>
        <w:rPr/>
        <w:t>Turbine end</w:t>
      </w:r>
    </w:p>
    <w:p>
      <w:pPr>
        <w:pStyle w:val="ListDash"/>
        <w:numPr>
          <w:ilvl w:val="0"/>
          <w:numId w:val="4"/>
        </w:numPr>
        <w:ind w:hanging="0" w:start="0"/>
        <w:rPr/>
      </w:pPr>
      <w:r>
        <w:rPr/>
        <w:t>Collector compartment</w:t>
      </w:r>
    </w:p>
    <w:p>
      <w:pPr>
        <w:pStyle w:val="ListDash"/>
        <w:numPr>
          <w:ilvl w:val="0"/>
          <w:numId w:val="4"/>
        </w:numPr>
        <w:ind w:hanging="0" w:start="0"/>
        <w:rPr/>
      </w:pPr>
      <w:r>
        <w:rPr/>
        <w:t>DC lighting</w:t>
      </w:r>
    </w:p>
    <w:p>
      <w:pPr>
        <w:pStyle w:val="ListDash"/>
        <w:numPr>
          <w:ilvl w:val="0"/>
          <w:numId w:val="4"/>
        </w:numPr>
        <w:ind w:hanging="0" w:start="0"/>
        <w:rPr/>
      </w:pPr>
      <w:r>
        <w:rPr/>
        <w:t>Turbine end</w:t>
      </w:r>
    </w:p>
    <w:p>
      <w:pPr>
        <w:pStyle w:val="ListDash"/>
        <w:numPr>
          <w:ilvl w:val="0"/>
          <w:numId w:val="4"/>
        </w:numPr>
        <w:ind w:hanging="0" w:start="0"/>
        <w:rPr/>
      </w:pPr>
      <w:r>
        <w:rPr/>
        <w:t>Collector compartment</w:t>
      </w:r>
    </w:p>
    <w:p>
      <w:pPr>
        <w:pStyle w:val="ListDash"/>
        <w:numPr>
          <w:ilvl w:val="0"/>
          <w:numId w:val="4"/>
        </w:numPr>
        <w:ind w:hanging="0" w:start="0"/>
        <w:rPr/>
      </w:pPr>
      <w:r>
        <w:rPr/>
        <w:t>Convenience outlets</w:t>
      </w:r>
    </w:p>
    <w:p>
      <w:pPr>
        <w:pStyle w:val="ListDash"/>
        <w:numPr>
          <w:ilvl w:val="0"/>
          <w:numId w:val="4"/>
        </w:numPr>
        <w:ind w:hanging="0" w:start="0"/>
        <w:rPr/>
      </w:pPr>
      <w:r>
        <w:rPr/>
        <w:t>Collector compartment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Foundation hardware</w:t>
      </w:r>
    </w:p>
    <w:p>
      <w:pPr>
        <w:pStyle w:val="ListDash"/>
        <w:numPr>
          <w:ilvl w:val="0"/>
          <w:numId w:val="4"/>
        </w:numPr>
        <w:ind w:hanging="0" w:start="0"/>
        <w:rPr/>
      </w:pPr>
      <w:r>
        <w:rPr/>
        <w:t>Generator shims</w:t>
      </w:r>
    </w:p>
    <w:p>
      <w:pPr>
        <w:pStyle w:val="ListDash"/>
        <w:numPr>
          <w:ilvl w:val="0"/>
          <w:numId w:val="4"/>
        </w:numPr>
        <w:ind w:hanging="0" w:start="0"/>
        <w:rPr/>
      </w:pPr>
      <w:r>
        <w:rPr/>
        <w:t>Generator alignment key(s) - collector end</w:t>
      </w:r>
    </w:p>
    <w:p>
      <w:pPr>
        <w:pStyle w:val="ListDash"/>
        <w:numPr>
          <w:ilvl w:val="0"/>
          <w:numId w:val="4"/>
        </w:numPr>
        <w:ind w:hanging="0" w:start="0"/>
        <w:rPr/>
      </w:pPr>
      <w:r>
        <w:rPr/>
        <w:t>Generator alignment key(s) - turbine end</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7.2.7</w:t>
        <w:tab/>
        <w:t>Electrical Equipment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Motors</w:t>
      </w:r>
    </w:p>
    <w:p>
      <w:pPr>
        <w:pStyle w:val="ListDash"/>
        <w:numPr>
          <w:ilvl w:val="0"/>
          <w:numId w:val="4"/>
        </w:numPr>
        <w:ind w:hanging="0" w:start="0"/>
        <w:rPr/>
      </w:pPr>
      <w:r>
        <w:rPr/>
        <w:t>TEFC motors</w:t>
      </w:r>
    </w:p>
    <w:p>
      <w:pPr>
        <w:pStyle w:val="ListDash"/>
        <w:numPr>
          <w:ilvl w:val="0"/>
          <w:numId w:val="4"/>
        </w:numPr>
        <w:spacing w:lineRule="auto" w:line="240"/>
        <w:ind w:hanging="0" w:start="0"/>
        <w:rPr/>
      </w:pPr>
      <w:r>
        <w:rPr/>
        <w:t>Coated with antifungal material for protection in tropical areas</w:t>
      </w:r>
    </w:p>
    <w:p>
      <w:pPr>
        <w:pStyle w:val="ListDash"/>
        <w:numPr>
          <w:ilvl w:val="0"/>
          <w:numId w:val="4"/>
        </w:numPr>
        <w:spacing w:before="120" w:after="0"/>
        <w:ind w:hanging="0" w:start="0"/>
        <w:rPr/>
      </w:pPr>
      <w:r>
        <w:rPr/>
        <w:t>Extra severe duty motors</w:t>
      </w:r>
    </w:p>
    <w:p>
      <w:pPr>
        <w:pStyle w:val="ListDash"/>
        <w:numPr>
          <w:ilvl w:val="0"/>
          <w:numId w:val="4"/>
        </w:numPr>
        <w:ind w:hanging="0" w:start="0"/>
        <w:rPr/>
      </w:pPr>
      <w:r>
        <w:rPr/>
        <w:t>Cast iron motor housings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Heaters</w:t>
      </w:r>
    </w:p>
    <w:p>
      <w:pPr>
        <w:pStyle w:val="ListDash"/>
        <w:numPr>
          <w:ilvl w:val="0"/>
          <w:numId w:val="4"/>
        </w:numPr>
        <w:ind w:hanging="0" w:start="0"/>
        <w:rPr/>
      </w:pPr>
      <w:r>
        <w:rPr/>
        <w:t>Generator stator heaters</w:t>
      </w:r>
    </w:p>
    <w:p>
      <w:pPr>
        <w:pStyle w:val="ListDash"/>
        <w:numPr>
          <w:ilvl w:val="0"/>
          <w:numId w:val="4"/>
        </w:numPr>
        <w:ind w:hanging="0" w:start="0"/>
        <w:rPr/>
      </w:pPr>
      <w:r>
        <w:rPr/>
        <w:t>Terminal enclosure heaters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7.2.8</w:t>
        <w:tab/>
        <w:t>Generator Excitation Systems, Static Components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EX2000BR brushless field excitation</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7.2.8.1</w:t>
        <w:tab/>
        <w:t>Excitation Module Features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Control/monitor/display through TCP</w:t>
      </w:r>
    </w:p>
    <w:p>
      <w:pPr>
        <w:pStyle w:val="ListDash"/>
        <w:numPr>
          <w:ilvl w:val="0"/>
          <w:numId w:val="4"/>
        </w:numPr>
        <w:ind w:hanging="0" w:start="0"/>
        <w:rPr/>
      </w:pPr>
      <w:r>
        <w:rPr/>
        <w:t>Selection of automatic or manual regulator</w:t>
      </w:r>
    </w:p>
    <w:p>
      <w:pPr>
        <w:pStyle w:val="ListDash"/>
        <w:numPr>
          <w:ilvl w:val="0"/>
          <w:numId w:val="4"/>
        </w:numPr>
        <w:ind w:hanging="0" w:start="0"/>
        <w:rPr/>
      </w:pPr>
      <w:r>
        <w:rPr/>
        <w:t>Raise-lower of the active regulator setpoint</w:t>
      </w:r>
    </w:p>
    <w:p>
      <w:pPr>
        <w:pStyle w:val="ListDash"/>
        <w:numPr>
          <w:ilvl w:val="0"/>
          <w:numId w:val="4"/>
        </w:numPr>
        <w:ind w:hanging="0" w:start="0"/>
        <w:rPr/>
      </w:pPr>
      <w:r>
        <w:rPr/>
        <w:t>Enter setpoint command</w:t>
      </w:r>
    </w:p>
    <w:p>
      <w:pPr>
        <w:pStyle w:val="ListDash"/>
        <w:numPr>
          <w:ilvl w:val="0"/>
          <w:numId w:val="4"/>
        </w:numPr>
        <w:ind w:hanging="0" w:start="0"/>
        <w:rPr/>
      </w:pPr>
      <w:r>
        <w:rPr/>
        <w:t>Display field amps</w:t>
      </w:r>
    </w:p>
    <w:p>
      <w:pPr>
        <w:pStyle w:val="ListDash"/>
        <w:numPr>
          <w:ilvl w:val="0"/>
          <w:numId w:val="4"/>
        </w:numPr>
        <w:ind w:hanging="0" w:start="0"/>
        <w:rPr/>
      </w:pPr>
      <w:r>
        <w:rPr/>
        <w:t>Display field volts</w:t>
      </w:r>
    </w:p>
    <w:p>
      <w:pPr>
        <w:pStyle w:val="ListDash"/>
        <w:numPr>
          <w:ilvl w:val="0"/>
          <w:numId w:val="4"/>
        </w:numPr>
        <w:ind w:hanging="0" w:start="0"/>
        <w:rPr/>
      </w:pPr>
      <w:r>
        <w:rPr/>
        <w:t>Display transfer volts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Built-in diagnostic display panel</w:t>
      </w:r>
    </w:p>
    <w:p>
      <w:pPr>
        <w:pStyle w:val="ListDash"/>
        <w:numPr>
          <w:ilvl w:val="0"/>
          <w:numId w:val="4"/>
        </w:numPr>
        <w:ind w:hanging="0" w:start="0"/>
        <w:rPr/>
      </w:pPr>
      <w:r>
        <w:rPr/>
        <w:t>Automatic voltage regulator (AVR)</w:t>
      </w:r>
    </w:p>
    <w:p>
      <w:pPr>
        <w:pStyle w:val="ListDash"/>
        <w:numPr>
          <w:ilvl w:val="0"/>
          <w:numId w:val="4"/>
        </w:numPr>
        <w:ind w:hanging="0" w:start="0"/>
        <w:rPr/>
      </w:pPr>
      <w:r>
        <w:rPr/>
        <w:t>Manual voltage regulator (FVR)</w:t>
      </w:r>
    </w:p>
    <w:p>
      <w:pPr>
        <w:pStyle w:val="ListDash"/>
        <w:numPr>
          <w:ilvl w:val="0"/>
          <w:numId w:val="4"/>
        </w:numPr>
        <w:ind w:hanging="0" w:start="0"/>
        <w:rPr/>
      </w:pPr>
      <w:r>
        <w:rPr/>
        <w:t>Automatic and manual bi-directional tracking</w:t>
      </w:r>
    </w:p>
    <w:p>
      <w:pPr>
        <w:pStyle w:val="ListDash"/>
        <w:numPr>
          <w:ilvl w:val="0"/>
          <w:numId w:val="4"/>
        </w:numPr>
        <w:ind w:hanging="0" w:start="0"/>
        <w:rPr/>
      </w:pPr>
      <w:r>
        <w:rPr/>
        <w:t>Reactive current compensation (RCC)</w:t>
      </w:r>
    </w:p>
    <w:p>
      <w:pPr>
        <w:pStyle w:val="ListDash"/>
        <w:numPr>
          <w:ilvl w:val="0"/>
          <w:numId w:val="4"/>
        </w:numPr>
        <w:ind w:hanging="0" w:start="0"/>
        <w:rPr/>
      </w:pPr>
      <w:r>
        <w:rPr/>
        <w:t>Volts per hertz limiter (V/Hz LIM)</w:t>
      </w:r>
    </w:p>
    <w:p>
      <w:pPr>
        <w:pStyle w:val="ListDash"/>
        <w:numPr>
          <w:ilvl w:val="0"/>
          <w:numId w:val="4"/>
        </w:numPr>
        <w:ind w:hanging="0" w:start="0"/>
        <w:rPr/>
      </w:pPr>
      <w:r>
        <w:rPr/>
        <w:t>Volts per hertz protection (24EX) (Backup to 24G)</w:t>
      </w:r>
    </w:p>
    <w:p>
      <w:pPr>
        <w:pStyle w:val="ListDash"/>
        <w:numPr>
          <w:ilvl w:val="0"/>
          <w:numId w:val="4"/>
        </w:numPr>
        <w:ind w:hanging="0" w:start="0"/>
        <w:rPr/>
      </w:pPr>
      <w:r>
        <w:rPr/>
        <w:t>Over excitation limiter (OEL)</w:t>
      </w:r>
    </w:p>
    <w:p>
      <w:pPr>
        <w:pStyle w:val="ListDash"/>
        <w:numPr>
          <w:ilvl w:val="0"/>
          <w:numId w:val="4"/>
        </w:numPr>
        <w:ind w:hanging="0" w:start="0"/>
        <w:rPr/>
      </w:pPr>
      <w:r>
        <w:rPr/>
        <w:t>Offline/online over excitation protection (76EX)</w:t>
      </w:r>
    </w:p>
    <w:p>
      <w:pPr>
        <w:pStyle w:val="ListDash"/>
        <w:numPr>
          <w:ilvl w:val="0"/>
          <w:numId w:val="4"/>
        </w:numPr>
        <w:ind w:hanging="0" w:start="0"/>
        <w:rPr/>
      </w:pPr>
      <w:r>
        <w:rPr/>
        <w:t>Under excitation limiter (UEL)</w:t>
      </w:r>
    </w:p>
    <w:p>
      <w:pPr>
        <w:pStyle w:val="ListDash"/>
        <w:numPr>
          <w:ilvl w:val="0"/>
          <w:numId w:val="4"/>
        </w:numPr>
        <w:ind w:hanging="0" w:start="0"/>
        <w:rPr/>
      </w:pPr>
      <w:r>
        <w:rPr/>
        <w:t>Generator overvoltage protection (59EX)</w:t>
      </w:r>
    </w:p>
    <w:p>
      <w:pPr>
        <w:pStyle w:val="ListDash"/>
        <w:numPr>
          <w:ilvl w:val="0"/>
          <w:numId w:val="4"/>
        </w:numPr>
        <w:ind w:hanging="0" w:start="0"/>
        <w:rPr/>
      </w:pPr>
      <w:r>
        <w:rPr/>
        <w:t>Generator field ground detector (64F)</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Dual source internal bulk power supply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Millivolt shunt for field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Surge protection</w:t>
      </w:r>
    </w:p>
    <w:p>
      <w:pPr>
        <w:pStyle w:val="ListDash"/>
        <w:numPr>
          <w:ilvl w:val="0"/>
          <w:numId w:val="4"/>
        </w:numPr>
        <w:ind w:hanging="0" w:start="0"/>
        <w:rPr/>
      </w:pPr>
      <w:r>
        <w:rPr/>
        <w:t>Two phase current sensing (CTs A, C)</w:t>
      </w:r>
    </w:p>
    <w:p>
      <w:pPr>
        <w:pStyle w:val="ListDash"/>
        <w:numPr>
          <w:ilvl w:val="0"/>
          <w:numId w:val="4"/>
        </w:numPr>
        <w:ind w:hanging="0" w:start="0"/>
        <w:rPr/>
      </w:pPr>
      <w:r>
        <w:rPr/>
        <w:t>Three phase voltage sensing</w:t>
      </w:r>
    </w:p>
    <w:p>
      <w:pPr>
        <w:pStyle w:val="ListDash"/>
        <w:numPr>
          <w:ilvl w:val="0"/>
          <w:numId w:val="4"/>
        </w:numPr>
        <w:ind w:hanging="0" w:start="0"/>
        <w:rPr/>
      </w:pPr>
      <w:r>
        <w:rPr/>
        <w:t>Single pole dc field contactor/bridge</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7.2.8.2</w:t>
        <w:tab/>
        <w:t>Performance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0.5 response ratio and 140% VFFL (100°C) ceiling @ Vt = 1.0pu</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7.2.9</w:t>
        <w:tab/>
        <w:t>Generator Medium Voltage Enclosure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Metal clad switchgear compartment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1000 MVA/5000 A at 40°C generator breaker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Breaker rollout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Dual generator breaker trip coils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Lightning arresters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Power leads straight through switchgear compartment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Non segregated bus duct for outgoing power connection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Line CTs</w:t>
      </w:r>
    </w:p>
    <w:p>
      <w:pPr>
        <w:pStyle w:val="ListDash"/>
        <w:numPr>
          <w:ilvl w:val="0"/>
          <w:numId w:val="4"/>
        </w:numPr>
        <w:ind w:hanging="0" w:start="0"/>
        <w:rPr/>
      </w:pPr>
      <w:r>
        <w:rPr/>
        <w:t>C200 CTs</w:t>
      </w:r>
    </w:p>
    <w:p>
      <w:pPr>
        <w:pStyle w:val="ListDash"/>
        <w:numPr>
          <w:ilvl w:val="0"/>
          <w:numId w:val="0"/>
        </w:numPr>
        <w:ind w:hanging="360" w:start="360" w:end="0"/>
        <w:rPr/>
      </w:pPr>
      <w:r>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s>
        <w:spacing w:lineRule="auto" w:line="360"/>
        <w:ind w:hanging="0" w:start="0"/>
        <w:jc w:val="start"/>
        <w:rPr>
          <w:b/>
          <w:u w:val="none"/>
          <w:lang w:eastAsia="en-CA"/>
        </w:rPr>
      </w:pPr>
      <w:r>
        <w:rPr>
          <w:b/>
          <w:u w:val="none"/>
          <w:lang w:eastAsia="en-CA"/>
        </w:rPr>
        <w:t>7.3</w:t>
        <w:tab/>
        <w:t>Gas Turbine-Generator Controls and Electric Auxiliaries</w:t>
      </w:r>
    </w:p>
    <w:p>
      <w:pPr>
        <w:pStyle w:val="Heading3"/>
        <w:keepNext w:val="false"/>
        <w:widowControl w:val="false"/>
        <w:numPr>
          <w:ilvl w:val="0"/>
          <w:numId w:val="0"/>
        </w:numPr>
        <w:tabs>
          <w:tab w:val="left" w:pos="720" w:leader="none"/>
          <w:tab w:val="left" w:pos="1440" w:leader="none"/>
          <w:tab w:val="left" w:pos="2160" w:leader="none"/>
          <w:tab w:val="left" w:pos="2880" w:leader="none"/>
        </w:tabs>
        <w:ind w:hanging="2160" w:start="2160" w:end="0"/>
        <w:jc w:val="both"/>
        <w:rPr>
          <w:rFonts w:ascii="Times New Roman" w:hAnsi="Times New Roman" w:cs="Times New Roman"/>
          <w:sz w:val="24"/>
        </w:rPr>
      </w:pPr>
      <w:r>
        <w:rPr>
          <w:rFonts w:cs="Times New Roman" w:ascii="Times New Roman" w:hAnsi="Times New Roman"/>
          <w:sz w:val="24"/>
        </w:rPr>
        <w:tab/>
        <w:t>7.3.1</w:t>
        <w:tab/>
        <w:t>Control Cab/Packaged Electric and Electronic Control Compartment (PEECC)</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Control panels mounted on a common skid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Weatherproof, climate controlled, base mounted enclosure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Supplemental wall-mounted air conditioner</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7.3.2</w:t>
        <w:tab/>
        <w:t>Gas Turbine Control System Panel Features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Triple modular redundant (TMR)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Skid mounted control panels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720" w:start="2880" w:end="0"/>
        <w:rPr/>
      </w:pPr>
      <w:r>
        <w:rPr/>
        <w:t>Auto/manual synchronizing module with synchronizing check function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Generator stator overtemperature alarm (49)</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Droop control</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Load limiter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Additional customer input contacts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Additional customer output contacts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Provision for 8 selectable analog output to customer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Vibration alarm readout and trip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Electrical overspeed protection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Constant settable droop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Manual set point preselected load</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7.3.3</w:t>
        <w:tab/>
        <w:t>Local Operator Station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Commercial grade personal computer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Color monitor</w:t>
      </w:r>
    </w:p>
    <w:p>
      <w:pPr>
        <w:pStyle w:val="ListDash"/>
        <w:numPr>
          <w:ilvl w:val="0"/>
          <w:numId w:val="4"/>
        </w:numPr>
        <w:ind w:hanging="0" w:start="0"/>
        <w:rPr/>
      </w:pPr>
      <w:r>
        <w:rPr/>
        <w:t>Table top</w:t>
      </w:r>
    </w:p>
    <w:p>
      <w:pPr>
        <w:pStyle w:val="ListDash"/>
        <w:numPr>
          <w:ilvl w:val="0"/>
          <w:numId w:val="4"/>
        </w:numPr>
        <w:ind w:hanging="0" w:start="0"/>
        <w:rPr/>
      </w:pPr>
      <w:r>
        <w:rPr/>
        <w:t>15 in. screen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Mouse cursor control</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Table top AT 101 keyboard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Printer</w:t>
      </w:r>
    </w:p>
    <w:p>
      <w:pPr>
        <w:pStyle w:val="ListDash"/>
        <w:numPr>
          <w:ilvl w:val="0"/>
          <w:numId w:val="4"/>
        </w:numPr>
        <w:ind w:hanging="0" w:start="0"/>
        <w:rPr/>
      </w:pPr>
      <w:r>
        <w:rPr/>
        <w:t>24 pin dot matrix</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Display in English language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720" w:start="2880" w:end="0"/>
        <w:rPr/>
      </w:pPr>
      <w:r>
        <w:rPr/>
        <w:t>50 ft of Arcnet cable between gas turbine control system panel and local operator interface &lt;I&gt; for indoor use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RS232C two way serial link (MODBUS) via local &lt;I&gt;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One remote operator interface &lt;I&gt;</w:t>
      </w:r>
    </w:p>
    <w:p>
      <w:pPr>
        <w:pStyle w:val="ListDash"/>
        <w:numPr>
          <w:ilvl w:val="0"/>
          <w:numId w:val="4"/>
        </w:numPr>
        <w:ind w:hanging="0" w:start="0"/>
        <w:rPr/>
      </w:pPr>
      <w:r>
        <w:rPr/>
        <w:t>Commercial grade personal computer</w:t>
      </w:r>
    </w:p>
    <w:p>
      <w:pPr>
        <w:pStyle w:val="ListDash"/>
        <w:numPr>
          <w:ilvl w:val="0"/>
          <w:numId w:val="4"/>
        </w:numPr>
        <w:ind w:hanging="0" w:start="0"/>
        <w:rPr/>
      </w:pPr>
      <w:r>
        <w:rPr/>
        <w:t>Color monitor</w:t>
      </w:r>
    </w:p>
    <w:p>
      <w:pPr>
        <w:pStyle w:val="ListDash"/>
        <w:numPr>
          <w:ilvl w:val="0"/>
          <w:numId w:val="4"/>
        </w:numPr>
        <w:ind w:hanging="0" w:start="0"/>
        <w:rPr/>
      </w:pPr>
      <w:r>
        <w:rPr/>
        <w:t>Table top</w:t>
      </w:r>
    </w:p>
    <w:p>
      <w:pPr>
        <w:pStyle w:val="ListDash"/>
        <w:numPr>
          <w:ilvl w:val="0"/>
          <w:numId w:val="4"/>
        </w:numPr>
        <w:ind w:hanging="0" w:start="0"/>
        <w:rPr/>
      </w:pPr>
      <w:r>
        <w:rPr/>
        <w:t>20 in. screen</w:t>
      </w:r>
    </w:p>
    <w:p>
      <w:pPr>
        <w:pStyle w:val="ListDash"/>
        <w:numPr>
          <w:ilvl w:val="0"/>
          <w:numId w:val="4"/>
        </w:numPr>
        <w:ind w:hanging="0" w:start="0"/>
        <w:rPr/>
      </w:pPr>
      <w:r>
        <w:rPr/>
        <w:t>Mouse cursor control</w:t>
      </w:r>
    </w:p>
    <w:p>
      <w:pPr>
        <w:pStyle w:val="ListDash"/>
        <w:numPr>
          <w:ilvl w:val="0"/>
          <w:numId w:val="4"/>
        </w:numPr>
        <w:ind w:hanging="0" w:start="0"/>
        <w:rPr/>
      </w:pPr>
      <w:r>
        <w:rPr/>
        <w:t>Table top AT 101 keyboard</w:t>
      </w:r>
    </w:p>
    <w:p>
      <w:pPr>
        <w:pStyle w:val="ListDash"/>
        <w:numPr>
          <w:ilvl w:val="0"/>
          <w:numId w:val="4"/>
        </w:numPr>
        <w:ind w:hanging="0" w:start="0"/>
        <w:rPr/>
      </w:pPr>
      <w:r>
        <w:rPr/>
        <w:t>Printer</w:t>
      </w:r>
    </w:p>
    <w:p>
      <w:pPr>
        <w:pStyle w:val="ListDash"/>
        <w:numPr>
          <w:ilvl w:val="0"/>
          <w:numId w:val="4"/>
        </w:numPr>
        <w:ind w:hanging="0" w:start="0"/>
        <w:rPr/>
      </w:pPr>
      <w:r>
        <w:rPr/>
        <w:t>24 pin dot matrix</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7.3.4</w:t>
        <w:tab/>
        <w:t>Rotor, Bearing and Performance Monitoring Systems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Vibration sensors</w:t>
      </w:r>
    </w:p>
    <w:p>
      <w:pPr>
        <w:pStyle w:val="ListDash"/>
        <w:numPr>
          <w:ilvl w:val="0"/>
          <w:numId w:val="4"/>
        </w:numPr>
        <w:ind w:hanging="0" w:start="0"/>
        <w:rPr/>
      </w:pPr>
      <w:r>
        <w:rPr/>
        <w:t>Velocity vibration sensors</w:t>
      </w:r>
    </w:p>
    <w:p>
      <w:pPr>
        <w:pStyle w:val="ListDash"/>
        <w:numPr>
          <w:ilvl w:val="0"/>
          <w:numId w:val="4"/>
        </w:numPr>
        <w:ind w:hanging="0" w:start="0"/>
        <w:rPr/>
      </w:pPr>
      <w:r>
        <w:rPr/>
        <w:t>Proximity vibration sensors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Bently Nevada 3300 monitor</w:t>
      </w:r>
    </w:p>
    <w:p>
      <w:pPr>
        <w:pStyle w:val="ListDash"/>
        <w:numPr>
          <w:ilvl w:val="0"/>
          <w:numId w:val="4"/>
        </w:numPr>
        <w:ind w:hanging="0" w:start="0"/>
        <w:rPr/>
      </w:pPr>
      <w:r>
        <w:rPr/>
        <w:t>Relay outputs wired to gas turbine control panel</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Bearing thermocouples</w:t>
      </w:r>
    </w:p>
    <w:p>
      <w:pPr>
        <w:pStyle w:val="ListDash"/>
        <w:numPr>
          <w:ilvl w:val="0"/>
          <w:numId w:val="4"/>
        </w:numPr>
        <w:ind w:hanging="0" w:start="0"/>
        <w:rPr/>
      </w:pPr>
      <w:r>
        <w:rPr/>
        <w:t>Bearing drain thermocouples</w:t>
      </w:r>
    </w:p>
    <w:p>
      <w:pPr>
        <w:pStyle w:val="ListDash"/>
        <w:numPr>
          <w:ilvl w:val="0"/>
          <w:numId w:val="4"/>
        </w:numPr>
        <w:ind w:hanging="0" w:start="0"/>
        <w:rPr/>
      </w:pPr>
      <w:r>
        <w:rPr/>
        <w:t>Bearing metal thermocouples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Borescope access holes</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7.3.5</w:t>
        <w:tab/>
        <w:t>Generator Control Panel</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7.3.5.1</w:t>
        <w:tab/>
        <w:t>Generator Control Panel Hardware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Mounted in PEECC</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Skid mounted with turbine panel</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DGP without test plugs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DGP without ModBus communication interface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DGP with communication interface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DGP with oscillography capture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DGP with redundant internal power supply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breaker trip switch (52G/CS)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Humidity sensor readout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Hazardous atmosphere detector readout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Bentley Nevada vibration monitor(s)</w:t>
      </w:r>
      <w:r>
        <w:br w:type="page"/>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7.3.5.2</w:t>
        <w:tab/>
        <w:t>Digital Generator Protection System (DGP)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overexcitation (24)</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undervoltage (27G)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Reverse power/anti-motoring (32-1)</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Loss of excitation (40-1,2)</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Current unbalance/negative phase sequence (46)</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System phase fault (51V)</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overvoltage (59)</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Stator ground detection (64G1)/(59GN)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over frequency (81O-1,2)</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differential (87G)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Voltage transformer fuse failure (VTFF)</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7.3.5.3</w:t>
        <w:tab/>
        <w:t>Generator Protection Discrete Relays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Synchronizing undervoltage relay (27BS-1,2)</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Breaker failure protection relay (50/62BF, 62BF)</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Bus ground detection relay (59BN)-3 PT’s and resistor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Breaker or lockout trip coil monitor relay (74)</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DC tripping bus, blown fuse protection relay (74-2)</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differential lockout relay (86G-1)</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Second generator lockout relay (86G-2)</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7.3.5.4</w:t>
        <w:tab/>
        <w:t>Features Integrated Into Gas Turbine Control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720" w:start="2880" w:end="0"/>
        <w:rPr/>
      </w:pPr>
      <w:r>
        <w:rPr/>
        <w:t>Gas turbine control system with speed matching, synchronization and check</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120" w:after="0"/>
        <w:ind w:hanging="720" w:start="2880" w:end="0"/>
        <w:rPr/>
      </w:pPr>
      <w:r>
        <w:rPr/>
        <w:t>Manual synchronization displayed on gas turbine control system &lt;I&gt;</w:t>
      </w:r>
    </w:p>
    <w:p>
      <w:pPr>
        <w:pStyle w:val="ListBullet"/>
        <w:widowControl w:val="false"/>
        <w:numPr>
          <w:ilvl w:val="0"/>
          <w:numId w:val="5"/>
        </w:numPr>
        <w:tabs>
          <w:tab w:val="clear" w:pos="2520"/>
          <w:tab w:val="clear" w:pos="2880"/>
          <w:tab w:val="clear" w:pos="3600"/>
          <w:tab w:val="clear" w:pos="4320"/>
          <w:tab w:val="clear" w:pos="5760"/>
          <w:tab w:val="clear" w:pos="7200"/>
          <w:tab w:val="left" w:pos="720" w:leader="none"/>
        </w:tabs>
        <w:spacing w:before="120" w:after="0"/>
        <w:ind w:hanging="720" w:start="2880" w:end="0"/>
        <w:rPr/>
      </w:pPr>
      <w:r>
        <w:rPr/>
        <w:t>Auto/manual synchronizing module displayed on gas turbine control system &lt;I&gt;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Load control in gas turbine control system</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Temperature indication for generator RTDs</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7.3.5.5</w:t>
        <w:tab/>
        <w:t>Generator Control Panel Metering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digital multimeter</w:t>
      </w:r>
    </w:p>
    <w:p>
      <w:pPr>
        <w:pStyle w:val="ListDash"/>
        <w:numPr>
          <w:ilvl w:val="0"/>
          <w:numId w:val="4"/>
        </w:numPr>
        <w:ind w:hanging="0" w:start="0"/>
        <w:rPr/>
      </w:pPr>
      <w:r>
        <w:rPr/>
        <w:t>VM - Generator volts</w:t>
      </w:r>
    </w:p>
    <w:p>
      <w:pPr>
        <w:pStyle w:val="ListDash"/>
        <w:numPr>
          <w:ilvl w:val="0"/>
          <w:numId w:val="4"/>
        </w:numPr>
        <w:ind w:hanging="0" w:start="0"/>
        <w:rPr/>
      </w:pPr>
      <w:r>
        <w:rPr/>
        <w:t>AM - Generator Amps: Phase 1,2,3 and Neutral</w:t>
      </w:r>
    </w:p>
    <w:p>
      <w:pPr>
        <w:pStyle w:val="ListDash"/>
        <w:numPr>
          <w:ilvl w:val="0"/>
          <w:numId w:val="4"/>
        </w:numPr>
        <w:ind w:hanging="0" w:start="0"/>
        <w:rPr/>
      </w:pPr>
      <w:r>
        <w:rPr/>
        <w:t>MW - Generator MegaWatts</w:t>
      </w:r>
    </w:p>
    <w:p>
      <w:pPr>
        <w:pStyle w:val="ListDash"/>
        <w:numPr>
          <w:ilvl w:val="0"/>
          <w:numId w:val="4"/>
        </w:numPr>
        <w:ind w:hanging="0" w:start="0"/>
        <w:rPr/>
      </w:pPr>
      <w:r>
        <w:rPr/>
        <w:t>MVAR - Generator MegaVARs</w:t>
      </w:r>
    </w:p>
    <w:p>
      <w:pPr>
        <w:pStyle w:val="ListDash"/>
        <w:numPr>
          <w:ilvl w:val="0"/>
          <w:numId w:val="4"/>
        </w:numPr>
        <w:ind w:hanging="0" w:start="0"/>
        <w:rPr/>
      </w:pPr>
      <w:r>
        <w:rPr/>
        <w:t>FM - Generator frequency</w:t>
      </w:r>
    </w:p>
    <w:p>
      <w:pPr>
        <w:pStyle w:val="ListDash"/>
        <w:numPr>
          <w:ilvl w:val="0"/>
          <w:numId w:val="4"/>
        </w:numPr>
        <w:ind w:hanging="0" w:start="0"/>
        <w:rPr/>
      </w:pPr>
      <w:r>
        <w:rPr/>
        <w:t>MVA - Generator MVA</w:t>
      </w:r>
    </w:p>
    <w:p>
      <w:pPr>
        <w:pStyle w:val="ListDash"/>
        <w:numPr>
          <w:ilvl w:val="0"/>
          <w:numId w:val="4"/>
        </w:numPr>
        <w:ind w:hanging="0" w:start="0"/>
        <w:rPr/>
      </w:pPr>
      <w:r>
        <w:rPr/>
        <w:t>PF - Generator power factor</w:t>
      </w:r>
    </w:p>
    <w:p>
      <w:pPr>
        <w:pStyle w:val="ListDash"/>
        <w:numPr>
          <w:ilvl w:val="0"/>
          <w:numId w:val="4"/>
        </w:numPr>
        <w:ind w:hanging="0" w:start="0"/>
        <w:rPr/>
      </w:pPr>
      <w:r>
        <w:rPr/>
        <w:t>MWH - Generator MegaWatt-Hours</w:t>
      </w:r>
    </w:p>
    <w:p>
      <w:pPr>
        <w:pStyle w:val="ListDash"/>
        <w:numPr>
          <w:ilvl w:val="0"/>
          <w:numId w:val="4"/>
        </w:numPr>
        <w:ind w:hanging="0" w:start="0"/>
        <w:rPr/>
      </w:pPr>
      <w:r>
        <w:rPr/>
        <w:t>MVAH - Generator MVA Hours</w:t>
      </w:r>
    </w:p>
    <w:p>
      <w:pPr>
        <w:pStyle w:val="Heading4"/>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ab/>
        <w:t>7.3.5.6</w:t>
        <w:tab/>
        <w:t>Generator Control Panel Transducers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720" w:start="2880" w:end="0"/>
        <w:rPr/>
      </w:pPr>
      <w:r>
        <w:rPr/>
        <w:t>Generator watt/VAR transducer 4-20 mA output for input to TCP (96GG-1)</w:t>
      </w:r>
    </w:p>
    <w:p>
      <w:pPr>
        <w:pStyle w:val="ListBullet"/>
        <w:widowControl w:val="false"/>
        <w:numPr>
          <w:ilvl w:val="0"/>
          <w:numId w:val="5"/>
        </w:numPr>
        <w:tabs>
          <w:tab w:val="clear" w:pos="2520"/>
          <w:tab w:val="clear" w:pos="2880"/>
          <w:tab w:val="clear" w:pos="3600"/>
          <w:tab w:val="clear" w:pos="4320"/>
          <w:tab w:val="clear" w:pos="5760"/>
          <w:tab w:val="clear" w:pos="7200"/>
        </w:tabs>
        <w:spacing w:before="120" w:after="0"/>
        <w:ind w:hanging="720" w:start="2880" w:end="0"/>
        <w:rPr/>
      </w:pPr>
      <w:r>
        <w:rPr/>
        <w:t>Generator TCP/droop control transducer 4-20 mA output (96GW-1)</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before="120" w:after="0"/>
        <w:ind w:hanging="0" w:start="0"/>
        <w:jc w:val="start"/>
        <w:rPr>
          <w:rFonts w:ascii="Times New Roman" w:hAnsi="Times New Roman" w:cs="Times New Roman"/>
          <w:sz w:val="24"/>
        </w:rPr>
      </w:pPr>
      <w:r>
        <w:rPr>
          <w:rFonts w:cs="Times New Roman" w:ascii="Times New Roman" w:hAnsi="Times New Roman"/>
          <w:sz w:val="24"/>
        </w:rPr>
        <w:tab/>
        <w:t>7.3.6</w:t>
        <w:tab/>
        <w:t>Generator Protection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electrical protection equipment</w:t>
      </w:r>
    </w:p>
    <w:p>
      <w:pPr>
        <w:pStyle w:val="ListDash"/>
        <w:numPr>
          <w:ilvl w:val="0"/>
          <w:numId w:val="4"/>
        </w:numPr>
        <w:ind w:hanging="0" w:start="0"/>
        <w:rPr/>
      </w:pPr>
      <w:r>
        <w:rPr/>
        <w:t>Ground brush rigging</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7.3.7</w:t>
        <w:tab/>
        <w:t>Batteries and Accessories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Lead acid battery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Dual battery charger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Battery and charger mounted in the PEECC</w:t>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7.3.8</w:t>
        <w:tab/>
        <w:t>Motor Control Center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MCC mounted in control cab/PEECC</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Tin-plated copper bus-work</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42 kA bracing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480V 60 Hz auxiliary power</w:t>
      </w:r>
      <w:r>
        <w:br w:type="page"/>
      </w:r>
    </w:p>
    <w:p>
      <w:pPr>
        <w:pStyle w:val="Heading3"/>
        <w:keepNext w:val="false"/>
        <w:widowControl w:val="false"/>
        <w:numPr>
          <w:ilvl w:val="0"/>
          <w:numId w:val="0"/>
        </w:numPr>
        <w:tabs>
          <w:tab w:val="left" w:pos="720" w:leader="none"/>
          <w:tab w:val="left" w:pos="1440" w:leader="none"/>
          <w:tab w:val="left" w:pos="2160" w:leader="none"/>
          <w:tab w:val="left" w:pos="2880" w:leader="none"/>
        </w:tabs>
        <w:spacing w:lineRule="auto" w:line="360"/>
        <w:ind w:hanging="0" w:start="0"/>
        <w:jc w:val="start"/>
        <w:rPr>
          <w:rFonts w:ascii="Times New Roman" w:hAnsi="Times New Roman" w:cs="Times New Roman"/>
          <w:sz w:val="24"/>
        </w:rPr>
      </w:pPr>
      <w:r>
        <w:rPr>
          <w:rFonts w:cs="Times New Roman" w:ascii="Times New Roman" w:hAnsi="Times New Roman"/>
          <w:sz w:val="24"/>
        </w:rPr>
        <w:tab/>
        <w:t>7.3.9</w:t>
        <w:tab/>
        <w:t>Motor Features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TEFC motors ( 200 hp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Coated with antifungal material for protection in tropical areas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High ambient motor insulation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Energy saver motors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Extra severe duty motors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Cast iron motor housings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All redundant motors to be lead/lag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Motor heaters</w:t>
      </w:r>
    </w:p>
    <w:p>
      <w:pPr>
        <w:pStyle w:val="ListDash"/>
        <w:numPr>
          <w:ilvl w:val="0"/>
          <w:numId w:val="4"/>
        </w:numPr>
        <w:ind w:hanging="0" w:start="0"/>
        <w:rPr/>
      </w:pPr>
      <w:r>
        <w:rPr/>
        <w:t>Rated 110/120 volts, 50/60 Hz</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WP starting motor</w:t>
      </w:r>
    </w:p>
    <w:p>
      <w:pPr>
        <w:pStyle w:val="ListBullet"/>
        <w:widowControl w:val="false"/>
        <w:numPr>
          <w:ilvl w:val="0"/>
          <w:numId w:val="0"/>
        </w:numPr>
        <w:tabs>
          <w:tab w:val="clear" w:pos="3600"/>
          <w:tab w:val="clear" w:pos="4320"/>
          <w:tab w:val="clear" w:pos="5760"/>
          <w:tab w:val="clear" w:pos="7200"/>
          <w:tab w:val="left" w:pos="720" w:leader="none"/>
          <w:tab w:val="left" w:pos="1440" w:leader="none"/>
          <w:tab w:val="left" w:pos="2160" w:leader="none"/>
          <w:tab w:val="left" w:pos="2520" w:leader="none"/>
          <w:tab w:val="left" w:pos="2880" w:leader="none"/>
        </w:tabs>
        <w:spacing w:lineRule="auto" w:line="360" w:before="0" w:after="0"/>
        <w:ind w:hanging="360" w:start="360" w:end="0"/>
        <w:rPr/>
      </w:pPr>
      <w:r>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s>
        <w:spacing w:lineRule="auto" w:line="360"/>
        <w:ind w:hanging="0" w:start="0"/>
        <w:jc w:val="start"/>
        <w:rPr>
          <w:b/>
          <w:u w:val="none"/>
          <w:lang w:eastAsia="en-CA"/>
        </w:rPr>
      </w:pPr>
      <w:r>
        <w:rPr>
          <w:b/>
          <w:u w:val="none"/>
          <w:lang w:eastAsia="en-CA"/>
        </w:rPr>
        <w:t>7.4</w:t>
        <w:tab/>
        <w:t>Services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Technical advisory services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Customer training by field service (option)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Transportation</w:t>
      </w:r>
    </w:p>
    <w:p>
      <w:pPr>
        <w:pStyle w:val="ListDash"/>
        <w:numPr>
          <w:ilvl w:val="0"/>
          <w:numId w:val="4"/>
        </w:numPr>
        <w:ind w:hanging="0" w:start="0"/>
        <w:rPr/>
      </w:pPr>
      <w:r>
        <w:rPr/>
        <w:t>Export boxing</w:t>
      </w:r>
    </w:p>
    <w:p>
      <w:pPr>
        <w:pStyle w:val="ListDash"/>
        <w:numPr>
          <w:ilvl w:val="0"/>
          <w:numId w:val="4"/>
        </w:numPr>
        <w:ind w:hanging="0" w:start="0"/>
        <w:rPr/>
      </w:pPr>
      <w:r>
        <w:rPr/>
        <w:t>Freight to U.S. port of export</w:t>
      </w:r>
    </w:p>
    <w:p>
      <w:pPr>
        <w:pStyle w:val="ListDash"/>
        <w:numPr>
          <w:ilvl w:val="0"/>
          <w:numId w:val="4"/>
        </w:numPr>
        <w:ind w:hanging="0" w:start="0"/>
        <w:rPr/>
      </w:pPr>
      <w:r>
        <w:rPr/>
        <w:t>Generator shipped with rotor installed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Documentation</w:t>
      </w:r>
    </w:p>
    <w:p>
      <w:pPr>
        <w:pStyle w:val="ListDash"/>
        <w:numPr>
          <w:ilvl w:val="0"/>
          <w:numId w:val="4"/>
        </w:numPr>
        <w:spacing w:lineRule="auto" w:line="240"/>
        <w:ind w:hanging="0" w:start="0"/>
        <w:rPr/>
      </w:pPr>
      <w:r>
        <w:rPr/>
        <w:t xml:space="preserve">Up to 10 sets of English language service manuals per station, </w:t>
        <w:br/>
        <w:tab/>
        <w:t>including Operation, Maintenance and Parts volumes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Turbine maintenance tools</w:t>
      </w:r>
    </w:p>
    <w:p>
      <w:pPr>
        <w:pStyle w:val="ListDash"/>
        <w:numPr>
          <w:ilvl w:val="0"/>
          <w:numId w:val="4"/>
        </w:numPr>
        <w:spacing w:lineRule="auto" w:line="240"/>
        <w:ind w:hanging="0" w:start="0"/>
        <w:rPr/>
      </w:pPr>
      <w:r>
        <w:rPr/>
        <w:t xml:space="preserve">Guide pins (for removal or replacement of bearing caps, </w:t>
        <w:br/>
        <w:tab/>
        <w:t>compressor casing and exhaust frame)</w:t>
      </w:r>
    </w:p>
    <w:p>
      <w:pPr>
        <w:pStyle w:val="ListDash"/>
        <w:numPr>
          <w:ilvl w:val="0"/>
          <w:numId w:val="4"/>
        </w:numPr>
        <w:ind w:hanging="0" w:start="0"/>
        <w:rPr/>
      </w:pPr>
      <w:r>
        <w:rPr/>
        <w:t>Fuel nozzle wrenches</w:t>
      </w:r>
    </w:p>
    <w:p>
      <w:pPr>
        <w:pStyle w:val="ListDash"/>
        <w:numPr>
          <w:ilvl w:val="0"/>
          <w:numId w:val="4"/>
        </w:numPr>
        <w:ind w:hanging="0" w:start="0"/>
        <w:rPr/>
      </w:pPr>
      <w:r>
        <w:rPr/>
        <w:t>Fuel nozzle test fixture</w:t>
      </w:r>
    </w:p>
    <w:p>
      <w:pPr>
        <w:pStyle w:val="ListDash"/>
        <w:numPr>
          <w:ilvl w:val="0"/>
          <w:numId w:val="4"/>
        </w:numPr>
        <w:ind w:hanging="0" w:start="0"/>
        <w:rPr/>
      </w:pPr>
      <w:r>
        <w:rPr/>
        <w:t>Spark plug electrode tool</w:t>
      </w:r>
    </w:p>
    <w:p>
      <w:pPr>
        <w:pStyle w:val="ListDash"/>
        <w:numPr>
          <w:ilvl w:val="0"/>
          <w:numId w:val="4"/>
        </w:numPr>
        <w:ind w:hanging="0" w:start="0"/>
        <w:rPr/>
      </w:pPr>
      <w:r>
        <w:rPr/>
        <w:t>Clearance tools</w:t>
      </w:r>
    </w:p>
    <w:p>
      <w:pPr>
        <w:pStyle w:val="ListDash"/>
        <w:numPr>
          <w:ilvl w:val="0"/>
          <w:numId w:val="4"/>
        </w:numPr>
        <w:ind w:hanging="0" w:start="0"/>
        <w:rPr/>
      </w:pPr>
      <w:r>
        <w:rPr/>
        <w:t>Fuel nozzle staking tool</w:t>
      </w:r>
    </w:p>
    <w:p>
      <w:pPr>
        <w:pStyle w:val="ListDash"/>
        <w:numPr>
          <w:ilvl w:val="0"/>
          <w:numId w:val="4"/>
        </w:numPr>
        <w:ind w:hanging="0" w:start="0"/>
        <w:rPr/>
      </w:pPr>
      <w:r>
        <w:rPr/>
        <w:t>Combustion liner tool</w:t>
      </w:r>
    </w:p>
    <w:p>
      <w:pPr>
        <w:pStyle w:val="ListDash"/>
        <w:numPr>
          <w:ilvl w:val="0"/>
          <w:numId w:val="4"/>
        </w:numPr>
        <w:ind w:hanging="0" w:start="0"/>
        <w:rPr/>
      </w:pPr>
      <w:r>
        <w:rPr/>
        <w:t>Bearing and coupling disassembly fixture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Generator maintenance tools (1 set per site)</w:t>
      </w:r>
    </w:p>
    <w:p>
      <w:pPr>
        <w:pStyle w:val="ListDash"/>
        <w:numPr>
          <w:ilvl w:val="0"/>
          <w:numId w:val="4"/>
        </w:numPr>
        <w:ind w:hanging="0" w:start="0"/>
        <w:rPr/>
      </w:pPr>
      <w:r>
        <w:rPr/>
        <w:t>Rotor lifting slings</w:t>
      </w:r>
    </w:p>
    <w:p>
      <w:pPr>
        <w:pStyle w:val="ListDash"/>
        <w:numPr>
          <w:ilvl w:val="0"/>
          <w:numId w:val="4"/>
        </w:numPr>
        <w:spacing w:lineRule="auto" w:line="240"/>
        <w:ind w:hanging="0" w:start="0"/>
        <w:rPr/>
      </w:pPr>
      <w:r>
        <w:rPr/>
        <w:t xml:space="preserve">Rotor removal equipment including shoes, pans, pulling </w:t>
        <w:br/>
        <w:tab/>
        <w:t>devices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160" w:end="0"/>
        <w:rPr/>
      </w:pPr>
      <w:r>
        <w:rPr/>
        <w:t>Installation equipment</w:t>
      </w:r>
    </w:p>
    <w:p>
      <w:pPr>
        <w:pStyle w:val="ListDash"/>
        <w:numPr>
          <w:ilvl w:val="0"/>
          <w:numId w:val="4"/>
        </w:numPr>
        <w:ind w:hanging="0" w:start="0"/>
        <w:rPr/>
      </w:pPr>
      <w:r>
        <w:rPr/>
        <w:t>Trunions for generator</w:t>
      </w:r>
    </w:p>
    <w:p>
      <w:pPr>
        <w:pStyle w:val="ListDash"/>
        <w:numPr>
          <w:ilvl w:val="0"/>
          <w:numId w:val="4"/>
        </w:numPr>
        <w:ind w:hanging="0" w:start="0"/>
        <w:rPr/>
      </w:pPr>
      <w:r>
        <w:rPr/>
        <w:t>On permanent basis</w:t>
      </w:r>
    </w:p>
    <w:p>
      <w:pPr>
        <w:pStyle w:val="ListDash"/>
        <w:numPr>
          <w:ilvl w:val="0"/>
          <w:numId w:val="4"/>
        </w:numPr>
        <w:ind w:hanging="0" w:start="0"/>
        <w:rPr/>
      </w:pPr>
      <w:r>
        <w:rPr/>
        <w:t>Foundation/installation washer and shim packs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160" w:end="0"/>
        <w:rPr/>
      </w:pPr>
      <w:r>
        <w:rPr/>
        <w:t>Power System Studies</w:t>
      </w:r>
    </w:p>
    <w:p>
      <w:pPr>
        <w:pStyle w:val="ListDash"/>
        <w:numPr>
          <w:ilvl w:val="0"/>
          <w:numId w:val="4"/>
        </w:numPr>
        <w:ind w:hanging="0" w:start="0"/>
        <w:rPr/>
      </w:pPr>
      <w:r>
        <w:rPr/>
        <w:t>Provided by customer</w:t>
      </w:r>
    </w:p>
    <w:p>
      <w:pPr>
        <w:pStyle w:val="ListDash"/>
        <w:numPr>
          <w:ilvl w:val="0"/>
          <w:numId w:val="4"/>
        </w:numPr>
        <w:ind w:hanging="0" w:start="0"/>
        <w:rPr/>
      </w:pPr>
      <w:r>
        <w:rPr/>
        <w:t>Settings for generator; DGP, 27BS, and 59BN relays</w:t>
      </w:r>
    </w:p>
    <w:p>
      <w:pPr>
        <w:pStyle w:val="Header"/>
        <w:tabs>
          <w:tab w:val="clear" w:pos="4320"/>
          <w:tab w:val="clear" w:pos="8640"/>
          <w:tab w:val="left" w:pos="720" w:leader="none"/>
          <w:tab w:val="left" w:pos="1440" w:leader="none"/>
          <w:tab w:val="left" w:pos="2160" w:leader="none"/>
          <w:tab w:val="left" w:pos="2880" w:leader="none"/>
        </w:tabs>
        <w:spacing w:lineRule="auto" w:line="360"/>
        <w:rPr/>
      </w:pPr>
      <w:r>
        <w:rPr/>
      </w:r>
      <w:r>
        <w:br w:type="page"/>
      </w:r>
    </w:p>
    <w:p>
      <w:pPr>
        <w:pStyle w:val="Heading1"/>
        <w:keepNext w:val="false"/>
        <w:widowControl w:val="false"/>
        <w:numPr>
          <w:ilvl w:val="0"/>
          <w:numId w:val="0"/>
        </w:num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hanging="0" w:start="0"/>
        <w:jc w:val="start"/>
        <w:rPr>
          <w:b/>
          <w:kern w:val="2"/>
          <w:lang w:eastAsia="en-CA"/>
        </w:rPr>
      </w:pPr>
      <w:bookmarkStart w:id="1" w:name="_Ref445165321"/>
      <w:r>
        <w:rPr>
          <w:b/>
          <w:kern w:val="2"/>
          <w:lang w:eastAsia="en-CA"/>
        </w:rPr>
        <w:tab/>
        <w:tab/>
        <w:t>8.</w:t>
        <w:tab/>
        <w:t>Turbine-Generator</w:t>
      </w:r>
      <w:bookmarkEnd w:id="1"/>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kern w:val="2"/>
          <w:lang w:eastAsia="en-CA"/>
        </w:rPr>
      </w:pPr>
      <w:r>
        <w:rPr>
          <w:b/>
          <w:kern w:val="2"/>
          <w:lang w:eastAsia="en-CA"/>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360"/>
        <w:ind w:hanging="0" w:start="0"/>
        <w:jc w:val="start"/>
        <w:rPr>
          <w:b/>
          <w:u w:val="none"/>
          <w:lang w:eastAsia="en-CA"/>
        </w:rPr>
      </w:pPr>
      <w:r>
        <w:rPr>
          <w:b/>
          <w:u w:val="none"/>
          <w:lang w:eastAsia="en-CA"/>
        </w:rPr>
        <w:t>8.1</w:t>
        <w:tab/>
        <w:t>Gas Turbine Systems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MS7001(EA) gas turbine has a single shaft, bolted rotor with the generator connected to the gas turbine at the turbine or “hot” end. Major components of the MS7001(EA) are described below.</w:t>
      </w:r>
    </w:p>
    <w:p>
      <w:pPr>
        <w:pStyle w:val="Heading3"/>
        <w:keepNext w:val="false"/>
        <w:widowControl w:val="false"/>
        <w:numPr>
          <w:ilvl w:val="0"/>
          <w:numId w:val="0"/>
        </w:num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firstLine="720" w:start="0" w:end="0"/>
        <w:jc w:val="start"/>
        <w:rPr>
          <w:rFonts w:ascii="Times New Roman" w:hAnsi="Times New Roman" w:cs="Times New Roman"/>
          <w:sz w:val="24"/>
        </w:rPr>
      </w:pPr>
      <w:r>
        <w:rPr>
          <w:rFonts w:cs="Times New Roman" w:ascii="Times New Roman" w:hAnsi="Times New Roman"/>
          <w:sz w:val="24"/>
        </w:rPr>
        <w:t>8.1.1</w:t>
        <w:tab/>
        <w:tab/>
        <w:t>Compressor Section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axial flow compressor has 17 stages with modulating inlet guide vanes and provides a 12.6 to 1 pressure ratio. Interstage air extraction is used for cooling and sealing air for turbine nozzles, wheelspaces, and bearings, and for surge control during start up.</w:t>
      </w:r>
    </w:p>
    <w:p>
      <w:pPr>
        <w:pStyle w:val="Heading4"/>
        <w:keepNext w:val="false"/>
        <w:widowControl w:val="false"/>
        <w:numPr>
          <w:ilvl w:val="0"/>
          <w:numId w:val="0"/>
        </w:num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hanging="0" w:start="0"/>
        <w:jc w:val="start"/>
        <w:rPr>
          <w:rFonts w:ascii="Times New Roman" w:hAnsi="Times New Roman" w:cs="Times New Roman"/>
          <w:sz w:val="24"/>
        </w:rPr>
      </w:pPr>
      <w:r>
        <w:rPr>
          <w:rFonts w:cs="Times New Roman" w:ascii="Times New Roman" w:hAnsi="Times New Roman"/>
          <w:sz w:val="24"/>
        </w:rPr>
        <w:tab/>
        <w:tab/>
        <w:t>8.1.1.1</w:t>
        <w:tab/>
        <w:t>Compressor Rotor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compressor rotor consists of a forward stub shaft with the 1st stage rotor blades, a fifteen blade and wheel assembly for stages 2 to 16, and an aft stub shaft with the stage 17 rotor blades. Rotor blades are inserted into broached slots located around the periphery of each wheel and wheel portion of the stub shaft. The rotor assembly is held together by fifteen axial bolts around the bolting circle. The wheels are positioned radially by a rabbeted fit near the center of the discs. Transmission of torque is accomplished by face friction at the bolting flange.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Selective positioning of the wheels is made during assembly to reduce the rotor balance correction. The compressor rotor is dynamically balanced after assembly and again after the compressor and turbine rotors are mated. They are precision balanced prior to assembly into the stator.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8.1.1.2</w:t>
        <w:tab/>
        <w:t>Compressor Blade Design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airfoil shaped compressor rotor blades are designed to compress air efficiently at high blade tip velocities. These forged blades are attached to their wheels by dovetail connections. The dovetail is accurately machined to maintain each blade in the desired location on the wheel.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blades in the first two stages of the compressor are Carpenter 450, a martenistic stainless steel with superior strength and corrosion resistance, which does not require a coating.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Stator blades utilize square bases for mounting in the casing slots. Blade stages zero through four are mounted by axial dovetails into blade ring segments. The blade ring segments are inserted into circumferential grooves in the casing and are secured with locking rings.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8.1.1.3</w:t>
        <w:tab/>
        <w:t>Compressor Stator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casing is composed of three major subassemblies: the inlet casing, the compressor casing, and the compressor discharge casing. These components in conjunction with the turbine shell, exhaust frame/diffuser, and combustion wrapper form the compressor stator.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casing bore is maintained to close tolerances with respect to the rotor blade tips for maximum aerodynamic efficiency. Borescope ports are located throughout the machine for component inspection. In addition all casings are horizontally split for ease of handling and maintenance.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8.1.1.3.1   Inlet Casing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primary function of the inlet casing, located at the forward end of the gas turbine, is to direct the air uniformly from the inlet plenum into the compressor. The inlet casing also supports the number 1 radial bearing and thrust bearing assembly and the variable inlet guide vanes, located at the aft end.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8.1.1.3.2   Compressor Casing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compressor casing contains compressor stages 1 through 12. Extraction ports in the casing allow bleeds to the exhaust plenum during start-up and extraction of air to cool the second and third stage nozzles.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8.1.1.3.3   Compressor Discharge Casing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compressor discharge casing contains 13th- through 17th- stage compressor stators and one row of exit guide vanes. It also provides an inner support for the first-stage turbine nozzle assembly and supports the combustion components. Air is extracted from the compressor discharge plenum to cool the stage one nozzle vane, retaining ring, and shrouds.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compressor discharge casing consists of two cylinders connected by radial struts. The outer cylinder is a continuation of the compressor casing and the inner cylinder surrounds the compressor aft stub shaft. A diffuser is formed by the tapered annulus between the outer and inner cylinders. The compressor discharge casing is joined to the combustion wrapper at the flange on its outermost diameter.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8.1.2</w:t>
        <w:tab/>
        <w:t>Turbine Section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 the three stage turbine section, energy from hot pressurized gas produced by the compressor and combustion section is converted to mechanical energy. The turbine section is comprised of the combustion wrapper, turbine rotor, turbine shell, exhaust frame, exhaust diffuser, nozzles and diaphragms, stationary shrouds, and aft (number 3) bearing assembly.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8.1.2.1</w:t>
        <w:tab/>
        <w:t>Turbine Rotor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turbine rotor assembly consists of a forward shaft, three turbine wheels, two turbine spacer wheels, and an aft turbine shaft which includes the number 3 journal bearing. The forward shaft extends from the compressor rotor aft stub shaft flange to the first stage turbine wheel. Each turbine wheel is axially separated from adjacent stage(s) with a spacer wheel. The spacer wheel faces have radial slots for cooling air passages, and the outer surfaces are machined to form labyrinth seals for interstage gas sealing.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Selective positioning of rotor members is performed during assembly to minimize balance corrections of the assembled rotor. Concentricity control is achieved with mating rabbets on the turbine wheels, spacers, and shafts. Turbine rotor components are held in compression by bolts. Rotor torque is accomplished by friction force on the wheel faces due to bolt compression.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turbine rotor is cooled by air extracted from compressor stage 17. This air is also used to cool the turbine first- and second-stage buckets plus the rotor wheels and spacers.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8.1.2.2</w:t>
        <w:tab/>
        <w:t>Turbine Bucket Design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first-stage buckets use forced air convection cooling in which turbulent air flow is forced through integral cast-in serpentine passages and discharged from holes at the tip of the trailing edge of the bucket. Second-stage buckets are cooled via radial holes drilled by a shaped tube electromechanical machining process. Third-stage buckets do not require air cooling.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First-stage buckets are coated for corrosion protection. Second- and third-stage buckets have integral tip shrouds which interlock buckets to provide vibration damping and seal teeth that reduce leakage flow. Turbine buckets are attached to the wheel with fir tree dovetails that fit into matching cutouts at the rim of the turbine wheel. Bucket vanes are connected to the dovetails by shanks which separate the wheel from the hot gases and thereby reduce the temperature at the dovetail.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turbine rotor assembly is arranged to allow buckets to be replaced without having to unstack the wheels, spacers and stub shaft assemblies. Similarly, buckets are selectively positioned such that they can be replaced individually or in sets without having to rebalance the wheel assembly.</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8.1.2.3</w:t>
        <w:tab/>
        <w:t>Turbine Stator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turbine stator is comprised of the combustion wrapper, turbine shell, and the exhaust frame. Like the compressor stator, the turbine stator is horizontally split for ease of handling and maintenance. (The aft diffuser is not split.)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8.1.2.3.1   Combustion Wrapper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combustion wrapper, located between the compressor discharge casing and the turbine shell, facilitates removal and maintenance of the transition pieces and stage one nozzle.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8.1.2.3.2   Turbine Shell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turbine shell provides internal support and axial and radial positions of the shrouds and nozzles relative to the turbine buckets. This positioning is critical to gas turbine performance. Borescope ports are provided for inspection of buckets and nozzles.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8.1.2.3.3   Exhaust Frame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exhaust frame is bolted to the aft flange of the turbine shell and consists of an outer and an inner cylinder interconnected by radial struts. The inner cylinder supports the number 3 bearing. The tapered annulus between the outer and inner cylinders forms the axial exhaust diffuser. Gases from the third stage turbine enter the diffuser where the velocity is reduced by diffusion and pressure is recovered, improving performance.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Cooling of the exhaust frame, number 3 bearing, and diffuser tunnel is accomplished by off-base motor-driven blowers.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8.1.2.4</w:t>
        <w:tab/>
        <w:t>Turbine Nozzle Design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turbine section has three stages of nozzles (stationary blades). The first- and second-stage nozzles are cooled by a combination of film cooling (gas path surface), impingement cooling, and convection cooling in the vane and sidewall regions. The third stage is not cooled.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Both the first- and second-stage nozzles consist of 24 segments with two vanes in each. The third stage has 32 segments with two vanes in each. First-stage turbine nozzle segments are contained by a retaining ring which remains centered in the turbine shell. The second- and third-stage nozzle segments are held in position by radial pins from the shell into axial slots in the nozzle outer sidewall.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8.1.2.5</w:t>
        <w:tab/>
        <w:t>Bearings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MS7001(EA) gas turbine contains three journal bearings to support the turbine rotor and one dual direction thrust bearing to maintain the rotor-to-stator axial position. The bearings are located in three housings: one at the inlet, one in the discharge casing and one at the center of the exhaust frame. All bearings are pressure lubricated by oil supplied from the main lubrication oil system. The number 1 bearing (journal and thrust) is accessed by removing the top half of the compressor inlet casing, while number 2 is accessed during major overhaul. The number 3 bearing is readily accessible through the tunnel along the centerline of the exhaust diffuser. Bearing protection includes vibration sensors and drain oil temperature thermocouples.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8.1.3</w:t>
        <w:tab/>
        <w:t>Combustion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combustion system uses a reverse flow, multi-chamber (can annular) design in which combustion chambers are arranged around the periphery of the compressor discharge casing. Combustion chambers are connected to adjacent chambers by crossfire tubes as illustrated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Each chamber contains fuel nozzles and a combustion liner. Specific chambers also contain spark plugs and flame detectors. Transition pieces connect the combustion liners to the turbine nozzles. Each combustion liner, fuel nozzle, and transition piece may be individually replaced if needed for maintenance.</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These major components of the combustion system are described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473" w:dyaOrig="510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73.65pt;height:255.45pt" filled="f" o:ole="">
            <v:imagedata r:id="rId21" o:title=""/>
          </v:shape>
          <o:OLEObject Type="Embed" ProgID="" ShapeID="ole_rId20" DrawAspect="Content" ObjectID="_534760503" r:id="rId20"/>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8.1.4</w:t>
        <w:tab/>
        <w:t>Dry Low NOx Combustor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Dry Low NOx (DLN) combustor is dual stage, multi-mode combustor. The major components of the combustor are arranged to form two stages in the combustor as illustrated below. Multiple primary fuel nozzles are located around the circumference of the primary zone. A single secondary nozzle is located along the centerline of the combustor within the centerbody. A venturi assembly is also included in the second stage.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473" w:dyaOrig="582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73.65pt;height:291.45pt" filled="f" o:ole="">
            <v:imagedata r:id="rId23" o:title=""/>
          </v:shape>
          <o:OLEObject Type="Embed" ProgID="" ShapeID="ole_rId22" DrawAspect="Content" ObjectID="_606860117" r:id="rId22"/>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various modes of combustion using the DLN combustor are described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8.1.4.1.1   Primary Mode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primary zone is utilized as a diffusion burning zone for ignition and low load operation.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8.1.4.1.2   Lean-Lean Mode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At a given fuel/air ratio in the combustor, fuel is introduced through the secondary fuel nozzle and flame is established in the secondary zone of the combustor. NOx emissions are lowered somewhat in this mode as compared to that of the primary mode.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8.1.4.1.3   Premixed Mode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When the combustor fuel/air ratio is sufficient to support a premixed (low NOx) flame, a transfer sequence occurs. All of the fuel is first directed through the secondary nozzle in order to extinguish the flame in the primary zone. Fuel is then reintroduced through the primary nozzles and the primary zone becomes a premixing zone. A premixed flame is established in the secondary zone, anchored by the venturi flame holder. The venturi also accelerate the flow between the primary and secondary zone which prevents the flame from “flashing back” into the primary zone. The fuel is split between the primary and secondary fuel nozzles to optimize the emissions performance of the combustor. Premixed operation is utilized for mid to full load operation on gas fuel only.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8.1.4.2</w:t>
        <w:tab/>
        <w:t>Combustion Liners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Within each combustion chamber is a cylindrical liner or a liner made up of two cylindrical sections with a conical transition section between the two. Discharge air from the axial-flow compressor flows forward along the outside of the combustion liner, as guided by the flow sleeve. Liner cooling is achieved via film cooling with annular slots distributed along the length of the combustion liner.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Thermal barrier coatings are applied to the inner walls of the combustion liners for longer inspection intervals.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Air enters the combustor through a variety of holes in the liner and cap and swirlers which are typically a part of the fuel nozzles. Depending on the injection location, air is utilized for the actual combustion process, for cooling, or as dilution to tailor the exhaust gas profile.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8.1.4.3</w:t>
        <w:tab/>
        <w:t>Transition Pieces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Transition pieces direct hot gases from the liners to the turbine nozzles. The transition pieces have a circular inlet for the combustion liners and transition to an annular segment at the exit for the turbine nozzles. Seals are utilized at both connection locations to control leakage flows.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8.1.4.4</w:t>
        <w:tab/>
        <w:t>Spark Plugs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Combustion is initiated by discharge from two electrode spark plugs each in a different combustion chamber. At the time of firing, a spark at one or both of these plugs ignites a chamber.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8.1.4.5</w:t>
        <w:tab/>
        <w:t>Crossfire Tubes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combustion chambers are interconnected by means of crossfire tubes. These tubes enable flame from the fired chambers containing spark plugs to propagate to the unfired chambers.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8.1.4.6</w:t>
        <w:tab/>
        <w:t>Ultraviolet Flame Detectors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control system continuously monitors for presence or absence of flame. Cooled flame detectors are installed in four combustors.</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8.1.4.6.1.1   Fuel Flow Monitoring  Equipment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following fuel flow equipment is provided for integration by the customer into the fuel supply line:</w:t>
      </w:r>
    </w:p>
    <w:p>
      <w:pPr>
        <w:pStyle w:val="ListBullet"/>
        <w:numPr>
          <w:ilvl w:val="0"/>
          <w:numId w:val="5"/>
        </w:numPr>
        <w:ind w:hanging="0" w:start="2520"/>
        <w:rPr/>
      </w:pPr>
      <w:r>
        <w:rPr/>
        <w:t>Gas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lineRule="auto" w:line="240"/>
        <w:ind w:hanging="720" w:start="3600" w:end="0"/>
        <w:rPr/>
      </w:pPr>
      <w:r>
        <w:rPr/>
        <w:t>Meter tube and orifice with delta P transducers for flow indication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before="120" w:after="0"/>
        <w:ind w:hanging="0" w:start="2880" w:end="0"/>
        <w:rPr/>
      </w:pPr>
      <w:r>
        <w:rPr/>
        <w:t>Transmitter for supply temperature indication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Static pressure transducer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8.1.5</w:t>
        <w:tab/>
        <w:t>Fuel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8.1.5.1</w:t>
        <w:tab/>
        <w:t>Gas Fuel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jc w:val="start"/>
        <w:rPr/>
      </w:pPr>
      <w:r>
        <w:rPr/>
        <w:t>The gas fuel system modulates the gas fuel flow to the turbine.  Proper operation of the gas fuel system requires that the gas be supplied to the gas fuel control system at the proper pressure and temperature.  The pressure is required to maintain proper flow control.  The fuel gas temperature must ensure that  the required hydrocarbon superheat is maintained.  For discussion of fuel gas supply requirements in the Reference Documents  -  Process Specification Fuel Gases for Combustion in Heavy-Duty Gas Turbines. Major system components, as shown in the illustration which follows, are described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720" w:end="0"/>
        <w:jc w:val="start"/>
        <w:rPr/>
      </w:pPr>
      <w:r>
        <w:rPr/>
        <w:object w:dxaOrig="7502" w:dyaOrig="5745">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75.1pt;height:287.25pt" filled="f" o:ole="">
            <v:imagedata r:id="rId25" o:title=""/>
          </v:shape>
          <o:OLEObject Type="Embed" ProgID="" ShapeID="ole_rId24" DrawAspect="Content" ObjectID="_296086161" r:id="rId24"/>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8.1.5.1.1   Strainer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 single strainer is used to remove impurities from the gas. A pressure switch which monitors the differential across the strainer will signal an alarm through the gas turbine control system when the pressure drop across the strainer indicates cleaning is required.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8.1.5.1.2   Fuel Gas Stop/Speed Ratio and Control Valves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fuel gas stop/speed ratio and control valves allow fuel flow when the turbine starts and runs, control the fuel flow, and provide protective fuel isolation when the turbine is shutdown.  In systems with multiple control valve configuration, the control valves also maintain the fuel split among the fuel nozzles.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8.1.5.1.3   Vent Valve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When the gas fuel system is shut off, both the stop valve and the control valve(s) are shut.  A vent valve is opened between the stop valve and the control valve(s). The vent valve permits the fuel gas to exit to the atmosphere when the turbine is shutdown or switched to an alternate fuel.</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8.1.5.1.4   Flow Measurement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gas fuel flow measurement system uses a flow metering tube with precision orifice.  The pressure drop across the orifice is used to determine the fuel flow.  To accommodate the large flow turndown, two delta-pressure transducers with different, but over-lapping ranges, are used.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8.1.5.1.5   Fuel Manifold and Nozzles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fuel manifold connects  the gas fuel nozzles which distribute the gas fuel into the combustion chambers.  For staged combustion systems, more than one manifold is used.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8.1.5.1.6   Piping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gas fuel system uses stainless steel fuel gas piping with carbon steel flanges.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8.1.6</w:t>
        <w:tab/>
        <w:t>Lubricating and Hydraulic Systems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lubricating provisions for the turbine, generator and accessory gear are incorporated into a common lubrication system. Oil is taken from this system, pumped to a higher pressure, and used in the hydraulic system for all hydraulic oil control system components. The lubrication system includes oil pumps, coolers, filters, instrumentation and control devices, a mist elimination device and an oil reservoir as shown in the system illustration below. Following the illustration is a brief description of the major system components.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before="0" w:after="0"/>
        <w:ind w:start="0" w:end="0"/>
        <w:jc w:val="start"/>
        <w:rPr/>
      </w:pPr>
      <w:r>
        <w:rPr/>
        <w:object w:dxaOrig="9777" w:dyaOrig="11721">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88.85pt;height:586.05pt" filled="f" o:ole="">
            <v:imagedata r:id="rId27" o:title=""/>
          </v:shape>
          <o:OLEObject Type="Embed" ProgID="" ShapeID="ole_rId26" DrawAspect="Content" ObjectID="_1261458538" r:id="rId26"/>
        </w:objec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before="0" w:after="0"/>
        <w:ind w:start="0" w:end="0"/>
        <w:jc w:val="start"/>
        <w:rPr>
          <w:b/>
        </w:rPr>
      </w:pPr>
      <w:r>
        <w:rPr>
          <w:b/>
        </w:rPr>
        <w:tab/>
        <w:tab/>
        <w:t>8.1.6.1</w:t>
        <w:tab/>
        <w:t>Pumps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lubrication system relies on several pumps to distribute oil from the oil reservoir to the systems which need lubrication. Similarly, redundant pumps are used to distribute high pressure oil to all hydraulic oil control system components. These and other oil pumps are listed below.</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Lubrication oil pumps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lineRule="auto" w:line="240" w:before="120" w:after="0"/>
        <w:ind w:hanging="720" w:start="3600" w:end="0"/>
        <w:rPr/>
      </w:pPr>
      <w:r>
        <w:rPr/>
        <w:t>The main lubrication oil gear pump is shaft-driven from the accessory gear.</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lineRule="auto" w:line="240" w:before="120" w:after="0"/>
        <w:ind w:hanging="720" w:start="3600" w:end="0"/>
        <w:rPr/>
      </w:pPr>
      <w:r>
        <w:rPr/>
        <w:t>A full flow ac motor-driven auxiliary lubrication oil centrifugal pump is provided as backup to the main pump.</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lineRule="auto" w:line="240" w:before="120" w:after="0"/>
        <w:ind w:hanging="720" w:start="3600" w:end="0"/>
        <w:rPr/>
      </w:pPr>
      <w:r>
        <w:rPr/>
        <w:t>A partial flow, dc motor-driven, emergency lubrication oil centrifugal pump is included as a back up to the main and auxiliary pumps.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520"/>
        <w:rPr/>
      </w:pPr>
      <w:r>
        <w:rPr/>
        <w:t>Hydraulic pumps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lineRule="auto" w:line="240" w:before="120" w:after="0"/>
        <w:ind w:hanging="720" w:start="3600" w:end="0"/>
        <w:rPr/>
      </w:pPr>
      <w:r>
        <w:rPr/>
        <w:t>The main hydraulic variable displacement piston pump is shaft-driven from the accessory gear.</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spacing w:lineRule="auto" w:line="240" w:before="120" w:after="0"/>
        <w:ind w:hanging="720" w:start="3600" w:end="0"/>
        <w:rPr/>
      </w:pPr>
      <w:r>
        <w:rPr/>
        <w:t>An auxiliary ac motor-driven hydraulic pump is provided as backup to the main hydraulic pump.</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8.1.6.2</w:t>
        <w:tab/>
        <w:t>Coolers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oil is cooled by dual lubrication oil-to-coolant finned 90-10 Cu-Ni  tube heat exchangers with transfer valve. The coolers are U-tube and shell configuration with pull out, removable tube bundles. The coolers have an ASME code stamp.</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8.1.6.3</w:t>
        <w:tab/>
        <w:t>Filters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Dual, full flow filters with transfer valves clean the oil used for lubrication. Each filter includes a differential pressure transmitter to signal an alarm through the gas turbine control system when cleaning is required. A replaceable cartridge is utilized for easy maintenance. Filters have an ASME code stamp.</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Dual filters with transfer valves clean the oil for the hydraulic system. Each filter includes a differential pressure transmitter to signal an alarm through the gas turbine control system when cleaning is required. A replaceable cartridge is utilized for easy maintenance. Filters have an ASME code stamp.</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8.1.6.4</w:t>
        <w:tab/>
        <w:t>Mist Elimination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Lubrication oil mist particles are entrained in the system vent lines by sealing air returns of the gas turbine lubricating system. In order to remove the particles, a lube vent demister is used as an air-exhaust filtration unit. The demister filters the mist particles and vents the air to the atmosphere while draining any collected oil back to the oil reservoir.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lube vent demister assembly consists of a holding tank with filter elements, motor-driven blower, and relief valve. One assembly is provided for the vent line from the lubrication oil reservoir.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8.1.6.5</w:t>
        <w:tab/>
        <w:t>Oil Reservoir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oil reservoir has a nominal capacity of 2500 gallons (9463 liters) and is mounted within the accessory base. It is equipped with lubrication oil level switches to indicate full, empty, high level alarm, low level alarm, and low level trip. In addition the following are mounted on the reservoir: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Oil tank thermocouples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Oil heaters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Oil filling filter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Oil reservoir drains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Inlet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8.1.7</w:t>
        <w:tab/>
        <w:t>Inlet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8.1.7.1</w:t>
        <w:tab/>
        <w:t>General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Gas turbine performance and reliability are a function of the quality and cleanliness of the inlet air entering the turbine. Therefore, for most efficient operation, it is necessary to treat the ambient air entering the turbine and filter out contaminants. It is the function of the air inlet system with its specially designed equipment and ducting to modify the quality of the air under various temperature, humidity, and contamination situations and make it more suitable for use. The inlet system consists of the equipment and materials defined in the Scope of Supply chapter of this proposal. The following paragraphs provide a brief description of the major components of the inlet system.</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8.1.7.2</w:t>
        <w:tab/>
        <w:t>Inlet Filtration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8.1.7.2.1   Inlet Filter Compartment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self-cleaning inlet filter compartment utilizes high efficiency media filters which are automatically cleaned of accumulated dust, thereby maintaining the inlet pressure drop below a preset upper limit. This design provides single-stage high efficiency filtration for prolonged periods without frequent replacements. Appropriate filter media is provided based on the site specific environmental conditions.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Dust-laden ambient air flows at a very low velocity into filter modules which are grouped around a clean-air plenum. The filter elements are pleated to provide an extended surface. The air, after being filtered, passes through venturis to the clean air plenum and into the inlet ductwork.</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As the outside of the filter elements become laden with dust, increasing differential pressure is sensed by a pressure switch in the plenum. When the setpoint is reached, a cleaning cycle is initiated. The elements are cleaned in a specific order, controlled by an automatic sequencer.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sequencer operates a series of solenoid-operated valves, each of which controls the cleaning of a small number of filters. Each valve releases a brief pulse of high pressure air into a blowpipe which has orifices located just above the filters. This pulse shocks the filters and causes a momentary reverse flow, disturbing the filter cake. Accumulated dust breaks loose, falls, and disperses. The cleaning cycle continues until enough dust is removed for the compartment pressure drop to reach the lower setpoint. The design of the sequencer is such that only a few of the many filter elements are cleaned at the same time. As a consequence, the airflow to the gas turbine is not significantly disturbed by the cleaning process.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filter elements are contained within a fabricated steel enclosure which has been specially designed for proper air flow management and weather protection.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Self-cleaning filters require a source of clean air for pulse-cleaning. Compressor discharge air is used as the pulse air source for filter cleaning. It is reduced in pressure, cooled and dried. This air is already clean because it has been filtered by the gas turbine’s inlet air filter. When compressor discharge air is used to pulse the filter, cleaning is possible only when the gas turbine is running.</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8.1.7.3</w:t>
        <w:tab/>
        <w:t>Inlet System Instrumentation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8.1.7.3.1   Inlet System Differential Pressure Indicator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Standard pressure drop indicator (gauge) displays the pressure differential across the inlet filters in inches of water.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8.1.7.3.2   Inlet System Differential Pressure Alarm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When the pressure differential across the inlet filters reaches a preset value, an alarm is initiated. This alarm may signify a need to change the filter elements.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8.1.7.4</w:t>
        <w:tab/>
        <w:t>Inlet Acclimatization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8.1.7.4.1   Inlet Bleed Heat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Dry Low Nox (DLN) combustion systems can require adjustment of the Inlet Guide Vane (IGV) angle during certain operational modes and load conditions. Reduced IGV angles can cause a higher pressure drop and a resultant temperature depression of the air flow. This effect could lead to ice formation on the first stage stator blades under certain ambient conditions. To address this situation, compressor discharge air is extracted from the compressor and recirculated to a mixing manifold in the inlet system. Recirculating the compressor discharge air to the inlet air stream prevents conditions necessary for the formation of ice on the first stage stator blades by warming the incoming inlet air. The inlet bleed heat system is controlled as a function of IGV angle.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8.1.8</w:t>
        <w:tab/>
        <w:t>Exhaust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exhaust system arrangement includes the exhaust plenum. After exiting the last turbine stage, the exhaust gases enter an exhaust diffuser section which terminates in a series of turning vanes directing the gases from an axial to a radial direction into the plenum. The gas then flows to the side and into the exhaust system which is not in GE’s scope of supply.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8.1.9</w:t>
        <w:tab/>
        <w:t>Couplings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8.1.9.1</w:t>
        <w:tab/>
        <w:t>Accessory Drive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auxiliary components driven directly by the accessory gear are: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Lubricating oil pump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Hydraulic oil pump</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8.1.10</w:t>
        <w:tab/>
        <w:t>Gas Turbine Packaging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8.1.10.1   Enclosures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Gas turbine enclosures consist of several connected sections forming an all weather protective housing which may be structurally attached to each compartment base or mounted on an off-base foundation. Enclosures provide thermal insulation, acoustical attenuation, and fire extinguishing media containment. For optimum performance of installed equipment, compartments include the following as needed:</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Ventilation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Heating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Cooling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 addition, enclosures are designed to allow access to equipment for routine inspections and maintenance.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8.1.10.2  Acoustics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Measuring procedures will be in accordance with ASME PTC 36 (near field) and/or ANSI B133.8 (far field).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For acoustic guarantees, please refer to the Performance Guarantees section of the proposal.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8.1.10.3   Painting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exteriors of all compartments and other equipment are painted with two coats of alkyd primer prior to shipment. The exterior surfaces of the inlet compartment and inlet and exhaust duct are painted with one coat of inorganic zinc primer.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Interiors of all compartments are painted as well with the turbine compartment interior receiving high-temperature paint. The interior and exterior of the inlet system is painted with zinc rich paint.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8.1.10.4   Lighting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AC lighting on automatic circuit is provided in the accessory compartment. When ac power is not available, a dc battery-operated circuit supplies a lower level of light automatically.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For units with off-base enclosures, GE provides ac/dc lights in the turbine compartments.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Florescent lighting is also provided in the PEECC.</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8.1.10.5   Wiring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gas turbine electrical interconnection system includes on-base wiring, terminal boards, junction boxes, etc. as well as compartment interconnecting cables. Junction boxes are selected to meet the environmental requirement of the Customer but are, in general, of steel or cast aluminum construction. Terminal boards within junction boxes are of the heavy duty industrial type selected for the particular environment in which the junction box is located. On-base gas turbine wire termination uses spring tongue crimped type terminals. Generator wire termination are ring type. Control panel wiring is General Electric type SIS Vulkene insulated switchboard wire, AWG #14-41 Strand SI-57275. Ribbon cables are used as appropriate.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8.1.11</w:t>
        <w:tab/>
        <w:t>Fire Protection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Fixed temperature sensing fire detectors are provided in the gas turbine and accessory compartments, and #3 bearing tunnel. The detectors provide signals to actuate the low pressure carbon dioxide (CO2) automatic two-zone fire protection system. Nozzles in these compartments direct the CO2 to the compartments at a concentration sufficient for extinguishing flame. This concentration is maintained by gradual addition of CO2 for an extended period.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fire protection system is capable of achieving a non-combustible atmosphere in less than one minute, which meets the requirements of the United States National Fire Protection Association (NFPA) #12.</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supply system is composed of a low pressure CO2 tank with refrigeration system mounted off base, a manifold and a release mechanism. Initiation of the system will trip the unit, provide an alarm on the annunciator, turn-off ventilation fans and close ventilation openings.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8.1.12</w:t>
        <w:tab/>
        <w:t>Cleaning Systems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8.1.12.1   On-Line and Off-Line Compressor Water Wash</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Compressor water wash is used to remove fouling deposits which accumulate on compressor blades and to restore unit performance. Deposits such as dirt, oil mist, industrial or other atmospheric contaminants from the surrounding site environment, reduce air flow, lower compressor efficiency, and lower compressor pressure ratio, which reduce thermal efficiency and output of the unit. Compressor cleaning removes these deposits to restore performance and slows the progress of corrosion in the process, thereby increasing blade wheel life.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On–line cleaning is the process of injecting water into the compressor while running at full speed and some percentage of load. Off–line cleaning is the process of injecting cleaning solution into the compressor while it is being turned at cranking speed. The advantage of on–line cleaning is that washing can be done without having to shut down the machine. On–line washing, however, is not as effective as off–line washing; therefore on–line washing is used to supplement off–line washing, not replace it.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on–base compressor washing features are described and illustrated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8.1.12.1.1   On–Line Manifold and Nozzles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on–line washing components consist of two piping manifolds, spray nozzles (one in the forward bellmouth and one in the aft bellmouth), and an on/off control valve which is also controlled by the turbine control panel. The turbine control system is equipped with software to perform an automatic on–line wash by simply initiating the wash from the turbine control panel.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8.1.12.1.2   Off–Line Manifold and Nozzles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off–line washing components consist of a piping manifold, spray nozzles in the forward bellmouth, and an on/off control valve controlled by the turbine control panel. Off–line washing is a manual operation because of the large number of manual valves on the turbine which need to be manipulated in order to perform an off–line wash.</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502" w:dyaOrig="4651">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75.1pt;height:232.55pt" filled="f" o:ole="">
            <v:imagedata r:id="rId29" o:title=""/>
          </v:shape>
          <o:OLEObject Type="Embed" ProgID="" ShapeID="ole_rId28" DrawAspect="Content" ObjectID="_1656697186" r:id="rId28"/>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8.1.12.1.3   Water Wash Skid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off–base water wash skid is used for injecting cleaning solution into the compressor for off–line cleaning. The skid contains a water pump, a detergent storage tank, piping, and a venturi eductor capable of delivering solution at the proper flow, pressure and mix ratio.</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 addition, the water wash skid is equipped with the following features: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Water storage tank with freeze protection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Immersion heaters to heat the water to 180°F (82°C)</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Enclosure for outdoor installation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Typical water wash skid features are shown in the illustration which follows.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502" w:dyaOrig="6163">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375.1pt;height:308.15pt" filled="f" o:ole="">
            <v:imagedata r:id="rId31" o:title=""/>
          </v:shape>
          <o:OLEObject Type="Embed" ProgID="" ShapeID="ole_rId30" DrawAspect="Content" ObjectID="_1985310378" r:id="rId30"/>
        </w:objec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8.1.13</w:t>
        <w:tab/>
        <w:t>Starting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8.1.13.1   Electric Motor Start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starting system uses an ac motor to bring the gas turbine to self-sustaining speed during the starting cycle. Power is transferred to the gas turbine via a hydraulic torque converter. Sequencing is accomplished by the gas turbine controls.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8.1.13.2   Cooldown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cooldown system provides uniform cooling of the rotor after shutdown. This is accomplished by furnishing oil from the alternating current motor-driven auxiliary lubrication oil pump to the hydraulic ratchet mounted on the torque converter. The hydraulic ratchet is an electro-hydraulic rotor turning device. Sequencing of the hydraulic ratchet is accomplished by the gas turbine controls with the use of position limit switches with reverse solenoids. The gas turbine is ready to restart, subject to all start permissives being cleared and the ability to re-initiate combustion (approximately 10% rated speed.)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8.1.14</w:t>
        <w:tab/>
        <w:t>Miscellaneous Parts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As a service to the customer and to facilitate an efficient installation of the gas turbine, GE provides for shipment of miscellaneous parts needed during field installation.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Shipment is in a single weather-tight cargo container. The plywood container, which can be opened from one end, is outfitted with shelves and bins for parts storage. The container comprises what amounts to a “mobile stockroom” and is designed for transport by truck or rail.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Within the container, each part is packed, identified with its own label or tag, and stowed in an assigned bin or shelf. A master inventory list furnished with the container provides the location of each part for ease in locating the item.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An additional box is furnished for the interconnecting piping.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360"/>
        <w:ind w:hanging="0" w:start="0"/>
        <w:jc w:val="start"/>
        <w:rPr>
          <w:b/>
          <w:u w:val="none"/>
          <w:lang w:eastAsia="en-CA"/>
        </w:rPr>
      </w:pPr>
      <w:r>
        <w:rPr>
          <w:b/>
          <w:u w:val="none"/>
          <w:lang w:eastAsia="en-CA"/>
        </w:rPr>
        <w:t>8.2</w:t>
        <w:tab/>
        <w:t>Generator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generator compartment has the same general appearance as the turbine compartment, and provides for maintenance and inspection via doors on the sides of the outdoor enclosure.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entire generator is mounted on a single fabricated base, which supports the pedestals, the inner and outer frames, and the brush rigging or the exciter. The base contains piping for oil supplies, conduit for wiring, and a number of components associated with the neutral leads. An illustration of the generator is shown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mc:AlternateContent>
          <mc:Choice Requires="wps">
            <w:drawing>
              <wp:anchor behindDoc="0" distT="0" distB="0" distL="114935" distR="114935" simplePos="0" locked="0" layoutInCell="1" allowOverlap="1" relativeHeight="91">
                <wp:simplePos x="0" y="0"/>
                <wp:positionH relativeFrom="column">
                  <wp:posOffset>4206240</wp:posOffset>
                </wp:positionH>
                <wp:positionV relativeFrom="paragraph">
                  <wp:posOffset>3383280</wp:posOffset>
                </wp:positionV>
                <wp:extent cx="731520" cy="182880"/>
                <wp:effectExtent l="5080" t="5080" r="5080" b="5080"/>
                <wp:wrapNone/>
                <wp:docPr id="8" name=""/>
                <a:graphic xmlns:a="http://schemas.openxmlformats.org/drawingml/2006/main">
                  <a:graphicData uri="http://schemas.microsoft.com/office/word/2010/wordprocessingShape">
                    <wps:wsp>
                      <wps:cNvSpPr/>
                      <wps:spPr>
                        <a:xfrm>
                          <a:off x="0" y="0"/>
                          <a:ext cx="731520" cy="18288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fillcolor="black" stroked="t" o:allowincell="f" style="position:absolute;margin-left:331.2pt;margin-top:266.4pt;width:57.55pt;height:14.3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114935" distR="114935" simplePos="0" locked="0" layoutInCell="1" allowOverlap="1" relativeHeight="92">
                <wp:simplePos x="0" y="0"/>
                <wp:positionH relativeFrom="column">
                  <wp:posOffset>5212080</wp:posOffset>
                </wp:positionH>
                <wp:positionV relativeFrom="paragraph">
                  <wp:posOffset>3291840</wp:posOffset>
                </wp:positionV>
                <wp:extent cx="548640" cy="182880"/>
                <wp:effectExtent l="5080" t="5080" r="5080" b="5080"/>
                <wp:wrapNone/>
                <wp:docPr id="9" name=""/>
                <a:graphic xmlns:a="http://schemas.openxmlformats.org/drawingml/2006/main">
                  <a:graphicData uri="http://schemas.microsoft.com/office/word/2010/wordprocessingShape">
                    <wps:wsp>
                      <wps:cNvSpPr/>
                      <wps:spPr>
                        <a:xfrm>
                          <a:off x="0" y="0"/>
                          <a:ext cx="548640" cy="18288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fillcolor="black" stroked="t" o:allowincell="f" style="position:absolute;margin-left:410.4pt;margin-top:259.2pt;width:43.15pt;height:14.35pt;mso-wrap-style:none;v-text-anchor:middle">
                <v:fill o:detectmouseclick="t" type="solid" color2="white"/>
                <v:stroke color="black" weight="9360" joinstyle="miter" endcap="flat"/>
                <w10:wrap type="none"/>
              </v:rect>
            </w:pict>
          </mc:Fallback>
        </mc:AlternateContent>
        <w:object w:dxaOrig="7548" w:dyaOrig="6177">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77.4pt;height:308.85pt" filled="f" o:ole="">
            <v:imagedata r:id="rId33" o:title=""/>
          </v:shape>
          <o:OLEObject Type="Embed" ProgID="" ShapeID="ole_rId32" DrawAspect="Content" ObjectID="_1961050638" r:id="rId32"/>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generator neutral leads are housed in the generator base. The line leads exit on the right side (as viewed from the collector end) of the generator stator frame near the top. A three phase non segregated bus duct connects the generator to the generator auxiliary compartment. The generator neutral tie is completely assembled in the factory and shipped with the generator. Neutral grounding equipment and neutral measurement current transformers are housed in the generator base (exciter end).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8.2.1</w:t>
        <w:tab/>
        <w:t>Rotor Design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rotor is a simple single-piece forging, pedestal mounted, with tilting pad bearings for smooth operation. The retaining ring is nonmagnetic 18 Cr 18 Mn stainless steel for low losses and high stress-corrosion resistance. The rings are shrunk onto the rotor body, thus eliminating any risk of top turn breakage. A snap ring is used to secure the retaining ring to the rotor body which minimizes the stresses in the tip of the retaining ring. An illustration of the rotor is provided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473" w:dyaOrig="3657">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73.65pt;height:182.85pt" filled="f" o:ole="">
            <v:imagedata r:id="rId35" o:title=""/>
          </v:shape>
          <o:OLEObject Type="Embed" ProgID="" ShapeID="ole_rId34" DrawAspect="Content" ObjectID="_1878154412" r:id="rId34"/>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Radial-flow fans are mounted on the centering ring at each end of the rotor. The fan is a high efficiency design, and provides cooling air for the stator winding and core. The rotor winding, which is a directly cooled radial flow design, is self-pumping and does not rely on the fan for air flow.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rotor winding fits in a rectangular slot and is retained by non-magnetic steel full-length wedges. Where cross slots are required on longer rotors, several wedges are used in each slot. The slot insulation is a simple J-shaped Nomex armor, which fits to the bottom of the slot. A class F epoxy glass laminate subslot cover locates the lowest turn of the winding. The turns are separated by epoxy glass and Nomex, and the winding is covered by a high-pressure resin laminate creepage block. Please see the field winding support illustration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473" w:dyaOrig="6897">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73.65pt;height:344.85pt" filled="f" o:ole="">
            <v:imagedata r:id="rId37" o:title=""/>
          </v:shape>
          <o:OLEObject Type="Embed" ProgID="" ShapeID="ole_rId36" DrawAspect="Content" ObjectID="_1043889467" r:id="rId36"/>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rotor slot armor, and all the insulation materials in contact with the winding, are full class F materials and are proven reliable materials through use on other generator designs.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rotor winding coils are round cornered, with a single braze in each end strap. This significantly reduces the number of parts in each coil and cuts the number of braze joints by a factor of four. This is typical of the type of production simplification which, in turn, leads to improved quality and reliability.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8.2.2</w:t>
        <w:tab/>
        <w:t>Stator Design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stator frame is divided into an inner and an outer section, both of which mount on a single base fabrication. The inner frame is a simple structure, designed to support the stator core and winding, while providing some guidance to the air flow in the machine. Mounted rigidly in the inner frame is the stator core made from grain-oriented silicon steel for low loss and high permeability. Reliability of core insulation is improved by applying a thermosetting varnish to the punchings. Isolation of the core vibration from the remainder of the structure is accomplished through the use of flexible pads between the feet on the inner frame and the base structure. The combined core and inner frame are designed to have a 4-nodal natural frequency well removed from 100 Hz or 120 Hz.</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outer frame is a simple fabricated enclosure, which supports the roof and cooler enclosure and acts as an air guide to complete the ventilation paths. The outer frame further acts as a soundproof enclosure to keep noise levels low. Since the rotor is pedestal mounted, the end shields are simple structures. As with the inner frame, the outer frame is designed to be free of resonances below 80 Hz.</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stator winding is a conventional lap-wound design. Insulating materials are those used since the early 1970’s, thus maintaining the proven reliability record. The materials are all designed and tested to provide reliable performance at class F temperatures for the life of the machine. Stator bar copper is stranded and insulated with class F materials and is Roebelled for minimum losses. The ground wall insulation is a proven class F system. The exterior of the bar is taped with a conducting armor in the slot section, and a semiconducting grading system is applied to the end arms. In this way the bar is fully protected from the effects of high electrical voltage gradients.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bars are secured in the slots with fillers and top-ripple springs to restrain the bars radially, and with side-ripple springs to increase friction between the bar and the slot wall. The side-ripple springs are also conducting to ensure proper grounding of the bar surface. Electrical connection to the top and bottom bars are made via a brazed connection with solid copper blocks to provide assurance that the connections will not loosen or  overheat. Please refer to the stator slot section illustration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473" w:dyaOrig="618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73.65pt;height:309.45pt" filled="f" o:ole="">
            <v:imagedata r:id="rId39" o:title=""/>
          </v:shape>
          <o:OLEObject Type="Embed" ProgID="" ShapeID="ole_rId38" DrawAspect="Content" ObjectID="_1687022490" r:id="rId38"/>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One design improvement made in recent years changed the manner in which the series connection between top and bottom bars is made. Until recently this was accomplished by brazing individual strands together and then solidifying the package with an epoxy. The improved system is to braze all the strands together in a solid block and then to braze top and bottom bars together with solid copper plates. This provides a solid electrical connection and a rugged mechanical joint.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end winding support system is the proven approach used on conventionally cooled stators on all sizes built by GE. This system utilizes resin impregnated conforming felt pads and blocks, along with resin-impregnated glass woven ties. The complete end winding structure has been vibration tested to ensure freedom from critical resonances.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8.2.3</w:t>
        <w:tab/>
        <w:t>Totally Enclosed Water-to-Air Cooled (TEWAC)</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generator is cooled by a recirculating air stream cooled by air-to-water heat exchangers. Cold air is initially drawn through a plenum in the frame into the generator radial-flow fans on each end of the generator rotor assembly. Air is then forced by the fans into the air gap and also around the stator core. The stator is divided axially into sections by the web plates and outer wrapper so that in the center section cold air is forced from the outside of the core toward the gap through the radial air ducts, and in the end section it passes from the air gap toward the outside of the core through the radial ducts. This arrangement results in substantially uniform cooling of the windings and core.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8.2.4</w:t>
        <w:tab/>
        <w:t>Lubrication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Lubrication for the generator bearings is supplied from the turbine lubrication system. Generator bearing oil feed and drain interconnecting lines are provided, and have a flanged connection at the turbine end of the generator package for connection to the turbine package.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8.2.5</w:t>
        <w:tab/>
        <w:t>Instrumentation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Pressure switches are provided in the lube oil feed piping at the aft end of the generator for monitoring oil pressure.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Six resistance-type temperature detectors, two per phase, are installed in the generator stator winding, with leads brought out to the junction box.</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Two RTDs are installed in the hot gas path of the cooling air.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Two RTDs are installed in the cold gas path of the cooling air.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Three velocity-type vibration detectors are provided on the pedestal bearing caps, one at the turbine end and two at the collector end.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Proximity probe assemblies are supplied on each bearing pedestal.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8.2.6</w:t>
        <w:tab/>
        <w:t>Switchgear Compartment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switchgear compartment is a walk–in weather–protected enclosure made of carbon steel with a steel frame around the perimeter designed to support the enclosure. The walls, doors, floor, and ceiling are made of steel panels which are bolted together. The exterior is painted beige with rust inhibited primer and the interior is painted gray.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switchgear is convection or forced-air cooled. In addition, electric space heaters are provided for moisture control.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switchgear compartment is divided into two sections, a high voltage section containing the energized high voltage electrical conductors and a low voltage maintenance walk–in section as described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8.2.6.1</w:t>
        <w:tab/>
        <w:t>High Voltage Section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generator power goes straight through the high voltage section with no phase rotation change. The bus runs from the generator incoming non–segregated phase flange connection through the generator breaker (52G) to the customer line connection. Access to this compartment is through bolted access doors. All current carrying conductors are copper.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high voltage section contains the following equipment: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0" w:start="2520"/>
        <w:rPr/>
      </w:pPr>
      <w:r>
        <w:rPr/>
        <w:t xml:space="preserve">High voltage flange connecting to the generator non–segregated </w:t>
        <w:br/>
        <w:tab/>
        <w:tab/>
        <w:tab/>
        <w:tab/>
        <w:t>phase bus (500 lb capacity)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520"/>
        <w:rPr/>
      </w:pPr>
      <w:r>
        <w:rPr/>
        <w:t>Potential transformers (VT1, VT2)</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Current transformers (CTs)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Provision for auxiliary power tap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Lightning arresters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High voltage connecting to the line (utility)</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Non seg bus duct outgoing connection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8.2.6.2</w:t>
        <w:tab/>
        <w:t>Low Voltage Section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low voltage maintenance walk–in section has, a low voltage distribution panel, lights, convenience receptacle, and emergency light. Access to this section is through hinged door(s). The compartment provides access to the following equipment: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1000 MVA/5000 amp generator circuit breaker (52G)</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Control cable terminations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Low voltage output of the VTs and CTs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8.2.6.3</w:t>
        <w:tab/>
        <w:t>Interface Points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primary interface points to the switchgear compartment are: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0" w:start="2520"/>
        <w:rPr/>
      </w:pPr>
      <w:r>
        <w:rPr/>
        <w:t xml:space="preserve">Generator power connection – end/side, non–segregated phase bus </w:t>
        <w:br/>
        <w:tab/>
        <w:tab/>
        <w:tab/>
        <w:tab/>
        <w:t>flange connection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120" w:after="0"/>
        <w:ind w:hanging="0" w:start="2520"/>
        <w:rPr/>
      </w:pPr>
      <w:r>
        <w:rPr/>
        <w:t>Line power connection (to step–up transformer) – top/roof, non–</w:t>
        <w:br/>
        <w:tab/>
        <w:tab/>
        <w:tab/>
        <w:tab/>
        <w:t>segregated phase bus flange connection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120" w:after="0"/>
        <w:ind w:hanging="0" w:start="2520"/>
        <w:rPr/>
      </w:pPr>
      <w:r>
        <w:rPr/>
        <w:t xml:space="preserve">Provision for auxiliary power tap – bottom/floor, entry through </w:t>
        <w:br/>
        <w:tab/>
        <w:tab/>
        <w:tab/>
        <w:tab/>
        <w:t>gland plate</w:t>
      </w:r>
      <w:r>
        <w:br w:type="page"/>
      </w:r>
    </w:p>
    <w:p>
      <w:pPr>
        <w:pStyle w:val="ListBullet"/>
        <w:widowControl w:val="false"/>
        <w:numPr>
          <w:ilvl w:val="0"/>
          <w:numId w:val="0"/>
        </w:numPr>
        <w:tabs>
          <w:tab w:val="clear" w:pos="3600"/>
          <w:tab w:val="clear" w:pos="4320"/>
          <w:tab w:val="clear" w:pos="5760"/>
          <w:tab w:val="clear" w:pos="7200"/>
          <w:tab w:val="left" w:pos="720" w:leader="none"/>
          <w:tab w:val="left" w:pos="1440" w:leader="none"/>
          <w:tab w:val="left" w:pos="2160" w:leader="none"/>
          <w:tab w:val="left" w:pos="2520" w:leader="none"/>
          <w:tab w:val="left" w:pos="2880" w:leader="none"/>
        </w:tabs>
        <w:spacing w:before="120" w:after="0"/>
        <w:ind w:hanging="360" w:start="360" w:end="0"/>
        <w:rPr/>
      </w:pPr>
      <w:r>
        <w:rPr/>
      </w:r>
    </w:p>
    <w:p>
      <w:pPr>
        <w:pStyle w:val="Heading2"/>
        <w:keepNext w:val="false"/>
        <w:widowControl w:val="false"/>
        <w:numPr>
          <w:ilvl w:val="0"/>
          <w:numId w:val="0"/>
        </w:numPr>
        <w:pBdr>
          <w:top w:val="single" w:sz="6" w:space="3" w:color="000000"/>
        </w:pBdr>
        <w:tabs>
          <w:tab w:val="clear" w:pos="4104"/>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360"/>
        <w:ind w:hanging="0" w:start="0"/>
        <w:jc w:val="start"/>
        <w:rPr>
          <w:b/>
          <w:u w:val="none"/>
          <w:lang w:eastAsia="en-CA"/>
        </w:rPr>
      </w:pPr>
      <w:r>
        <w:rPr>
          <w:b/>
          <w:u w:val="none"/>
          <w:lang w:eastAsia="en-CA"/>
        </w:rPr>
        <w:t>8.3</w:t>
        <w:tab/>
        <w:t>Gas Turbine-Generator Controls and Electric Auxiliaries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hanging="2160" w:start="2160" w:end="0"/>
        <w:jc w:val="start"/>
        <w:rPr>
          <w:b/>
        </w:rPr>
      </w:pPr>
      <w:r>
        <w:rPr>
          <w:b/>
        </w:rPr>
        <w:tab/>
        <w:t>8.3.1</w:t>
        <w:tab/>
        <w:t>Packaged Electronic and Electrical Control Compartment (PEECC)</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PEECC is a completely enclosed compartment suitable for outdoor installation. Heating, air conditioning, compartment lighting, power outlets, temperature alarms, and smoke detectors are provided for convenience and protection of the equipment in the PEECC.</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Electrical monitoring and control of the unit are accomplished by the turbine control panel and the generator control panel, which are mounted on a common skid and located in the PEECC. The customer control local interface &lt;I&gt; is also located in the PEECC. In addition to the control systems, the PEECC also houses the gas turbine motor control centers and batteries, rack and charger (s). The arrangement of the equipment is shown in the typical compartment layout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jc w:val="start"/>
        <w:rPr/>
      </w:pPr>
      <w:r>
        <w:rPr/>
        <w:object w:dxaOrig="10022" w:dyaOrig="7214">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501.1pt;height:360.7pt" filled="f" o:ole="">
            <v:imagedata r:id="rId41" o:title=""/>
          </v:shape>
          <o:OLEObject Type="Embed" ProgID="" ShapeID="ole_rId40" DrawAspect="Content" ObjectID="_2028873357" r:id="rId40"/>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pPr>
      <w:r>
        <w:rPr>
          <w:b/>
        </w:rPr>
        <w:tab/>
        <w:t>8.3.2</w:t>
        <w:tab/>
        <w:t>SPEEDTRONIC</w:t>
      </w:r>
      <w:r>
        <w:rPr>
          <w:rStyle w:val="FootnoteReference"/>
          <w:rFonts w:eastAsia="Symbol" w:cs="Symbol" w:ascii="Symbol" w:hAnsi="Symbol"/>
          <w:b/>
        </w:rPr>
        <w:footnoteReference w:customMarkFollows="1" w:id="2"/>
        <w:t></w:t>
      </w:r>
      <w:r>
        <w:rPr>
          <w:b/>
        </w:rPr>
        <w:t xml:space="preserve"> Mark V Gas Turbine Control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gas turbine control system is a state–of–the–art Triple Modular Redundant (TMR) microprocessor control system. The core of this system is the three separate but identical controllers called &lt;R&gt;, &lt;S&gt;, and &lt;T&gt;. All critical control algorithms, protective functions, and sequencing are performed by these processors. In so doing, they also acquire the data needed to generate outputs to the turbine. Protective outputs are routed through the &lt;P&gt; protective module consisting of triple redundant processors &lt;X&gt;, &lt;Y&gt;, and &lt;Z&gt;, which also provide independent protection for certain critical functions such as overspeed.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three control processors, &lt;R&gt;, &lt;S&gt;, and &lt;T&gt;, acquire data from triple–redundant sensors as well as from dual or single sensors. All critical sensors for continuous controls, as well as protection, are triple–redundant. Other sensors are dual or single devices fanned out to all three control processors. The extremely high reliability achieved by TMR control systems is due in considerable measure to the use of triple sensors for all critical parameters.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8.3.2.1</w:t>
        <w:tab/>
        <w:t>Electronics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All of the microprocessor–based controls have a modular design for ease of maintenance. Each module or controller contains up to five cards, including a power supply. Multiple microprocessors reside in each controller which distribute the processing for maximum performance. Individual microprocessors are dedicated to specific I/O assignments, application software communications, etc., and the processing is performed in a real–time, multi–tasking operating system. Communication between the controller's five cards is accomplished with ribbon cables and gas–tight connectors. Communication between individual controllers is performed on high–speed Arcnet links.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8.3.2.2</w:t>
        <w:tab/>
        <w:t>Shared Voting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Software Implemented Fault Tolerance (SIFT) and hardware voting are utilized by the SPEEDTRONIC Mark V TMR control system. At the beginning of each computing time frame, each controller independently reads its sensors and exchanges these data with the data from the other two controllers. The median value of each analog input is calculated in each controller and then used as the resultant control parameter for that controller. Diagnostic algorithms monitor a predefined deadband for each analog input to each controller, and if one of the analog inputs deviates from this deadband, a diagnostic alarm is initiated to advise maintenance personnel.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Contact inputs are voted in a similar manner. Each contact input connects to a single terminal point and is parallel wired to three contact input cards. Each  card optically isolates the 125 or 24 V dc input, and then a dedicated 80196 processor in each card time stamps the input to within 1 ms resolution. These signals are then transmitted to the &lt;R&gt;, &lt;S&gt;, and &lt;T&gt; controllers for voting and execution of the application software. This technique eliminates any single point failure in the software voting system. Redundant contact inputs for certain functions such as low lube oil pressure are connected to three separate terminal points and then individually voted. With this SIFT technique, multiple failures of contact or analog inputs can be accepted by the control system without causing an erroneous trip command from any of the three controllers as long as the failures are not from the same circuit.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Another form of voting is accomplished through hardware voting of analog outputs. Three coil servos on the valve actuators are separately driven from each controller, and the position feedback is provided by three LVDTs. The normal position of each valve is the average of the three commands from &lt;R&gt;, &lt;S&gt;, and &lt;T&gt;. The resultant averaging circuit has sufficient gain to override a gross failure of any controller, such as a controller output being driven to saturation. Diagnostics monitor the servo coil currents and the D/A converters in addition to the LVDTs.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8.3.2.3</w:t>
        <w:tab/>
        <w:t>PC Based Operator Interface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operator interface, &lt;I&gt;, consists of a PC, color monitor, cursor positioning device, keyboard, and printer. The keyboard is primarily used for maintenance such as editing application software or alarm messages. While the keyboard is not necessary, it is  convenient for accessing displays with dedicated function keys and adjusting setpoints by entering a numeric value rather than issuing a manual raise/lower command. Setpoint and logic commands require an initial selection which is followed by a confirming execute command.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8.3.2.4</w:t>
        <w:tab/>
        <w:t>Direct Sensor Interface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Input/output (I/O) is designed for direct interface to turbine and generator devices such as thermocouples, RTDs and vibration sensors, flame sensors, and proximity probes. Direct monitoring of these sensors eliminates the cost and potential reliability factors associated with interposing transducers and instrumentation. All of the resultant data are visible to the operator from the SPEEDTRONIC Mark V operator interface.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8.3.2.5</w:t>
        <w:tab/>
        <w:t>Built–in Diagnostics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control system has extensive built–in diagnostics and includes “power–up”, background and manually initiated diagnostic routines capable of identifying both control panel, sensor, and output device faults. These faults are identified down to the board level for the panel, and to the circuit level for the sensor or actuator component. On–line replacement of boards is made possible by the triply redundant design and is also available for those sensors where physical access and system isolation are feasible.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8.3.2.6</w:t>
        <w:tab/>
        <w:t>Generator Interface and Control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primary point of control for the generator is through the operator interface. However, the control system is integrated with the EX2000BR brushless excitation system over an Arcnet local area network (LAN). The SPEEDTRONIC Mark V is used to control megawatt output and the EX2000BR is used to control megavar output. The generator control panel is used to provide primary protection for the generator. This protection is further augmented by protection features located in the EX2000BR and the SPEEDTRONIC Mark V.</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8.3.2.7</w:t>
        <w:tab/>
        <w:t>Synchronizing Control and Monitoring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Automatic synchronization is performed by the &lt;X&gt;, &lt;Y&gt;, and &lt;Z&gt; cards in conjunction with the &lt;R&gt;, &lt;S&gt;, and &lt;T&gt; controllers. The controllers match speed and voltage and issue a command to close the breaker based on a predefined breaker closure time. Diagnostics monitor the actual breaker closure time and self–correct each command.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Another feature of the system is the ability to synchronize manually via the operator interface instead of using the traditional synchroscope on the generator protective panel. Operators can choose one additional mode of operation by selecting the monitor mode, which automatically matches speed and voltage, but waits for the operator to review all pertinent data on the CRT display before issuing a breaker close command.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8.3.2.8</w:t>
        <w:tab/>
        <w:t>Architecture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SPEEDTRONIC Mark V control configuration diagram depicts several advantages for increased reliability and ease of interface. For example: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Multiple unit control from a single &lt;I&gt;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Back–up display wired directly to &lt;R&gt;, &lt;S&gt;, and &lt;T&gt; controllers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Hard wire protective signal from &lt;R&gt; &lt;S&gt; &lt;T&gt; controllers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Additional protective processors &lt;X&gt;, &lt;Y&gt;, &lt;Z&gt;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protective block diagram shows the built-in redundancy/reliability of the SPEEDTRONIC Mark V control system. For example, if there is an overspeed condition requiring a trip of the unit, the first line of defense would be the primary overspeed protection via the &lt;R&gt;, &lt;S&gt;, and &lt;T&gt; controllers. All three trip signals then pass to the &lt;P&gt;protective module trip card where two out of three voting occurs prior to sending the automatic fuel supply trip signal. The secondary overspeed protection is via the &lt;X&gt;, &lt;Y&gt;, and &lt;Z&gt; protective control processor cards which similarly send their independent trip signals to the &lt;P&gt;protective module trip card for voting.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jc w:val="start"/>
        <w:rPr/>
      </w:pPr>
      <w:r>
        <w:rPr/>
        <w:object w:dxaOrig="10022" w:dyaOrig="12182">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501.1pt;height:609.1pt" filled="f" o:ole="">
            <v:imagedata r:id="rId43" o:title=""/>
          </v:shape>
          <o:OLEObject Type="Embed" ProgID="" ShapeID="ole_rId42" DrawAspect="Content" ObjectID="_1926662184" r:id="rId42"/>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jc w:val="start"/>
        <w:rPr/>
      </w:pPr>
      <w:r>
        <w:rPr/>
        <w:object w:dxaOrig="10022" w:dyaOrig="12182">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501.1pt;height:609.1pt" filled="f" o:ole="">
            <v:imagedata r:id="rId45" o:title=""/>
          </v:shape>
          <o:OLEObject Type="Embed" ProgID="" ShapeID="ole_rId44" DrawAspect="Content" ObjectID="_663948541" r:id="rId44"/>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8.3.2.9</w:t>
        <w:tab/>
        <w:t>Scope of Control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SPEEDTRONIC Mark V control system provides complete monitoring control and protection for gas turbine–generator and auxiliary systems. The scope of control is broken down into three (3) sections: Control, Sequencing and Protection.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Control</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Start–up control</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Speed/load setpoint and governor</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Temperature Control</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Guide vane control</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Fuel control</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Generator excitation setpoints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Synchronizing control (speed/voltage matching)</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Emissions control</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Sequencing</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GT auxiliary systems (MCC starters)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Start–up, running and shutdown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Purge and ignition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Alarm management</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Synchronizing</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Hydraulic ratchet</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Maintain starts, trips and hours counters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Event counters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3600" w:end="0"/>
        <w:rPr/>
      </w:pPr>
      <w:r>
        <w:rPr/>
        <w:t>Manually initiated starts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3600" w:end="0"/>
        <w:rPr/>
      </w:pPr>
      <w:r>
        <w:rPr/>
        <w:t>Fired starts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3600" w:end="0"/>
        <w:rPr/>
      </w:pPr>
      <w:r>
        <w:rPr/>
        <w:t>Fast load starts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3600" w:end="0"/>
        <w:rPr/>
      </w:pPr>
      <w:r>
        <w:rPr/>
        <w:t>Emergency trips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Time meters</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Fired time</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DCS interface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Protection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Overspeed, redundant electronic</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Overtemperature (including generator)</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Vibration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Loss of flame</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Combustion monitor</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Redundant sensor CO2 fire protection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Low lube oil pressure, high lube oil temperature, etc.</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8.3.2.10 Gas Turbine Plant Operating Modes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8.3.2.10.1   Starting/Loading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All starting is done automatically, with the operator given the opportunity to hold the start–up sequence at either the crank (pre–ignition) or fire (post–ignition, pre–accelerate) points of the start–up. An “Auto” mode selection results in a start without any holds.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Either before issuing a start command, or during the start, the operator may make the following selections: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Select or disable the automatic synchronization capability of the SPEEDTRONIC Mark V control. Automatic synchronization utilizes the microsynchronizer to provide accurate and repeatable breaker closures based on phase angle, slip, the rate of change of slip, and the response time of the breaker which is in the system memory.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Select preselected load, base load or peak load. If a selection is made the unit will automatically load to the selected point and control there. If no selection is made the unit will load to a low load referred to as “Spinning Reserve” automatically upon synchronization; be it automatic or manual. The turbine governor is automatically regulated to maintain the megawatt setting assigned to “Spinning Reserve”.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8.3.2.10.2   Operating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Once the unit is on line, it may be controlled either manually or automatically from the control operator interface. Manual control is provided by the governor raise/lower control displayed on the operator interface screen. Automatic operation is switched on when the operator selects a load point from the turbine control interface.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For a fully automatic start with automatic loading to base load, the operator selects the “Auto” operating mode, enables auto synchronization and selects “Base” load. Given a “Start” signal, the unit will then start, synchronize and load to Base load with no further input on the part of the operator.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8.3.2.10.3   Shutdown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On shutdown, the system will automatically unload and return to ratchet motor operation. The unit will stay on ratchet until an operator turns it off.</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8.3.2.11 Communications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8.3.2.11.1   Internal Communications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Internal communications consist of a high speed Arcnet link. The SPEEDTRONIC Mark V’s internal Arcnet communication link is isolated from external communication links at the &lt;I&gt; processor.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8.3.2.11.2   External Communications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open architecture of the &lt;I&gt; processor facilitates a wide range of external communication links.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8.3.2.11.3   MODBUS Protocol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MODBUS protocol is a two–way serial data link used as an interface between a GE SPEEDTRONIC Mark V turbine control system and a customer’s Distributed Control System (DCS). MODBUS protocol offers a high degree of flexibility to the end–user. A standard list of points used to communicate with the Distributed Control System (DCS) is entered at the factory. An operator or GE field engineer can modify this list of points at any time. The different points can be installed quickly on any unit – typically, in fifteen minutes or less.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8.3.2.11.3.1   Link Layer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&lt;I&gt; operator interface communications port is configured as a slave station with programmable station ID. The customer’s DCS computer is assumed to be the master station requesting data from or sending data to the turbine control. Since multiple slave stations are allowed on the link, the turbine control port will send data upon request only. No periodic transmission of data is possible. A maximum of eight units may be connected over one MODBUS link when multi–unit &lt;I&gt; functionality is implemented; one or two units for this protocol is recommended.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MODBUS protocol consists of a set of messages initiated by the master station. Each message contains an address indicating which slave station is to respond (broadcast messages are possible), a message code, the data and a CRC checksum. The transmission mode is RTU (Remote Terminal Unit), and the ASCII mode is not supported.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ab/>
        <w:t>8.3.2.11.3.2   Application Layer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communication port is fully programmable to allow customizing of the data being requested by a DCS or the commands being sent to the turbine. Using MODBUS terminology, there are three types of data:</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Inputs (not used, same function provided by outputs/coils)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Outputs/coils (logic—“Read” &amp; “Write”)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Registers (logic &amp; analog—“Read” &amp; “Write”)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These data arrays can be programmed to provide the critical turbine data for the DCS. The input array (not used for this application) contains logic data that the DCS can “Read” from but not “Write” to. The output array contains logic data (LDATA) that the DCS can both “Read” and “Write”. The register array contains either analog values (IDATA) (ie. 16 bit quantities) or packed logicals (LDATA) (ie. 16 logicals per register). Registers are “Read” or “Write”.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DCS can send logical commands to the turbine control such as selecting START, STOP, RAISE, LOWER, ETC. A site specific list is created for each job of the appropriate remote command signals that will be accepted from the DCS. An automatic reset of the array protects the turbine against sticky bits or a failed link where a command such as “raise target” could fail activated. The automatic reset forces the DCS to repeatedly send raise/lower commands until the desired level is reached.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It is up to the master DCS to control the frequency of data transmissions. Turbine control data is updated at rates between 8 hz and 1 hz depending on how many data points are assigned to the MODBUS list.</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8.3.2.12 Operator Displays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Two (2) out of the typical forty (40) available displays are shown on the following pages. The first screen is the main menu display. From the main menu all operation/maintenance and user defined screens can be reached. The main menu screen is made up of three (3) major areas: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List of available displays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0" w:start="2520"/>
        <w:rPr/>
      </w:pPr>
      <w:r>
        <w:rPr/>
        <w:t xml:space="preserve">Alarm field shows the three (3) latest unacknowledged alarms </w:t>
        <w:br/>
        <w:tab/>
        <w:tab/>
        <w:tab/>
        <w:tab/>
        <w:t>(Black band near bottom of the screen)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120" w:after="0"/>
        <w:ind w:hanging="0" w:start="2520"/>
        <w:rPr/>
      </w:pPr>
      <w:r>
        <w:rPr/>
        <w:t>Function control keys (bottom of screen)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jc w:val="start"/>
        <w:rPr/>
      </w:pPr>
      <w:r>
        <w:rPr/>
        <w:object w:dxaOrig="7502" w:dyaOrig="5558">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375.1pt;height:277.9pt" filled="f" o:ole="">
            <v:imagedata r:id="rId47" o:title=""/>
          </v:shape>
          <o:OLEObject Type="Embed" ProgID="" ShapeID="ole_rId46" DrawAspect="Content" ObjectID="_1924410881" r:id="rId46"/>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second screen shown is a typical operating screen. Note that the alarm list and function control key fields are also shown below the primary display field on this screen. Control target values are shown in the primary display field. Selecting and executing commands is simple. For example, to go to baseload, you would move the cursor to the “Baseload” target and click on it. Then before the control times out, you would move the cursor to the “Execute Command” target and click on it. The “Execute Command” step protects against accidental activation of the wrong command that might occur with a one step (point/click) command. Signals that require an Execute command in order to be activated are: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Start</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Stop</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Operation Selection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Off</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Crank</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Fire</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Auto</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Remote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Load Selection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Preselected Load</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Base</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Peak</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Guide Vane Control</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Temp Control Off</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Temp Control On</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Governor Type Selection</w:t>
      </w:r>
    </w:p>
    <w:p>
      <w:pPr>
        <w:pStyle w:val="ListDash"/>
        <w:widowControl w:val="false"/>
        <w:numPr>
          <w:ilvl w:val="0"/>
          <w:numId w:val="7"/>
        </w:numPr>
        <w:tabs>
          <w:tab w:val="left" w:pos="720" w:leader="none"/>
          <w:tab w:val="left" w:pos="1440" w:leader="none"/>
          <w:tab w:val="left" w:pos="2160" w:leader="none"/>
          <w:tab w:val="left" w:pos="2880" w:leader="none"/>
          <w:tab w:val="left" w:pos="3600" w:leader="none"/>
        </w:tabs>
        <w:ind w:hanging="0" w:start="2880" w:end="0"/>
        <w:rPr/>
      </w:pPr>
      <w:r>
        <w:rPr/>
        <w:t>Droop (nominal 4%)</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502" w:dyaOrig="7502">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375.1pt;height:375.1pt" filled="f" o:ole="">
            <v:imagedata r:id="rId49" o:title=""/>
          </v:shape>
          <o:OLEObject Type="Embed" ProgID="" ShapeID="ole_rId48" DrawAspect="Content" ObjectID="_1787588347" r:id="rId48"/>
        </w:objec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8.3.3</w:t>
        <w:tab/>
        <w:t>Bently Nevada 3300 Monitoring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gas turbine and generator are equipped with orthogonal proximity probes at each bearing to detect radial motion of the shaft relative to the bearing. Axial position of the gas turbine rotor is sensed by two axial position proximity probes. Each probe is connected to a proximitor.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Bently Nevada 3300 Monitor is a 19 in., eight position (six available), panel mount rack containing one dual channel monitor card for each of the two turbine rotor axial position probes, and one dual channel monitor card for the radial X-Y probes for each turbine and generator bearing. The radial bearing monitor provides values for the overall amplitude.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Features of the system include:</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Card mounted LCD displays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before="0" w:after="0"/>
        <w:ind w:hanging="0" w:start="2520"/>
        <w:rPr/>
      </w:pPr>
      <w:r>
        <w:rPr/>
        <w:t xml:space="preserve">Alert and danger relay outputs – one pair for the axial position </w:t>
        <w:br/>
        <w:tab/>
        <w:tab/>
        <w:tab/>
        <w:tab/>
        <w:t>monitor and one pair which is shared by all the radial monitors</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AC power supply</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KeyPhasor</w:t>
      </w:r>
    </w:p>
    <w:p>
      <w:pPr>
        <w:pStyle w:val="ListBullet"/>
        <w:widowControl w:val="false"/>
        <w:numPr>
          <w:ilvl w:val="0"/>
          <w:numId w:val="5"/>
        </w:numPr>
        <w:tabs>
          <w:tab w:val="clear" w:pos="2520"/>
          <w:tab w:val="clear" w:pos="3600"/>
          <w:tab w:val="clear" w:pos="4320"/>
          <w:tab w:val="clear" w:pos="5760"/>
          <w:tab w:val="clear" w:pos="7200"/>
          <w:tab w:val="left" w:pos="720" w:leader="none"/>
          <w:tab w:val="left" w:pos="1440" w:leader="none"/>
          <w:tab w:val="left" w:pos="2160" w:leader="none"/>
          <w:tab w:val="left" w:pos="2880" w:leader="none"/>
        </w:tabs>
        <w:spacing w:lineRule="auto" w:line="360" w:before="0" w:after="0"/>
        <w:ind w:hanging="0" w:start="2520"/>
        <w:rPr/>
      </w:pPr>
      <w:r>
        <w:rPr/>
        <w:t>Available 4-20 ma output of overall vibration or axial position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8.3.4</w:t>
        <w:tab/>
        <w:t>Motor Control Center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motor control center contains circuit protective devices and power distribution equipment to supply electrical power to all packaged power plant devices as defined on the electrical one line diagram. The motor control center is manufactured and tested in accordance with NEMA ICS–2 and UL Standard No. 845. Vertical sections and individual units will be UL (CSA) Labeled where possible. The motor control center is located in the PEECC.</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8.3.5</w:t>
        <w:tab/>
        <w:t>Generator Protection Panel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heart of the generator protection panel is the digital multifunction relay integration with the gas turbine control system panel. The generator protection panel incorporates this feature along with generator metering and watt and VAR transducers for turbine control.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following page presents a typical one-line diagram for the generator protection panel. The diagram and the tables which follow it illustrate the digital protection features and metering. For job-specific details please refer to the oneline diagram in the drawings section of the proposal.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jc w:val="start"/>
        <w:rPr/>
      </w:pPr>
      <w:r>
        <w:rPr/>
        <w:object w:dxaOrig="10022" w:dyaOrig="10526">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501.1pt;height:526.3pt" filled="f" o:ole="">
            <v:imagedata r:id="rId51" o:title=""/>
          </v:shape>
          <o:OLEObject Type="Embed" ProgID="" ShapeID="ole_rId50" DrawAspect="Content" ObjectID="_1027227276" r:id="rId50"/>
        </w:objec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720" w:end="0"/>
        <w:jc w:val="start"/>
        <w:rPr/>
      </w:pPr>
      <w:r>
        <w:rPr>
          <w:b/>
        </w:rPr>
        <w:tab/>
      </w:r>
      <w:r>
        <w:rPr/>
        <w:t>8.3.5.1</w:t>
        <w:tab/>
        <w:t>Digital Generator Protection (DGP) Features</w:t>
      </w:r>
    </w:p>
    <w:tbl>
      <w:tblPr>
        <w:tblW w:w="7200" w:type="dxa"/>
        <w:jc w:val="start"/>
        <w:tblInd w:w="2250" w:type="dxa"/>
        <w:tblLayout w:type="fixed"/>
        <w:tblCellMar>
          <w:top w:w="0" w:type="dxa"/>
          <w:start w:w="0" w:type="dxa"/>
          <w:bottom w:w="0" w:type="dxa"/>
          <w:end w:w="0" w:type="dxa"/>
        </w:tblCellMar>
      </w:tblPr>
      <w:tblGrid>
        <w:gridCol w:w="5580"/>
        <w:gridCol w:w="1620"/>
      </w:tblGrid>
      <w:tr>
        <w:trPr/>
        <w:tc>
          <w:tcPr>
            <w:tcW w:w="5580" w:type="dxa"/>
            <w:tcBorders>
              <w:top w:val="single" w:sz="4" w:space="0" w:color="000000"/>
              <w:start w:val="single" w:sz="4" w:space="0" w:color="000000"/>
              <w:bottom w:val="single" w:sz="4" w:space="0" w:color="000000"/>
              <w:end w:val="single" w:sz="4" w:space="0" w:color="000000"/>
            </w:tcBorders>
          </w:tcPr>
          <w:p>
            <w:pPr>
              <w:pStyle w:val="TableHead"/>
              <w:spacing w:before="40" w:after="40"/>
              <w:rPr/>
            </w:pPr>
            <w:r>
              <w:rPr/>
              <w:t>Measurement</w:t>
            </w:r>
          </w:p>
        </w:tc>
        <w:tc>
          <w:tcPr>
            <w:tcW w:w="1620" w:type="dxa"/>
            <w:tcBorders>
              <w:top w:val="single" w:sz="4" w:space="0" w:color="000000"/>
              <w:start w:val="single" w:sz="4" w:space="0" w:color="000000"/>
              <w:bottom w:val="single" w:sz="4" w:space="0" w:color="000000"/>
              <w:end w:val="single" w:sz="4" w:space="0" w:color="000000"/>
            </w:tcBorders>
          </w:tcPr>
          <w:p>
            <w:pPr>
              <w:pStyle w:val="TableHead"/>
              <w:keepNext w:val="true"/>
              <w:widowControl/>
              <w:spacing w:before="40" w:after="40"/>
              <w:jc w:val="center"/>
              <w:rPr/>
            </w:pPr>
            <w:r>
              <w:rPr/>
              <w:t>Value</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Overexcitation</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24</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Undervoltage</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27G</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Reverse Power / Anti-Motoring</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32-1</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Loss of Excitation</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40-1,2</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Current Unbalance / Negative Phase Sequence</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46</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System Phase Fault</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51V</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Overvoltage</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59</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Stator Ground Detection</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64G/59GN</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Over Frequency</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81O-1,2</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Differential</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87G</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Voltage Transformer Fuse Failure</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VTFF</w:t>
            </w:r>
          </w:p>
        </w:tc>
      </w:tr>
    </w:tbl>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pPr>
      <w:r>
        <w:rPr/>
        <w:tab/>
        <w:tab/>
        <w:t>8.3.5.2</w:t>
        <w:tab/>
        <w:t>Generator Digital Multimeter</w:t>
      </w:r>
    </w:p>
    <w:tbl>
      <w:tblPr>
        <w:tblW w:w="7200" w:type="dxa"/>
        <w:jc w:val="start"/>
        <w:tblInd w:w="2250" w:type="dxa"/>
        <w:tblLayout w:type="fixed"/>
        <w:tblCellMar>
          <w:top w:w="0" w:type="dxa"/>
          <w:start w:w="0" w:type="dxa"/>
          <w:bottom w:w="0" w:type="dxa"/>
          <w:end w:w="0" w:type="dxa"/>
        </w:tblCellMar>
      </w:tblPr>
      <w:tblGrid>
        <w:gridCol w:w="5580"/>
        <w:gridCol w:w="1620"/>
      </w:tblGrid>
      <w:tr>
        <w:trPr/>
        <w:tc>
          <w:tcPr>
            <w:tcW w:w="5580" w:type="dxa"/>
            <w:tcBorders>
              <w:top w:val="single" w:sz="4" w:space="0" w:color="000000"/>
              <w:start w:val="single" w:sz="4" w:space="0" w:color="000000"/>
              <w:bottom w:val="single" w:sz="4" w:space="0" w:color="000000"/>
              <w:end w:val="single" w:sz="4" w:space="0" w:color="000000"/>
            </w:tcBorders>
          </w:tcPr>
          <w:p>
            <w:pPr>
              <w:pStyle w:val="TableHead"/>
              <w:spacing w:before="40" w:after="40"/>
              <w:rPr/>
            </w:pPr>
            <w:r>
              <w:rPr/>
              <w:t>Measurement</w:t>
            </w:r>
          </w:p>
        </w:tc>
        <w:tc>
          <w:tcPr>
            <w:tcW w:w="1620" w:type="dxa"/>
            <w:tcBorders>
              <w:top w:val="single" w:sz="4" w:space="0" w:color="000000"/>
              <w:start w:val="single" w:sz="4" w:space="0" w:color="000000"/>
              <w:bottom w:val="single" w:sz="4" w:space="0" w:color="000000"/>
              <w:end w:val="single" w:sz="4" w:space="0" w:color="000000"/>
            </w:tcBorders>
          </w:tcPr>
          <w:p>
            <w:pPr>
              <w:pStyle w:val="TableHead"/>
              <w:keepNext w:val="true"/>
              <w:widowControl/>
              <w:spacing w:before="40" w:after="40"/>
              <w:jc w:val="center"/>
              <w:rPr/>
            </w:pPr>
            <w:r>
              <w:rPr/>
              <w:t>Value</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Volts</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VM</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Amps</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AM</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megawatts</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MW</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megaVARs</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MVAR</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MVA</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MVA</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frequency</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FM</w:t>
            </w:r>
          </w:p>
        </w:tc>
      </w:tr>
      <w:tr>
        <w:trPr/>
        <w:tc>
          <w:tcPr>
            <w:tcW w:w="558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Generator Power Factor</w:t>
            </w:r>
          </w:p>
        </w:tc>
        <w:tc>
          <w:tcPr>
            <w:tcW w:w="1620" w:type="dxa"/>
            <w:tcBorders>
              <w:top w:val="single" w:sz="4" w:space="0" w:color="000000"/>
              <w:start w:val="single" w:sz="4" w:space="0" w:color="000000"/>
              <w:bottom w:val="single" w:sz="4" w:space="0" w:color="000000"/>
              <w:end w:val="single" w:sz="4" w:space="0" w:color="000000"/>
            </w:tcBorders>
          </w:tcPr>
          <w:p>
            <w:pPr>
              <w:pStyle w:val="TableLeft"/>
              <w:widowControl/>
              <w:spacing w:before="40" w:after="40"/>
              <w:ind w:hanging="0" w:start="144" w:end="0"/>
              <w:rPr/>
            </w:pPr>
            <w:r>
              <w:rPr/>
              <w:t>PF</w:t>
            </w:r>
          </w:p>
        </w:tc>
      </w:tr>
    </w:tbl>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8.3.5.3</w:t>
        <w:tab/>
        <w:t>Digital Generator Protection (DGP)</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digital generator protection system uses microprocessor technology to obtain a numerical relay system for a wide range of protection, monitoring, control and recording functions for the generator. Redundant internal power supplies and extensive diagnostic and self-test routines provide dependability and system security.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DGP provides the commonly used protective functions in one package, including 100% stator ground fault detection using third harmonic voltage monitoring. Adaptive frequency sampling is used to provide better fault protection during off-normal frequencies such as startup.</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DGP can store in memory the last 100 sequence of events, 120 cycles of oscillography fault recording, and the last three fault reports</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system features a local Human-Machine Interface with integral keypad, 16 character display, and target LEDs for entering settings, displaying present values, viewing fault target information, and accessing stored data. In addition, two RS-232 serial communication ports are provided for local and remote computer access. (Please Note: The Personal Computer (PC) is not part of this offering.)</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pPr>
      <w:r>
        <w:rPr>
          <w:rFonts w:cs="Arial" w:ascii="Arial" w:hAnsi="Arial"/>
          <w:b/>
        </w:rPr>
        <w:tab/>
        <w:tab/>
      </w:r>
      <w:r>
        <w:rPr>
          <w:b/>
        </w:rPr>
        <w:t>8.3.5.4</w:t>
        <w:tab/>
        <w:t>Generator Breaker Failure Protection (50/62BF)</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 digital breaker failure relay is used for timing and detecting current flow in conjunction with a lockout relay (86BF). The timer initiation is accomplished using an auxiliary high speed relay (94BFI) in parallel with the breaker trip coil. If the generator breaker remains closed and/or the current level detectors sense a current, the (50/62BF) relay starts timing. At the end of the time out period, the (50/62BF) relay trips the lockout relay (86BF). Contacts from this lockout are brought out to terminal boards for customer use in tripping associated breakers. Lockout relay (86BF) also trips the turbine.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Most faults involving the generator require tripping the generator breaker. Failure of the protection schemes to trip this breaker results in loss of protection to the generator. Also, if one or two poles of the breaker fail to open, the result can be a single phase load and negative sequence current on the generator stator. The purpose of the breaker failure protection is to act as a backup to any of the other generator protection schemes. This serves to protect the generator when the breaker fails to open properly.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8.3.5.5</w:t>
        <w:tab/>
        <w:t>Gas Turbine Control System Integration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In addition to the relaying mounted in the generator protection panel, the gas turbine control system handles protective functions such as generator temperature protection, synchronizing check, backup frequency and reverse power.</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Generator control and monitoring are primarily accomplished via the gas turbine control system operator interface. The operator interface handles manual and auto-synchronizing, speed raise/lower, voltage raise/lower, and generator breaker control. Also displayed are frequency and voltage for the generator and bus, breaker status, field current and voltage, along with the status of permissives.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hanging="2160" w:start="2160" w:end="0"/>
        <w:jc w:val="start"/>
        <w:rPr/>
      </w:pPr>
      <w:r>
        <w:rPr>
          <w:rFonts w:cs="Arial" w:ascii="Arial" w:hAnsi="Arial"/>
          <w:b/>
          <w:sz w:val="28"/>
        </w:rPr>
        <w:tab/>
      </w:r>
      <w:r>
        <w:rPr>
          <w:b/>
        </w:rPr>
        <w:t>8.3.6</w:t>
        <w:tab/>
        <w:t>EX2000BR Static Voltage Regulator for Brushless Excitation</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EX2000BR is a digital, static, voltage regulator for use with rotating ac brushless exciters. The system supplies dc excitation power to the field winding of the rotating brushless exciter. In addition, all control and protective functions are implemented in the system software. Digital technology allows the EX2000BR to maintain 99.98% availability.</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A simplified one-line diagram of the EX2000BR excitation system is shown below:</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object w:dxaOrig="7473" w:dyaOrig="6177">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73.65pt;height:308.85pt" filled="f" o:ole="">
            <v:imagedata r:id="rId53" o:title=""/>
          </v:shape>
          <o:OLEObject Type="Embed" ProgID="" ShapeID="ole_rId52" DrawAspect="Content" ObjectID="_390739695" r:id="rId52"/>
        </w:objec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voltage regulator accepts inputs from the generator terminals or auxiliary bus. In addition the regulator will accept a dc input from the station battery as a backup power source to the primary ac source.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b/>
        </w:rPr>
      </w:pPr>
      <w:r>
        <w:rPr>
          <w:b/>
        </w:rPr>
        <w:tab/>
        <w:tab/>
        <w:t>8.3.6.1</w:t>
        <w:tab/>
        <w:t>System Features</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Following are descriptions of selected features of the EX2000BR system. For a complete list of system features and accessories, please refer to the Scope of Supply section of the proposal.</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rFonts w:ascii="Arial" w:hAnsi="Arial" w:cs="Arial"/>
          <w:b/>
          <w:sz w:val="22"/>
        </w:rPr>
      </w:pPr>
      <w:r>
        <w:rPr>
          <w:rFonts w:cs="Arial" w:ascii="Arial" w:hAnsi="Arial"/>
          <w:b/>
          <w:sz w:val="22"/>
        </w:rPr>
        <w:tab/>
        <w:tab/>
        <w:tab/>
        <w:t>8.3.6.1.1   Communication (ARCNET) Interface</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For communication to the EX2000BR, an ARCNET (local area network) controller with modified ARCNET drivers is provided. The ARCNET controller adheres to the standard ARCNET protocol.</w:t>
      </w:r>
      <w:r>
        <w:br w:type="page"/>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rFonts w:ascii="Arial" w:hAnsi="Arial" w:cs="Arial"/>
          <w:b/>
          <w:sz w:val="22"/>
        </w:rPr>
      </w:pPr>
      <w:r>
        <w:rPr>
          <w:rFonts w:cs="Arial" w:ascii="Arial" w:hAnsi="Arial"/>
          <w:b/>
          <w:sz w:val="22"/>
        </w:rPr>
        <w:tab/>
        <w:tab/>
        <w:tab/>
        <w:t xml:space="preserve">8.3.6.1.2   Interface with the SPEEDTRONIC Mark V Gas Turbine Control </w:t>
        <w:br/>
        <w:tab/>
        <w:tab/>
        <w:tab/>
        <w:tab/>
        <w:t xml:space="preserve">    System</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EX2000BR is connected to the gas turbine control system through a coaxial cable on the ARCNET LAN.  This enables the gas turbine control system to provide a digital window into the EX2000BR through which all pertinent variables can be monitored and controlled.</w:t>
      </w:r>
    </w:p>
    <w:p>
      <w:p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0" w:end="0"/>
        <w:rPr>
          <w:rFonts w:ascii="Arial" w:hAnsi="Arial" w:cs="Arial"/>
          <w:b/>
          <w:sz w:val="22"/>
        </w:rPr>
      </w:pPr>
      <w:r>
        <w:rPr>
          <w:rFonts w:cs="Arial" w:ascii="Arial" w:hAnsi="Arial"/>
          <w:b/>
          <w:sz w:val="22"/>
        </w:rPr>
        <w:tab/>
        <w:tab/>
        <w:tab/>
        <w:t>8.3.6.1.3   Regulator Panel</w:t>
      </w:r>
    </w:p>
    <w:p>
      <w:pPr>
        <w:sectPr>
          <w:footerReference w:type="default" r:id="rId54"/>
          <w:footerReference w:type="first" r:id="rId55"/>
          <w:footnotePr>
            <w:numFmt w:val="decimal"/>
          </w:footnotePr>
          <w:type w:val="nextPage"/>
          <w:pgSz w:w="12240" w:h="15840"/>
          <w:pgMar w:left="1440" w:right="1440" w:gutter="0" w:header="0" w:top="1440" w:footer="720" w:bottom="1440"/>
          <w:pgNumType w:start="1" w:fmt="decimal"/>
          <w:formProt w:val="false"/>
          <w:titlePg/>
          <w:textDirection w:val="lrTb"/>
          <w:docGrid w:type="default" w:linePitch="360" w:charSpace="0"/>
        </w:sectPr>
        <w:pStyle w:val="Paragraph"/>
        <w:widowControl w:val="false"/>
        <w:tabs>
          <w:tab w:val="clear" w:pos="252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start="2160" w:end="0"/>
        <w:rPr/>
      </w:pPr>
      <w:r>
        <w:rPr/>
        <w:t>The regulator panel contains the SCR power conversion module and regulator with all standard control and protection functions, plus auxiliary functions such as de-excitation module, dc field flashing module, and shaft voltage suppression circuit.</w:t>
      </w:r>
    </w:p>
    <w:p>
      <w:pPr>
        <w:pStyle w:val="Normal"/>
        <w:rPr/>
      </w:pPr>
      <w:r>
        <w:rPr/>
      </w:r>
    </w:p>
    <w:p>
      <w:pPr>
        <w:pStyle w:val="Normal"/>
        <w:jc w:val="center"/>
        <w:rPr>
          <w:b/>
        </w:rPr>
      </w:pPr>
      <w:r>
        <w:rPr>
          <w:b/>
        </w:rPr>
        <w:t>ATTACHMENT 8</w:t>
      </w:r>
    </w:p>
    <w:p>
      <w:pPr>
        <w:pStyle w:val="Normal"/>
        <w:jc w:val="center"/>
        <w:rPr>
          <w:b/>
        </w:rPr>
      </w:pPr>
      <w:r>
        <w:rPr>
          <w:b/>
        </w:rPr>
      </w:r>
    </w:p>
    <w:p>
      <w:pPr>
        <w:pStyle w:val="Normal"/>
        <w:jc w:val="center"/>
        <w:rPr>
          <w:b/>
        </w:rPr>
      </w:pPr>
      <w:r>
        <w:rPr>
          <w:b/>
        </w:rPr>
        <w:t>REVISED ARTICLES 15, 17, 20 AND 27</w:t>
      </w:r>
    </w:p>
    <w:p>
      <w:pPr>
        <w:pStyle w:val="Normal"/>
        <w:rPr/>
      </w:pPr>
      <w:r>
        <w:rPr/>
      </w:r>
    </w:p>
    <w:p>
      <w:pPr>
        <w:pStyle w:val="Normal"/>
        <w:jc w:val="center"/>
        <w:rPr>
          <w:b/>
          <w:sz w:val="32"/>
        </w:rPr>
      </w:pPr>
      <w:r>
        <w:rPr>
          <w:b/>
          <w:sz w:val="32"/>
        </w:rPr>
        <w:t>[To be discussed]</w:t>
      </w:r>
    </w:p>
    <w:p>
      <w:pPr>
        <w:pStyle w:val="Normal"/>
        <w:rPr>
          <w:b/>
          <w:sz w:val="32"/>
        </w:rPr>
      </w:pPr>
      <w:r>
        <w:rPr>
          <w:b/>
          <w:sz w:val="32"/>
        </w:rPr>
      </w:r>
    </w:p>
    <w:p>
      <w:pPr>
        <w:pStyle w:val="Normal"/>
        <w:rPr>
          <w:b/>
        </w:rPr>
      </w:pPr>
      <w:r>
        <w:rPr>
          <w:b/>
        </w:rPr>
      </w:r>
    </w:p>
    <w:sectPr>
      <w:footerReference w:type="default" r:id="rId56"/>
      <w:footerReference w:type="first" r:id="rId57"/>
      <w:footnotePr>
        <w:numFmt w:val="decimal"/>
      </w:footnotePr>
      <w:type w:val="nextPage"/>
      <w:pgSz w:w="12240" w:h="15840"/>
      <w:pgMar w:left="2160" w:right="1872" w:gutter="0" w:header="0" w:top="2160" w:footer="1800" w:bottom="1856"/>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Rounded MT Bold">
    <w:charset w:val="00" w:characterSet="windows-1252"/>
    <w:family w:val="swiss"/>
    <w:pitch w:val="variable"/>
  </w:font>
  <w:font w:name="Arial Narrow">
    <w:charset w:val="00" w:characterSet="windows-1252"/>
    <w:family w:val="swiss"/>
    <w:pitch w:val="variable"/>
  </w:font>
  <w:font w:name="WP MathA">
    <w:charset w:val="02"/>
    <w:family w:val="auto"/>
    <w:pitch w:val="variable"/>
  </w:font>
  <w:font w:name="Liberation Sans">
    <w:altName w:val="Arial"/>
    <w:charset w:val="01" w:characterSet="utf-8"/>
    <w:family w:val="swiss"/>
    <w:pitch w:val="variable"/>
  </w:font>
  <w:font w:name="Times">
    <w:altName w:val="Times New Roman"/>
    <w:charset w:val="00" w:characterSet="windows-1252"/>
    <w:family w:val="roman"/>
    <w:pitch w:val="variable"/>
  </w:font>
  <w:font w:name="Goudy Old Style Bold BT">
    <w:charset w:val="00" w:characterSet="windows-1252"/>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0" allowOverlap="1" relativeHeight="28">
              <wp:simplePos x="0" y="0"/>
              <wp:positionH relativeFrom="column">
                <wp:posOffset>635</wp:posOffset>
              </wp:positionH>
              <wp:positionV relativeFrom="paragraph">
                <wp:posOffset>635</wp:posOffset>
              </wp:positionV>
              <wp:extent cx="5212715" cy="177165"/>
              <wp:effectExtent l="0" t="0" r="0" b="0"/>
              <wp:wrapTopAndBottom/>
              <wp:docPr id="1" name="Frame1"/>
              <a:graphic xmlns:a="http://schemas.openxmlformats.org/drawingml/2006/main">
                <a:graphicData uri="http://schemas.microsoft.com/office/word/2010/wordprocessingShape">
                  <wps:wsp>
                    <wps:cNvSpPr txBox="1"/>
                    <wps:spPr>
                      <a:xfrm>
                        <a:off x="0" y="0"/>
                        <a:ext cx="5212715" cy="177165"/>
                      </a:xfrm>
                      <a:prstGeom prst="rect"/>
                      <a:solidFill>
                        <a:srgbClr val="FFFFFF">
                          <a:alpha val="0"/>
                        </a:srgbClr>
                      </a:solidFill>
                    </wps:spPr>
                    <wps:txbx>
                      <w:txbxContent>
                        <w:p>
                          <w:pPr>
                            <w:pStyle w:val="Normal"/>
                            <w:jc w:val="center"/>
                            <w:rPr>
                              <w:rFonts w:ascii="Goudy Old Style Bold BT" w:hAnsi="Goudy Old Style Bold BT" w:cs="Goudy Old Style Bold BT"/>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9</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3.9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rFonts w:ascii="Goudy Old Style Bold BT" w:hAnsi="Goudy Old Style Bold BT" w:cs="Goudy Old Style Bold BT"/>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9</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1" allowOverlap="1" relativeHeight="0">
              <wp:simplePos x="0" y="0"/>
              <wp:positionH relativeFrom="column">
                <wp:posOffset>635</wp:posOffset>
              </wp:positionH>
              <wp:positionV relativeFrom="paragraph">
                <wp:posOffset>635</wp:posOffset>
              </wp:positionV>
              <wp:extent cx="5212715" cy="20955"/>
              <wp:effectExtent l="0" t="0" r="0" b="0"/>
              <wp:wrapTopAndBottom/>
              <wp:docPr id="6" name="Frame6"/>
              <a:graphic xmlns:a="http://schemas.openxmlformats.org/drawingml/2006/main">
                <a:graphicData uri="http://schemas.microsoft.com/office/word/2010/wordprocessingShape">
                  <wps:wsp>
                    <wps:cNvSpPr txBox="1"/>
                    <wps:spPr>
                      <a:xfrm>
                        <a:off x="0" y="0"/>
                        <a:ext cx="5212715" cy="2095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6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1" allowOverlap="1" relativeHeight="0">
              <wp:simplePos x="0" y="0"/>
              <wp:positionH relativeFrom="column">
                <wp:posOffset>635</wp:posOffset>
              </wp:positionH>
              <wp:positionV relativeFrom="paragraph">
                <wp:posOffset>635</wp:posOffset>
              </wp:positionV>
              <wp:extent cx="5212715" cy="20955"/>
              <wp:effectExtent l="0" t="0" r="0" b="0"/>
              <wp:wrapTopAndBottom/>
              <wp:docPr id="7" name="Frame7"/>
              <a:graphic xmlns:a="http://schemas.openxmlformats.org/drawingml/2006/main">
                <a:graphicData uri="http://schemas.microsoft.com/office/word/2010/wordprocessingShape">
                  <wps:wsp>
                    <wps:cNvSpPr txBox="1"/>
                    <wps:spPr>
                      <a:xfrm>
                        <a:off x="0" y="0"/>
                        <a:ext cx="5212715" cy="2095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6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320"/>
        <w:tab w:val="clear" w:pos="8640"/>
      </w:tabs>
      <w:rPr/>
    </w:pPr>
    <w:r>
      <w:rPr/>
    </w:r>
  </w:p>
  <w:p>
    <w:pPr>
      <w:pStyle w:val="FooterB"/>
      <w:rPr/>
    </w:pPr>
    <w:r>
      <w:rPr/>
      <w:t xml:space="preserve"> </w:t>
    </w:r>
    <w:r>
      <mc:AlternateContent>
        <mc:Choice Requires="wps">
          <w:drawing>
            <wp:anchor behindDoc="0" distT="0" distB="0" distL="0" distR="0" simplePos="0" locked="0" layoutInCell="0" allowOverlap="1" relativeHeight="90">
              <wp:simplePos x="0" y="0"/>
              <wp:positionH relativeFrom="column">
                <wp:posOffset>635</wp:posOffset>
              </wp:positionH>
              <wp:positionV relativeFrom="paragraph">
                <wp:posOffset>635</wp:posOffset>
              </wp:positionV>
              <wp:extent cx="5212715" cy="177165"/>
              <wp:effectExtent l="0" t="0" r="0" b="0"/>
              <wp:wrapTopAndBottom/>
              <wp:docPr id="10" name="Frame8"/>
              <a:graphic xmlns:a="http://schemas.openxmlformats.org/drawingml/2006/main">
                <a:graphicData uri="http://schemas.microsoft.com/office/word/2010/wordprocessingShape">
                  <wps:wsp>
                    <wps:cNvSpPr txBox="1"/>
                    <wps:spPr>
                      <a:xfrm>
                        <a:off x="0" y="0"/>
                        <a:ext cx="5212715" cy="177165"/>
                      </a:xfrm>
                      <a:prstGeom prst="rect"/>
                      <a:solidFill>
                        <a:srgbClr val="FFFFFF">
                          <a:alpha val="0"/>
                        </a:srgbClr>
                      </a:solidFill>
                    </wps:spPr>
                    <wps:txbx>
                      <w:txbxContent>
                        <w:p>
                          <w:pPr>
                            <w:pStyle w:val="Normal"/>
                            <w:jc w:val="center"/>
                            <w:rPr>
                              <w:rFonts w:ascii="Goudy Old Style Bold BT" w:hAnsi="Goudy Old Style Bold BT" w:cs="Goudy Old Style Bold BT"/>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65</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3.9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rFonts w:ascii="Goudy Old Style Bold BT" w:hAnsi="Goudy Old Style Bold BT" w:cs="Goudy Old Style Bold BT"/>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65</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320"/>
        <w:tab w:val="clear" w:pos="8640"/>
      </w:tabs>
      <w:rPr/>
    </w:pPr>
    <w:r>
      <w:rPr/>
    </w:r>
  </w:p>
  <w:p>
    <w:pPr>
      <w:pStyle w:val="FooterB"/>
      <w:rPr/>
    </w:pPr>
    <w:r>
      <w:rPr/>
      <w:t xml:space="preserve"> </w:t>
    </w:r>
    <w:r>
      <mc:AlternateContent>
        <mc:Choice Requires="wps">
          <w:drawing>
            <wp:anchor behindDoc="0" distT="0" distB="0" distL="0" distR="0" simplePos="0" locked="0" layoutInCell="0" allowOverlap="1" relativeHeight="55">
              <wp:simplePos x="0" y="0"/>
              <wp:positionH relativeFrom="column">
                <wp:posOffset>635</wp:posOffset>
              </wp:positionH>
              <wp:positionV relativeFrom="paragraph">
                <wp:posOffset>635</wp:posOffset>
              </wp:positionV>
              <wp:extent cx="5212715" cy="177165"/>
              <wp:effectExtent l="0" t="0" r="0" b="0"/>
              <wp:wrapTopAndBottom/>
              <wp:docPr id="11" name="Frame9"/>
              <a:graphic xmlns:a="http://schemas.openxmlformats.org/drawingml/2006/main">
                <a:graphicData uri="http://schemas.microsoft.com/office/word/2010/wordprocessingShape">
                  <wps:wsp>
                    <wps:cNvSpPr txBox="1"/>
                    <wps:spPr>
                      <a:xfrm>
                        <a:off x="0" y="0"/>
                        <a:ext cx="5212715" cy="17716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66</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3.9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66</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1" allowOverlap="1" relativeHeight="0">
              <wp:simplePos x="0" y="0"/>
              <wp:positionH relativeFrom="column">
                <wp:posOffset>635</wp:posOffset>
              </wp:positionH>
              <wp:positionV relativeFrom="paragraph">
                <wp:posOffset>635</wp:posOffset>
              </wp:positionV>
              <wp:extent cx="5212715" cy="20955"/>
              <wp:effectExtent l="0" t="0" r="0" b="0"/>
              <wp:wrapTopAndBottom/>
              <wp:docPr id="2" name="Frame2"/>
              <a:graphic xmlns:a="http://schemas.openxmlformats.org/drawingml/2006/main">
                <a:graphicData uri="http://schemas.microsoft.com/office/word/2010/wordprocessingShape">
                  <wps:wsp>
                    <wps:cNvSpPr txBox="1"/>
                    <wps:spPr>
                      <a:xfrm>
                        <a:off x="0" y="0"/>
                        <a:ext cx="5212715" cy="2095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6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0" allowOverlap="1" relativeHeight="94">
              <wp:simplePos x="0" y="0"/>
              <wp:positionH relativeFrom="column">
                <wp:posOffset>635</wp:posOffset>
              </wp:positionH>
              <wp:positionV relativeFrom="paragraph">
                <wp:posOffset>635</wp:posOffset>
              </wp:positionV>
              <wp:extent cx="5212715" cy="177165"/>
              <wp:effectExtent l="0" t="0" r="0" b="0"/>
              <wp:wrapTopAndBottom/>
              <wp:docPr id="3" name="Frame3"/>
              <a:graphic xmlns:a="http://schemas.openxmlformats.org/drawingml/2006/main">
                <a:graphicData uri="http://schemas.microsoft.com/office/word/2010/wordprocessingShape">
                  <wps:wsp>
                    <wps:cNvSpPr txBox="1"/>
                    <wps:spPr>
                      <a:xfrm>
                        <a:off x="0" y="0"/>
                        <a:ext cx="5212715" cy="17716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3</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3.9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3</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1" allowOverlap="1" relativeHeight="0">
              <wp:simplePos x="0" y="0"/>
              <wp:positionH relativeFrom="column">
                <wp:posOffset>635</wp:posOffset>
              </wp:positionH>
              <wp:positionV relativeFrom="paragraph">
                <wp:posOffset>635</wp:posOffset>
              </wp:positionV>
              <wp:extent cx="5212715" cy="20955"/>
              <wp:effectExtent l="0" t="0" r="0" b="0"/>
              <wp:wrapTopAndBottom/>
              <wp:docPr id="4" name="Frame4"/>
              <a:graphic xmlns:a="http://schemas.openxmlformats.org/drawingml/2006/main">
                <a:graphicData uri="http://schemas.microsoft.com/office/word/2010/wordprocessingShape">
                  <wps:wsp>
                    <wps:cNvSpPr txBox="1"/>
                    <wps:spPr>
                      <a:xfrm>
                        <a:off x="0" y="0"/>
                        <a:ext cx="5212715" cy="2095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6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FooterB"/>
      <w:rPr/>
    </w:pPr>
    <w:r>
      <w:rPr/>
      <w:t xml:space="preserve"> </w:t>
    </w:r>
    <w:r>
      <mc:AlternateContent>
        <mc:Choice Requires="wps">
          <w:drawing>
            <wp:anchor behindDoc="0" distT="0" distB="0" distL="0" distR="0" simplePos="0" locked="0" layoutInCell="1" allowOverlap="1" relativeHeight="0">
              <wp:simplePos x="0" y="0"/>
              <wp:positionH relativeFrom="column">
                <wp:posOffset>635</wp:posOffset>
              </wp:positionH>
              <wp:positionV relativeFrom="paragraph">
                <wp:posOffset>635</wp:posOffset>
              </wp:positionV>
              <wp:extent cx="5212715" cy="20955"/>
              <wp:effectExtent l="0" t="0" r="0" b="0"/>
              <wp:wrapTopAndBottom/>
              <wp:docPr id="5" name="Frame5"/>
              <a:graphic xmlns:a="http://schemas.openxmlformats.org/drawingml/2006/main">
                <a:graphicData uri="http://schemas.microsoft.com/office/word/2010/wordprocessingShape">
                  <wps:wsp>
                    <wps:cNvSpPr txBox="1"/>
                    <wps:spPr>
                      <a:xfrm>
                        <a:off x="0" y="0"/>
                        <a:ext cx="5212715" cy="20955"/>
                      </a:xfrm>
                      <a:prstGeom prst="rect"/>
                      <a:solidFill>
                        <a:srgbClr val="FFFFFF">
                          <a:alpha val="0"/>
                        </a:srgbClr>
                      </a:solidFill>
                    </wps:spPr>
                    <wps:txbx>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wps:txbx>
                    <wps:bodyPr anchor="t" lIns="0" tIns="0" rIns="0" bIns="0">
                      <a:noAutofit/>
                    </wps:bodyPr>
                  </wps:wsp>
                </a:graphicData>
              </a:graphic>
            </wp:anchor>
          </w:drawing>
        </mc:Choice>
        <mc:Fallback>
          <w:pict>
            <v:rect fillcolor="#FFFFFF" style="position:absolute;rotation:-0;width:410.45pt;height:1.65pt;mso-wrap-distance-left:0pt;mso-wrap-distance-right:0pt;mso-wrap-distance-top:0pt;mso-wrap-distance-bottom:0pt;margin-top:0.05pt;mso-position-vertical-relative:text;margin-left:0.05pt;mso-position-horizontal-relative:text">
              <v:fill opacity="0f"/>
              <v:textbox inset="0in,0in,0in,0in">
                <w:txbxContent>
                  <w:p>
                    <w:pPr>
                      <w:pStyle w:val="Normal"/>
                      <w:jc w:val="center"/>
                      <w:rPr/>
                    </w:pPr>
                    <w:r>
                      <w:rPr>
                        <w:rFonts w:eastAsia="Goudy Old Style Bold BT" w:cs="Goudy Old Style Bold BT" w:ascii="Goudy Old Style Bold BT" w:hAnsi="Goudy Old Style Bold BT"/>
                      </w:rPr>
                      <w:t xml:space="preserve"> </w:t>
                    </w:r>
                    <w:r>
                      <w:rPr>
                        <w:rFonts w:cs="Goudy Old Style Bold BT" w:ascii="Goudy Old Style Bold BT" w:hAnsi="Goudy Old Style Bold BT"/>
                      </w:rPr>
                      <w:fldChar w:fldCharType="begin"/>
                    </w:r>
                    <w:r>
                      <w:rPr>
                        <w:rFonts w:cs="Goudy Old Style Bold BT" w:ascii="Goudy Old Style Bold BT" w:hAnsi="Goudy Old Style Bold BT"/>
                      </w:rPr>
                      <w:instrText xml:space="preserve"> PAGE </w:instrText>
                    </w:r>
                    <w:r>
                      <w:rPr>
                        <w:rFonts w:cs="Goudy Old Style Bold BT" w:ascii="Goudy Old Style Bold BT" w:hAnsi="Goudy Old Style Bold BT"/>
                      </w:rPr>
                      <w:fldChar w:fldCharType="separate"/>
                    </w:r>
                    <w:r>
                      <w:rPr>
                        <w:rFonts w:cs="Goudy Old Style Bold BT" w:ascii="Goudy Old Style Bold BT" w:hAnsi="Goudy Old Style Bold BT"/>
                      </w:rPr>
                      <w:t>0</w:t>
                    </w:r>
                    <w:r>
                      <w:rPr>
                        <w:rFonts w:cs="Goudy Old Style Bold BT" w:ascii="Goudy Old Style Bold BT" w:hAnsi="Goudy Old Style Bold BT"/>
                      </w:rPr>
                      <w:fldChar w:fldCharType="end"/>
                    </w:r>
                  </w:p>
                </w:txbxContent>
              </v:textbox>
              <w10:wrap type="topAndBottom"/>
            </v:rect>
          </w:pict>
        </mc:Fallback>
      </mc:AlternateContent>
    </w:r>
  </w:p>
  <w:p>
    <w:pPr>
      <w:pStyle w:val="FooterB"/>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t></w:t>
      </w:r>
      <w:r>
        <w:rPr/>
        <w:t xml:space="preserve"> </w:t>
      </w:r>
      <w:r>
        <w:rPr/>
        <w:t>A trademark of the General Electric Company</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7"/>
      <w:pStyle w:val="Heading1"/>
      <w:numFmt w:val="decimal"/>
      <w:lvlText w:val="%1."/>
      <w:lvlJc w:val="start"/>
      <w:pPr>
        <w:tabs>
          <w:tab w:val="num" w:pos="0"/>
        </w:tabs>
        <w:ind w:start="0" w:hanging="0"/>
      </w:pPr>
    </w:lvl>
    <w:lvl w:ilvl="1">
      <w:start w:val="1"/>
      <w:pStyle w:val="Heading2"/>
      <w:numFmt w:val="decimal"/>
      <w:lvlText w:val="%1.%2"/>
      <w:lvlJc w:val="start"/>
      <w:pPr>
        <w:tabs>
          <w:tab w:val="num" w:pos="0"/>
        </w:tabs>
        <w:ind w:start="0" w:hanging="0"/>
      </w:pPr>
    </w:lvl>
    <w:lvl w:ilvl="2">
      <w:start w:val="1"/>
      <w:pStyle w:val="Heading3"/>
      <w:numFmt w:val="decimal"/>
      <w:lvlText w:val="%1.%2.%3"/>
      <w:lvlJc w:val="start"/>
      <w:pPr>
        <w:tabs>
          <w:tab w:val="num" w:pos="0"/>
        </w:tabs>
        <w:ind w:start="0" w:hanging="0"/>
      </w:pPr>
    </w:lvl>
    <w:lvl w:ilvl="3">
      <w:start w:val="1"/>
      <w:pStyle w:val="Heading4"/>
      <w:numFmt w:val="decimal"/>
      <w:lvlText w:val="%1.%2.%3.%4"/>
      <w:lvlJc w:val="start"/>
      <w:pPr>
        <w:tabs>
          <w:tab w:val="num" w:pos="0"/>
        </w:tabs>
        <w:ind w:start="0" w:hanging="0"/>
      </w:pPr>
    </w:lvl>
    <w:lvl w:ilvl="4">
      <w:start w:val="1"/>
      <w:pStyle w:val="Heading5"/>
      <w:numFmt w:val="decimal"/>
      <w:lvlText w:val="%1.%2.%3.%4.%5"/>
      <w:lvlJc w:val="start"/>
      <w:pPr>
        <w:tabs>
          <w:tab w:val="num" w:pos="0"/>
        </w:tabs>
        <w:ind w:start="0" w:hanging="0"/>
      </w:pPr>
    </w:lvl>
    <w:lvl w:ilvl="5">
      <w:start w:val="1"/>
      <w:pStyle w:val="Heading6"/>
      <w:numFmt w:val="decimal"/>
      <w:lvlText w:val="%1.%2.%3.%4.%5.%6"/>
      <w:lvlJc w:val="start"/>
      <w:pPr>
        <w:tabs>
          <w:tab w:val="num" w:pos="0"/>
        </w:tabs>
        <w:ind w:start="0" w:hanging="0"/>
      </w:pPr>
    </w:lvl>
    <w:lvl w:ilvl="6">
      <w:start w:val="1"/>
      <w:pStyle w:val="Heading7"/>
      <w:numFmt w:val="decimal"/>
      <w:lvlText w:val="%1.%2.%3.%4.%5.%6.%7"/>
      <w:lvlJc w:val="start"/>
      <w:pPr>
        <w:tabs>
          <w:tab w:val="num" w:pos="0"/>
        </w:tabs>
        <w:ind w:start="0" w:hanging="0"/>
      </w:pPr>
    </w:lvl>
    <w:lvl w:ilvl="7">
      <w:start w:val="1"/>
      <w:pStyle w:val="Heading8"/>
      <w:numFmt w:val="decimal"/>
      <w:lvlText w:val="%1.%2.%3.%4.%5.%6.%7.%8"/>
      <w:lvlJc w:val="start"/>
      <w:pPr>
        <w:tabs>
          <w:tab w:val="num" w:pos="0"/>
        </w:tabs>
        <w:ind w:start="0" w:hanging="0"/>
      </w:pPr>
    </w:lvl>
    <w:lvl w:ilvl="8">
      <w:start w:val="1"/>
      <w:pStyle w:val="Heading9"/>
      <w:numFmt w:val="decimal"/>
      <w:lvlText w:val="%1.%2.%3.%4.%5.%6.%7.%8.%9"/>
      <w:lvlJc w:val="start"/>
      <w:pPr>
        <w:tabs>
          <w:tab w:val="num" w:pos="0"/>
        </w:tabs>
        <w:ind w:start="0" w:hanging="0"/>
      </w:pPr>
    </w:lvl>
  </w:abstractNum>
  <w:abstractNum w:abstractNumId="2">
    <w:lvl w:ilvl="0">
      <w:start w:val="15"/>
      <w:numFmt w:val="lowerLetter"/>
      <w:lvlText w:val="(%1)"/>
      <w:lvlJc w:val="start"/>
      <w:pPr>
        <w:tabs>
          <w:tab w:val="num" w:pos="720"/>
        </w:tabs>
        <w:ind w:start="720" w:hanging="720"/>
      </w:pPr>
      <w:rPr/>
    </w:lvl>
  </w:abstractNum>
  <w:abstractNum w:abstractNumId="3">
    <w:lvl w:ilvl="0">
      <w:start w:val="1"/>
      <w:numFmt w:val="lowerLetter"/>
      <w:lvlText w:val="(%1)"/>
      <w:lvlJc w:val="start"/>
      <w:pPr>
        <w:tabs>
          <w:tab w:val="num" w:pos="720"/>
        </w:tabs>
        <w:ind w:start="720" w:hanging="720"/>
      </w:pPr>
      <w:rPr/>
    </w:lvl>
  </w:abstractNum>
  <w:abstractNum w:abstractNumId="4">
    <w:lvl w:ilvl="0">
      <w:start w:val="1"/>
      <w:numFmt w:val="bullet"/>
      <w:lvlText w:val=""/>
      <w:lvlJc w:val="start"/>
      <w:pPr>
        <w:tabs>
          <w:tab w:val="num" w:pos="3240"/>
        </w:tabs>
        <w:ind w:start="360" w:firstLine="2520"/>
      </w:pPr>
      <w:rPr>
        <w:rFonts w:ascii="Symbol" w:hAnsi="Symbol" w:cs="Symbol" w:hint="default"/>
      </w:rPr>
    </w:lvl>
  </w:abstractNum>
  <w:abstractNum w:abstractNumId="5">
    <w:lvl w:ilvl="0">
      <w:start w:val="1"/>
      <w:numFmt w:val="bullet"/>
      <w:lvlText w:val=""/>
      <w:lvlJc w:val="start"/>
      <w:pPr>
        <w:tabs>
          <w:tab w:val="num" w:pos="2520"/>
        </w:tabs>
        <w:ind w:start="360" w:firstLine="1800"/>
      </w:pPr>
      <w:rPr>
        <w:rFonts w:ascii="Symbol" w:hAnsi="Symbol" w:cs="Symbol" w:hint="default"/>
      </w:rPr>
    </w:lvl>
  </w:abstractNum>
  <w:abstractNum w:abstractNumId="6">
    <w:lvl w:ilvl="0">
      <w:start w:val="1"/>
      <w:numFmt w:val="lowerRoman"/>
      <w:lvlText w:val="(%1)"/>
      <w:lvlJc w:val="start"/>
      <w:pPr>
        <w:tabs>
          <w:tab w:val="num" w:pos="1440"/>
        </w:tabs>
        <w:ind w:start="1440" w:hanging="720"/>
      </w:pPr>
      <w:rPr/>
    </w:lvl>
  </w:abstractNum>
  <w:abstractNum w:abstractNumId="7">
    <w:lvl w:ilvl="0">
      <w:start w:val="1"/>
      <w:numFmt w:val="bullet"/>
      <w:lvlText w:val="—"/>
      <w:lvlJc w:val="start"/>
      <w:pPr>
        <w:tabs>
          <w:tab w:val="num" w:pos="360"/>
        </w:tabs>
        <w:ind w:start="360" w:hanging="360"/>
      </w:pPr>
      <w:rPr>
        <w:rFonts w:ascii="Times New Roman" w:hAnsi="Times New Roman" w:cs="Times New Roman" w:hint="default"/>
        <w:sz w:val="16"/>
      </w:rPr>
    </w:lvl>
  </w:abstractNum>
  <w:abstractNum w:abstractNumId="8">
    <w:lvl w:ilvl="0">
      <w:start w:val="10"/>
      <w:numFmt w:val="lowerLetter"/>
      <w:lvlText w:val="(%1)"/>
      <w:lvlJc w:val="start"/>
      <w:pPr>
        <w:tabs>
          <w:tab w:val="num" w:pos="720"/>
        </w:tabs>
        <w:ind w:start="720" w:hanging="720"/>
      </w:pPr>
      <w:rPr/>
    </w:lvl>
  </w:abstractNum>
  <w:abstractNum w:abstractNumId="9">
    <w:lvl w:ilvl="0">
      <w:start w:val="23"/>
      <w:numFmt w:val="lowerLetter"/>
      <w:lvlText w:val="(%1)"/>
      <w:lvlJc w:val="start"/>
      <w:pPr>
        <w:tabs>
          <w:tab w:val="num" w:pos="360"/>
        </w:tabs>
        <w:ind w:start="36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val="bestFit" w:percent="20"/>
  <w:defaultTabStop w:val="720"/>
  <w:autoHyphenation w:val="true"/>
  <w:hyphenationZone w:val="0"/>
  <w:footnotePr>
    <w:numFmt w:val="decimal"/>
    <w:footnote w:id="0"/>
    <w:footnote w:id="1"/>
  </w:footnotePr>
  <w:compat>
    <w:doNotExpandShiftReturn/>
    <w:usePrinterMetric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val="false"/>
      <w:bidi w:val="0"/>
    </w:pPr>
    <w:rPr>
      <w:rFonts w:ascii="Times New Roman" w:hAnsi="Times New Roman" w:eastAsia="Times New Roman" w:cs="Times New Roman"/>
      <w:color w:val="auto"/>
      <w:sz w:val="24"/>
      <w:szCs w:val="20"/>
      <w:lang w:val="en-US" w:eastAsia="en-US" w:bidi="hi-IN"/>
    </w:rPr>
  </w:style>
  <w:style w:type="paragraph" w:styleId="Heading1">
    <w:name w:val="heading 1"/>
    <w:basedOn w:val="Normal"/>
    <w:next w:val="Normal"/>
    <w:qFormat/>
    <w:pPr>
      <w:keepNext w:val="true"/>
      <w:widowControl/>
      <w:numPr>
        <w:ilvl w:val="0"/>
        <w:numId w:val="1"/>
      </w:numPr>
      <w:jc w:val="center"/>
      <w:outlineLvl w:val="0"/>
    </w:pPr>
    <w:rPr/>
  </w:style>
  <w:style w:type="paragraph" w:styleId="Heading2">
    <w:name w:val="heading 2"/>
    <w:basedOn w:val="Normal"/>
    <w:next w:val="Normal"/>
    <w:qFormat/>
    <w:pPr>
      <w:keepNext w:val="true"/>
      <w:widowControl/>
      <w:numPr>
        <w:ilvl w:val="1"/>
        <w:numId w:val="1"/>
      </w:numPr>
      <w:tabs>
        <w:tab w:val="clear" w:pos="720"/>
        <w:tab w:val="center" w:pos="4104" w:leader="none"/>
      </w:tabs>
      <w:jc w:val="center"/>
      <w:outlineLvl w:val="1"/>
    </w:pPr>
    <w:rPr>
      <w:u w:val="single"/>
    </w:rPr>
  </w:style>
  <w:style w:type="paragraph" w:styleId="Heading3">
    <w:name w:val="heading 3"/>
    <w:basedOn w:val="Normal"/>
    <w:next w:val="Normal"/>
    <w:qFormat/>
    <w:pPr>
      <w:keepNext w:val="true"/>
      <w:widowControl/>
      <w:numPr>
        <w:ilvl w:val="2"/>
        <w:numId w:val="1"/>
      </w:numPr>
      <w:jc w:val="center"/>
      <w:outlineLvl w:val="2"/>
    </w:pPr>
    <w:rPr>
      <w:rFonts w:ascii="Arial" w:hAnsi="Arial" w:cs="Arial"/>
      <w:b/>
      <w:sz w:val="28"/>
      <w:lang w:eastAsia="en-CA"/>
    </w:rPr>
  </w:style>
  <w:style w:type="paragraph" w:styleId="Heading4">
    <w:name w:val="heading 4"/>
    <w:basedOn w:val="Normal"/>
    <w:next w:val="Normal"/>
    <w:qFormat/>
    <w:pPr>
      <w:keepNext w:val="true"/>
      <w:widowControl/>
      <w:numPr>
        <w:ilvl w:val="3"/>
        <w:numId w:val="1"/>
      </w:numPr>
      <w:jc w:val="center"/>
      <w:outlineLvl w:val="3"/>
    </w:pPr>
    <w:rPr>
      <w:rFonts w:ascii="Arial" w:hAnsi="Arial" w:cs="Arial"/>
      <w:b/>
      <w:sz w:val="20"/>
      <w:lang w:eastAsia="en-CA"/>
    </w:rPr>
  </w:style>
  <w:style w:type="paragraph" w:styleId="Heading5">
    <w:name w:val="heading 5"/>
    <w:basedOn w:val="Normal"/>
    <w:next w:val="Normal"/>
    <w:qFormat/>
    <w:pPr>
      <w:keepNext w:val="true"/>
      <w:widowControl/>
      <w:numPr>
        <w:ilvl w:val="4"/>
        <w:numId w:val="1"/>
      </w:numPr>
      <w:outlineLvl w:val="4"/>
    </w:pPr>
    <w:rPr>
      <w:rFonts w:ascii="Arial" w:hAnsi="Arial" w:cs="Arial"/>
      <w:b/>
      <w:sz w:val="20"/>
      <w:u w:val="single"/>
      <w:lang w:eastAsia="en-CA"/>
    </w:rPr>
  </w:style>
  <w:style w:type="paragraph" w:styleId="Heading6">
    <w:name w:val="heading 6"/>
    <w:basedOn w:val="Normal"/>
    <w:next w:val="Normal"/>
    <w:qFormat/>
    <w:pPr>
      <w:keepNext w:val="true"/>
      <w:widowControl/>
      <w:numPr>
        <w:ilvl w:val="5"/>
        <w:numId w:val="1"/>
      </w:numPr>
      <w:spacing w:before="240" w:after="120"/>
      <w:outlineLvl w:val="5"/>
    </w:pPr>
    <w:rPr>
      <w:rFonts w:ascii="Arial Rounded MT Bold" w:hAnsi="Arial Rounded MT Bold" w:cs="Arial Rounded MT Bold"/>
      <w:b/>
      <w:sz w:val="20"/>
      <w:lang w:eastAsia="en-CA"/>
    </w:rPr>
  </w:style>
  <w:style w:type="paragraph" w:styleId="Heading7">
    <w:name w:val="heading 7"/>
    <w:basedOn w:val="Normal"/>
    <w:next w:val="Normal"/>
    <w:qFormat/>
    <w:pPr>
      <w:widowControl/>
      <w:numPr>
        <w:ilvl w:val="6"/>
        <w:numId w:val="1"/>
      </w:numPr>
      <w:spacing w:before="240" w:after="120"/>
      <w:outlineLvl w:val="6"/>
    </w:pPr>
    <w:rPr>
      <w:rFonts w:ascii="Arial" w:hAnsi="Arial" w:cs="Arial"/>
      <w:b/>
      <w:sz w:val="20"/>
      <w:lang w:eastAsia="en-CA"/>
    </w:rPr>
  </w:style>
  <w:style w:type="paragraph" w:styleId="Heading8">
    <w:name w:val="heading 8"/>
    <w:basedOn w:val="Normal"/>
    <w:next w:val="Normal"/>
    <w:qFormat/>
    <w:pPr>
      <w:widowControl/>
      <w:numPr>
        <w:ilvl w:val="7"/>
        <w:numId w:val="1"/>
      </w:numPr>
      <w:spacing w:before="240" w:after="120"/>
      <w:outlineLvl w:val="7"/>
    </w:pPr>
    <w:rPr>
      <w:rFonts w:ascii="Arial Narrow" w:hAnsi="Arial Narrow" w:cs="Arial Narrow"/>
      <w:b/>
      <w:sz w:val="20"/>
      <w:lang w:eastAsia="en-CA"/>
    </w:rPr>
  </w:style>
  <w:style w:type="paragraph" w:styleId="Heading9">
    <w:name w:val="heading 9"/>
    <w:basedOn w:val="Normal"/>
    <w:next w:val="Normal"/>
    <w:qFormat/>
    <w:pPr>
      <w:widowControl/>
      <w:numPr>
        <w:ilvl w:val="8"/>
        <w:numId w:val="1"/>
      </w:numPr>
      <w:spacing w:before="240" w:after="120"/>
      <w:outlineLvl w:val="8"/>
    </w:pPr>
    <w:rPr>
      <w:rFonts w:ascii="Arial Narrow" w:hAnsi="Arial Narrow" w:cs="Arial Narrow"/>
      <w:b/>
      <w:sz w:val="18"/>
      <w:lang w:eastAsia="en-CA"/>
    </w:rPr>
  </w:style>
  <w:style w:type="character" w:styleId="WW8Num1z0">
    <w:name w:val="WW8Num1z0"/>
    <w:qFormat/>
    <w:rPr>
      <w:rFonts w:ascii="Symbol" w:hAnsi="Symbol" w:cs="Symbol"/>
    </w:rPr>
  </w:style>
  <w:style w:type="character" w:styleId="WW8Num4z0">
    <w:name w:val="WW8Num4z0"/>
    <w:qFormat/>
    <w:rPr/>
  </w:style>
  <w:style w:type="character" w:styleId="WW8Num5z0">
    <w:name w:val="WW8Num5z0"/>
    <w:qFormat/>
    <w:rPr/>
  </w:style>
  <w:style w:type="character" w:styleId="WW8Num7z0">
    <w:name w:val="WW8Num7z0"/>
    <w:qFormat/>
    <w:rPr/>
  </w:style>
  <w:style w:type="character" w:styleId="WW8Num8z0">
    <w:name w:val="WW8Num8z0"/>
    <w:qFormat/>
    <w:rPr>
      <w:rFonts w:ascii="Symbol" w:hAnsi="Symbol" w:cs="Symbol"/>
    </w:rPr>
  </w:style>
  <w:style w:type="character" w:styleId="WW8Num9z0">
    <w:name w:val="WW8Num9z0"/>
    <w:qFormat/>
    <w:rPr/>
  </w:style>
  <w:style w:type="character" w:styleId="WW8Num10z0">
    <w:name w:val="WW8Num10z0"/>
    <w:qFormat/>
    <w:rPr/>
  </w:style>
  <w:style w:type="character" w:styleId="WW8Num11z0">
    <w:name w:val="WW8Num11z0"/>
    <w:qFormat/>
    <w:rPr>
      <w:rFonts w:ascii="Symbol" w:hAnsi="Symbol" w:cs="Symbol"/>
    </w:rPr>
  </w:style>
  <w:style w:type="character" w:styleId="WW8Num12z0">
    <w:name w:val="WW8Num12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style>
  <w:style w:type="character" w:styleId="WW8Num17z0">
    <w:name w:val="WW8Num17z0"/>
    <w:qFormat/>
    <w:rPr/>
  </w:style>
  <w:style w:type="character" w:styleId="WW8Num18z0">
    <w:name w:val="WW8Num18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5z0">
    <w:name w:val="WW8Num25z0"/>
    <w:qFormat/>
    <w:rPr>
      <w:rFonts w:ascii="Symbol" w:hAnsi="Symbol" w:cs="Symbol"/>
    </w:rPr>
  </w:style>
  <w:style w:type="character" w:styleId="WW8Num26z0">
    <w:name w:val="WW8Num26z0"/>
    <w:qFormat/>
    <w:rPr/>
  </w:style>
  <w:style w:type="character" w:styleId="WW8Num27z0">
    <w:name w:val="WW8Num27z0"/>
    <w:qFormat/>
    <w:rPr>
      <w:rFonts w:ascii="Times New Roman" w:hAnsi="Times New Roman" w:cs="Times New Roman"/>
    </w:rPr>
  </w:style>
  <w:style w:type="character" w:styleId="WW8Num28z0">
    <w:name w:val="WW8Num28z0"/>
    <w:qFormat/>
    <w:rPr/>
  </w:style>
  <w:style w:type="character" w:styleId="WW8Num29z0">
    <w:name w:val="WW8Num29z0"/>
    <w:qFormat/>
    <w:rPr/>
  </w:style>
  <w:style w:type="character" w:styleId="WW8Num30z0">
    <w:name w:val="WW8Num30z0"/>
    <w:qFormat/>
    <w:rPr>
      <w:rFonts w:ascii="WP MathA" w:hAnsi="WP MathA" w:cs="WP MathA"/>
    </w:rPr>
  </w:style>
  <w:style w:type="character" w:styleId="WW8Num31z0">
    <w:name w:val="WW8Num31z0"/>
    <w:qFormat/>
    <w:rPr/>
  </w:style>
  <w:style w:type="character" w:styleId="WW8Num32z0">
    <w:name w:val="WW8Num32z0"/>
    <w:qFormat/>
    <w:rPr>
      <w:rFonts w:ascii="Symbol" w:hAnsi="Symbol" w:cs="Symbol"/>
    </w:rPr>
  </w:style>
  <w:style w:type="character" w:styleId="WW8Num33z0">
    <w:name w:val="WW8Num33z0"/>
    <w:qFormat/>
    <w:rPr/>
  </w:style>
  <w:style w:type="character" w:styleId="WW8Num35z0">
    <w:name w:val="WW8Num35z0"/>
    <w:qFormat/>
    <w:rPr/>
  </w:style>
  <w:style w:type="character" w:styleId="WW8Num36z0">
    <w:name w:val="WW8Num36z0"/>
    <w:qFormat/>
    <w:rPr>
      <w:rFonts w:ascii="Times New Roman" w:hAnsi="Times New Roman" w:cs="Times New Roman"/>
      <w:sz w:val="16"/>
    </w:rPr>
  </w:style>
  <w:style w:type="character" w:styleId="WW8Num37z0">
    <w:name w:val="WW8Num37z0"/>
    <w:qFormat/>
    <w:rPr>
      <w:rFonts w:ascii="Symbol" w:hAnsi="Symbol" w:cs="Symbol"/>
    </w:rPr>
  </w:style>
  <w:style w:type="character" w:styleId="WW8Num40z0">
    <w:name w:val="WW8Num40z0"/>
    <w:qFormat/>
    <w:rPr/>
  </w:style>
  <w:style w:type="character" w:styleId="WW8Num41z0">
    <w:name w:val="WW8Num41z0"/>
    <w:qFormat/>
    <w:rPr/>
  </w:style>
  <w:style w:type="character" w:styleId="WW8Num42z0">
    <w:name w:val="WW8Num42z0"/>
    <w:qFormat/>
    <w:rPr/>
  </w:style>
  <w:style w:type="character" w:styleId="WW8Num43z0">
    <w:name w:val="WW8Num43z0"/>
    <w:qFormat/>
    <w:rPr/>
  </w:style>
  <w:style w:type="character" w:styleId="WW8NumSt15z0">
    <w:name w:val="WW8NumSt15z0"/>
    <w:qFormat/>
    <w:rPr>
      <w:rFonts w:ascii="Symbol" w:hAnsi="Symbol" w:cs="Symbol"/>
      <w:sz w:val="24"/>
    </w:rPr>
  </w:style>
  <w:style w:type="character" w:styleId="WW8NumSt16z0">
    <w:name w:val="WW8NumSt16z0"/>
    <w:qFormat/>
    <w:rPr>
      <w:rFonts w:ascii="Symbol" w:hAnsi="Symbol" w:cs="Symbol"/>
    </w:rPr>
  </w:style>
  <w:style w:type="character" w:styleId="WW8NumSt17z0">
    <w:name w:val="WW8NumSt17z0"/>
    <w:qFormat/>
    <w:rPr>
      <w:rFonts w:ascii="Symbol" w:hAnsi="Symbol" w:cs="Symbol"/>
    </w:rPr>
  </w:style>
  <w:style w:type="character" w:styleId="WW8NumSt18z0">
    <w:name w:val="WW8NumSt18z0"/>
    <w:qFormat/>
    <w:rPr>
      <w:rFonts w:ascii="Symbol" w:hAnsi="Symbol" w:cs="Symbol"/>
    </w:rPr>
  </w:style>
  <w:style w:type="character" w:styleId="WW8NumSt22z0">
    <w:name w:val="WW8NumSt22z0"/>
    <w:qFormat/>
    <w:rPr>
      <w:rFonts w:ascii="Arial" w:hAnsi="Arial" w:cs="Arial"/>
    </w:rPr>
  </w:style>
  <w:style w:type="character" w:styleId="DefaultParagraphFont">
    <w:name w:val="Default Paragraph Font"/>
    <w:qFormat/>
    <w:rPr/>
  </w:style>
  <w:style w:type="character" w:styleId="FootnoteCharacters">
    <w:name w:val="Footnote Characters"/>
    <w:qForma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pPr>
    <w:rPr>
      <w:color w:val="000000"/>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Paragraph">
    <w:name w:val="Paragraph"/>
    <w:basedOn w:val="Normal"/>
    <w:qFormat/>
    <w:pPr>
      <w:widowControl/>
      <w:tabs>
        <w:tab w:val="clear" w:pos="720"/>
        <w:tab w:val="left" w:pos="2520" w:leader="none"/>
      </w:tabs>
      <w:spacing w:before="120" w:after="120"/>
      <w:ind w:hanging="0" w:start="2520" w:end="0"/>
      <w:jc w:val="both"/>
    </w:pPr>
    <w:rPr>
      <w:lang w:eastAsia="en-CA"/>
    </w:rPr>
  </w:style>
  <w:style w:type="paragraph" w:styleId="ListBullet">
    <w:name w:val="List:Bullet"/>
    <w:basedOn w:val="Paragraph"/>
    <w:qFormat/>
    <w:pPr>
      <w:numPr>
        <w:ilvl w:val="0"/>
        <w:numId w:val="5"/>
      </w:numPr>
      <w:tabs>
        <w:tab w:val="left" w:pos="2520" w:leader="none"/>
        <w:tab w:val="left" w:pos="2880" w:leader="none"/>
        <w:tab w:val="left" w:pos="3600" w:leader="none"/>
        <w:tab w:val="left" w:pos="4320" w:leader="none"/>
        <w:tab w:val="left" w:pos="5760" w:leader="none"/>
        <w:tab w:val="left" w:pos="7200" w:leader="none"/>
      </w:tabs>
      <w:spacing w:before="120" w:after="60"/>
      <w:jc w:val="start"/>
    </w:pPr>
    <w:rPr/>
  </w:style>
  <w:style w:type="paragraph" w:styleId="ListDash">
    <w:name w:val="List:Dash"/>
    <w:qFormat/>
    <w:pPr>
      <w:widowControl/>
      <w:numPr>
        <w:ilvl w:val="0"/>
        <w:numId w:val="4"/>
      </w:numPr>
      <w:tabs>
        <w:tab w:val="clear" w:pos="720"/>
        <w:tab w:val="left" w:pos="3600" w:leader="none"/>
      </w:tabs>
      <w:bidi w:val="0"/>
      <w:spacing w:lineRule="auto" w:line="360"/>
    </w:pPr>
    <w:rPr>
      <w:rFonts w:ascii="Times New Roman" w:hAnsi="Times New Roman" w:eastAsia="Times New Roman" w:cs="Times New Roman"/>
      <w:color w:val="auto"/>
      <w:sz w:val="24"/>
      <w:szCs w:val="20"/>
      <w:lang w:val="en-US" w:eastAsia="zh-CN" w:bidi="hi-IN"/>
    </w:rPr>
  </w:style>
  <w:style w:type="paragraph" w:styleId="BodyTextIndent3">
    <w:name w:val="Body Text Indent 3"/>
    <w:basedOn w:val="Normal"/>
    <w:qFormat/>
    <w:pPr>
      <w:widowControl/>
      <w:tabs>
        <w:tab w:val="clear" w:pos="720"/>
        <w:tab w:val="left" w:pos="-1440" w:leader="none"/>
      </w:tabs>
      <w:ind w:hanging="720" w:start="720" w:end="0"/>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BodyText2">
    <w:name w:val="Body Text 2"/>
    <w:basedOn w:val="Normal"/>
    <w:qFormat/>
    <w:pPr>
      <w:widowControl/>
      <w:tabs>
        <w:tab w:val="clear" w:pos="720"/>
        <w:tab w:val="center" w:pos="4104" w:leader="none"/>
      </w:tabs>
      <w:jc w:val="center"/>
    </w:pPr>
    <w:rPr>
      <w:i/>
    </w:rPr>
  </w:style>
  <w:style w:type="paragraph" w:styleId="FooterB">
    <w:name w:val="Footer B"/>
    <w:basedOn w:val="Normal"/>
    <w:qFormat/>
    <w:pPr>
      <w:tabs>
        <w:tab w:val="clear" w:pos="720"/>
        <w:tab w:val="left" w:pos="0" w:leader="none"/>
        <w:tab w:val="center" w:pos="4320" w:leader="none"/>
        <w:tab w:val="right" w:pos="8208" w:leader="none"/>
      </w:tabs>
    </w:pPr>
    <w:rPr>
      <w:sz w:val="16"/>
    </w:rPr>
  </w:style>
  <w:style w:type="paragraph" w:styleId="FootnoteText">
    <w:name w:val="footnote text"/>
    <w:basedOn w:val="Normal"/>
    <w:pPr>
      <w:widowControl/>
    </w:pPr>
    <w:rPr>
      <w:sz w:val="20"/>
      <w:lang w:eastAsia="en-CA"/>
    </w:rPr>
  </w:style>
  <w:style w:type="paragraph" w:styleId="para">
    <w:name w:val="para"/>
    <w:qFormat/>
    <w:pPr>
      <w:widowControl w:val="false"/>
      <w:tabs>
        <w:tab w:val="clear" w:pos="720"/>
        <w:tab w:val="left" w:pos="2520" w:leader="none"/>
      </w:tabs>
      <w:bidi w:val="0"/>
      <w:spacing w:lineRule="atLeast" w:line="278" w:before="0" w:after="72"/>
    </w:pPr>
    <w:rPr>
      <w:rFonts w:ascii="Times" w:hAnsi="Times" w:eastAsia="Times New Roman" w:cs="Times"/>
      <w:color w:val="auto"/>
      <w:sz w:val="24"/>
      <w:szCs w:val="20"/>
      <w:lang w:val="en-US" w:eastAsia="zh-CN" w:bidi="hi-IN"/>
    </w:rPr>
  </w:style>
  <w:style w:type="paragraph" w:styleId="TableHead">
    <w:name w:val="Table Head"/>
    <w:basedOn w:val="Normal"/>
    <w:qFormat/>
    <w:pPr>
      <w:keepNext w:val="true"/>
      <w:widowControl/>
      <w:spacing w:before="40" w:after="40"/>
      <w:jc w:val="center"/>
    </w:pPr>
    <w:rPr>
      <w:rFonts w:ascii="Arial" w:hAnsi="Arial" w:cs="Arial"/>
      <w:b/>
      <w:sz w:val="22"/>
      <w:lang w:eastAsia="en-CA"/>
    </w:rPr>
  </w:style>
  <w:style w:type="paragraph" w:styleId="TableLeft">
    <w:name w:val="Table Left"/>
    <w:basedOn w:val="Normal"/>
    <w:qFormat/>
    <w:pPr>
      <w:widowControl/>
      <w:spacing w:before="40" w:after="40"/>
      <w:ind w:hanging="0" w:start="144" w:end="0"/>
    </w:pPr>
    <w:rPr>
      <w:sz w:val="22"/>
      <w:lang w:eastAsia="en-CA"/>
    </w:rPr>
  </w:style>
  <w:style w:type="paragraph" w:styleId="Footer">
    <w:name w:val="footer"/>
    <w:basedOn w:val="Normal"/>
    <w:pPr>
      <w:tabs>
        <w:tab w:val="clear" w:pos="720"/>
        <w:tab w:val="center" w:pos="4320" w:leader="none"/>
        <w:tab w:val="right" w:pos="864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oleObject" Target="embeddings/oleObject1.bin"/><Relationship Id="rId17" Type="http://schemas.openxmlformats.org/officeDocument/2006/relationships/image" Target="media/image1.wmf"/><Relationship Id="rId18" Type="http://schemas.openxmlformats.org/officeDocument/2006/relationships/oleObject" Target="embeddings/oleObject2.bin"/><Relationship Id="rId19" Type="http://schemas.openxmlformats.org/officeDocument/2006/relationships/image" Target="media/image1.wmf"/><Relationship Id="rId20" Type="http://schemas.openxmlformats.org/officeDocument/2006/relationships/oleObject" Target="embeddings/oleObject3.bin"/><Relationship Id="rId21" Type="http://schemas.openxmlformats.org/officeDocument/2006/relationships/image" Target="media/image2.wmf"/><Relationship Id="rId22" Type="http://schemas.openxmlformats.org/officeDocument/2006/relationships/oleObject" Target="embeddings/oleObject4.bin"/><Relationship Id="rId23" Type="http://schemas.openxmlformats.org/officeDocument/2006/relationships/image" Target="media/image3.wmf"/><Relationship Id="rId24" Type="http://schemas.openxmlformats.org/officeDocument/2006/relationships/oleObject" Target="embeddings/oleObject5.bin"/><Relationship Id="rId25" Type="http://schemas.openxmlformats.org/officeDocument/2006/relationships/image" Target="media/image4.wmf"/><Relationship Id="rId26" Type="http://schemas.openxmlformats.org/officeDocument/2006/relationships/oleObject" Target="embeddings/oleObject6.bin"/><Relationship Id="rId27" Type="http://schemas.openxmlformats.org/officeDocument/2006/relationships/image" Target="media/image5.wmf"/><Relationship Id="rId28" Type="http://schemas.openxmlformats.org/officeDocument/2006/relationships/oleObject" Target="embeddings/oleObject7.bin"/><Relationship Id="rId29" Type="http://schemas.openxmlformats.org/officeDocument/2006/relationships/image" Target="media/image6.wmf"/><Relationship Id="rId30" Type="http://schemas.openxmlformats.org/officeDocument/2006/relationships/oleObject" Target="embeddings/oleObject8.bin"/><Relationship Id="rId31" Type="http://schemas.openxmlformats.org/officeDocument/2006/relationships/image" Target="media/image7.wmf"/><Relationship Id="rId32" Type="http://schemas.openxmlformats.org/officeDocument/2006/relationships/oleObject" Target="embeddings/oleObject9.bin"/><Relationship Id="rId33" Type="http://schemas.openxmlformats.org/officeDocument/2006/relationships/image" Target="media/image8.wmf"/><Relationship Id="rId34" Type="http://schemas.openxmlformats.org/officeDocument/2006/relationships/oleObject" Target="embeddings/oleObject10.bin"/><Relationship Id="rId35" Type="http://schemas.openxmlformats.org/officeDocument/2006/relationships/image" Target="media/image9.wmf"/><Relationship Id="rId36" Type="http://schemas.openxmlformats.org/officeDocument/2006/relationships/oleObject" Target="embeddings/oleObject11.bin"/><Relationship Id="rId37" Type="http://schemas.openxmlformats.org/officeDocument/2006/relationships/image" Target="media/image10.wmf"/><Relationship Id="rId38" Type="http://schemas.openxmlformats.org/officeDocument/2006/relationships/oleObject" Target="embeddings/oleObject12.bin"/><Relationship Id="rId39" Type="http://schemas.openxmlformats.org/officeDocument/2006/relationships/image" Target="media/image11.wmf"/><Relationship Id="rId40" Type="http://schemas.openxmlformats.org/officeDocument/2006/relationships/oleObject" Target="embeddings/oleObject13.bin"/><Relationship Id="rId41" Type="http://schemas.openxmlformats.org/officeDocument/2006/relationships/image" Target="media/image12.wmf"/><Relationship Id="rId42" Type="http://schemas.openxmlformats.org/officeDocument/2006/relationships/oleObject" Target="embeddings/oleObject14.bin"/><Relationship Id="rId43" Type="http://schemas.openxmlformats.org/officeDocument/2006/relationships/image" Target="media/image13.wmf"/><Relationship Id="rId44" Type="http://schemas.openxmlformats.org/officeDocument/2006/relationships/oleObject" Target="embeddings/oleObject15.bin"/><Relationship Id="rId45" Type="http://schemas.openxmlformats.org/officeDocument/2006/relationships/image" Target="media/image14.wmf"/><Relationship Id="rId46" Type="http://schemas.openxmlformats.org/officeDocument/2006/relationships/oleObject" Target="embeddings/oleObject16.bin"/><Relationship Id="rId47" Type="http://schemas.openxmlformats.org/officeDocument/2006/relationships/image" Target="media/image15.wmf"/><Relationship Id="rId48" Type="http://schemas.openxmlformats.org/officeDocument/2006/relationships/oleObject" Target="embeddings/oleObject17.bin"/><Relationship Id="rId49" Type="http://schemas.openxmlformats.org/officeDocument/2006/relationships/image" Target="media/image16.wmf"/><Relationship Id="rId50" Type="http://schemas.openxmlformats.org/officeDocument/2006/relationships/oleObject" Target="embeddings/oleObject18.bin"/><Relationship Id="rId51" Type="http://schemas.openxmlformats.org/officeDocument/2006/relationships/image" Target="media/image17.wmf"/><Relationship Id="rId52" Type="http://schemas.openxmlformats.org/officeDocument/2006/relationships/oleObject" Target="embeddings/oleObject19.bin"/><Relationship Id="rId53" Type="http://schemas.openxmlformats.org/officeDocument/2006/relationships/image" Target="media/image18.wmf"/><Relationship Id="rId54" Type="http://schemas.openxmlformats.org/officeDocument/2006/relationships/footer" Target="footer15.xml"/><Relationship Id="rId55" Type="http://schemas.openxmlformats.org/officeDocument/2006/relationships/footer" Target="footer16.xml"/><Relationship Id="rId56" Type="http://schemas.openxmlformats.org/officeDocument/2006/relationships/footer" Target="footer17.xml"/><Relationship Id="rId57" Type="http://schemas.openxmlformats.org/officeDocument/2006/relationships/footer" Target="footer18.xml"/><Relationship Id="rId58" Type="http://schemas.openxmlformats.org/officeDocument/2006/relationships/footnotes" Target="footnotes.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93</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2000-03-23T18:20:00Z</dcterms:created>
  <dc:creator>Skadden, Arps, Slate, Meagher &amp; Flom</dc:creator>
  <dc:description/>
  <dc:language>en-CA</dc:language>
  <cp:lastModifiedBy>Skadden, Arps, Slate, Meagher &amp; Flom</cp:lastModifiedBy>
  <cp:lastPrinted>2000-03-23T16:32:00Z</cp:lastPrinted>
  <dcterms:modified xsi:type="dcterms:W3CDTF">2000-03-24T14:56:00Z</dcterms:modified>
  <cp:revision>19</cp:revision>
  <dc:subject/>
  <dc:title/>
</cp:coreProperties>
</file>