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ab/>
        <w:tab/>
        <w:tab/>
        <w:tab/>
        <w:tab/>
        <w:tab/>
        <w:tab/>
        <w:tab/>
        <w:tab/>
        <w:tab/>
        <w:tab/>
      </w:r>
    </w:p>
    <w:p>
      <w:pPr>
        <w:pStyle w:val="Normal"/>
        <w:rPr>
          <w:sz w:val="23"/>
        </w:rPr>
      </w:pPr>
      <w:r>
        <w:rPr>
          <w:sz w:val="23"/>
        </w:rPr>
      </w:r>
    </w:p>
    <w:p>
      <w:pPr>
        <w:pStyle w:val="Normal"/>
        <w:rPr>
          <w:sz w:val="23"/>
        </w:rPr>
      </w:pPr>
      <w:r>
        <w:rPr>
          <w:sz w:val="23"/>
        </w:rPr>
      </w:r>
    </w:p>
    <w:p>
      <w:pPr>
        <w:pStyle w:val="Normal"/>
        <w:jc w:val="center"/>
        <w:rPr>
          <w:sz w:val="23"/>
        </w:rPr>
      </w:pPr>
      <w:r>
        <w:rPr>
          <w:sz w:val="23"/>
        </w:rPr>
        <w:t>April 10, 2000</w:t>
      </w:r>
    </w:p>
    <w:p>
      <w:pPr>
        <w:pStyle w:val="Normal"/>
        <w:jc w:val="center"/>
        <w:rPr>
          <w:sz w:val="23"/>
        </w:rPr>
      </w:pPr>
      <w:r>
        <w:rPr>
          <w:sz w:val="23"/>
        </w:rPr>
      </w:r>
    </w:p>
    <w:p>
      <w:pPr>
        <w:pStyle w:val="Normal"/>
        <w:ind w:firstLine="720" w:start="3600" w:end="0"/>
        <w:jc w:val="center"/>
        <w:rPr>
          <w:b/>
          <w:sz w:val="23"/>
          <w:u w:val="single"/>
        </w:rPr>
      </w:pPr>
      <w:r>
        <w:rPr>
          <w:b/>
          <w:sz w:val="23"/>
          <w:u w:val="single"/>
        </w:rPr>
      </w:r>
    </w:p>
    <w:p>
      <w:pPr>
        <w:pStyle w:val="Normal"/>
        <w:ind w:firstLine="720" w:start="3600" w:end="0"/>
        <w:jc w:val="center"/>
        <w:rPr>
          <w:b/>
          <w:sz w:val="23"/>
          <w:u w:val="single"/>
        </w:rPr>
      </w:pPr>
      <w:r>
        <w:rPr>
          <w:b/>
          <w:sz w:val="23"/>
          <w:u w:val="single"/>
        </w:rPr>
        <w:t>Personal and Confidential</w:t>
        <w:br/>
      </w:r>
      <w:r>
        <w:rPr>
          <w:sz w:val="23"/>
        </w:rPr>
        <w:tab/>
        <w:t xml:space="preserve">  </w:t>
      </w:r>
    </w:p>
    <w:p>
      <w:pPr>
        <w:pStyle w:val="Normal"/>
        <w:jc w:val="both"/>
        <w:rPr>
          <w:sz w:val="23"/>
        </w:rPr>
      </w:pPr>
      <w:r>
        <w:rPr>
          <w:sz w:val="23"/>
        </w:rPr>
        <w:t>Ms. Samantha Ray</w:t>
      </w:r>
    </w:p>
    <w:p>
      <w:pPr>
        <w:pStyle w:val="Normal"/>
        <w:jc w:val="both"/>
        <w:rPr>
          <w:sz w:val="23"/>
        </w:rPr>
      </w:pPr>
      <w:r>
        <w:rPr>
          <w:sz w:val="23"/>
        </w:rPr>
        <w:t>[Address]</w:t>
      </w:r>
    </w:p>
    <w:p>
      <w:pPr>
        <w:pStyle w:val="Normal"/>
        <w:jc w:val="both"/>
        <w:rPr>
          <w:sz w:val="23"/>
        </w:rPr>
      </w:pPr>
      <w:r>
        <w:rPr>
          <w:sz w:val="23"/>
        </w:rPr>
        <w:t>Houston, Texas 77___</w:t>
      </w:r>
    </w:p>
    <w:p>
      <w:pPr>
        <w:pStyle w:val="Normal"/>
        <w:jc w:val="both"/>
        <w:rPr>
          <w:sz w:val="23"/>
        </w:rPr>
      </w:pPr>
      <w:r>
        <w:rPr>
          <w:sz w:val="23"/>
        </w:rPr>
      </w:r>
    </w:p>
    <w:p>
      <w:pPr>
        <w:pStyle w:val="Normal"/>
        <w:jc w:val="both"/>
        <w:rPr>
          <w:sz w:val="23"/>
        </w:rPr>
      </w:pPr>
      <w:r>
        <w:rPr>
          <w:sz w:val="23"/>
        </w:rPr>
        <w:tab/>
        <w:t>Re:</w:t>
        <w:tab/>
        <w:t>Confidentiality Agreement</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t>Dear Samantha:</w:t>
      </w:r>
    </w:p>
    <w:p>
      <w:pPr>
        <w:pStyle w:val="Normal"/>
        <w:jc w:val="both"/>
        <w:rPr>
          <w:sz w:val="23"/>
        </w:rPr>
      </w:pPr>
      <w:r>
        <w:rPr>
          <w:sz w:val="23"/>
        </w:rPr>
      </w:r>
    </w:p>
    <w:p>
      <w:pPr>
        <w:pStyle w:val="Normal"/>
        <w:jc w:val="both"/>
        <w:rPr>
          <w:sz w:val="23"/>
        </w:rPr>
      </w:pPr>
      <w:r>
        <w:rPr>
          <w:sz w:val="23"/>
        </w:rPr>
        <w:t>You recently informed Enron Corp. (“Enron”), that you are resigning from your employment with Enron.  It is my understanding that you are going to work for Dynegy, where you will be working in its staffing organization.</w:t>
      </w:r>
    </w:p>
    <w:p>
      <w:pPr>
        <w:pStyle w:val="Normal"/>
        <w:jc w:val="both"/>
        <w:rPr>
          <w:sz w:val="23"/>
        </w:rPr>
      </w:pPr>
      <w:r>
        <w:rPr>
          <w:sz w:val="23"/>
        </w:rPr>
      </w:r>
    </w:p>
    <w:p>
      <w:pPr>
        <w:pStyle w:val="Normal"/>
        <w:jc w:val="both"/>
        <w:rPr>
          <w:sz w:val="23"/>
        </w:rPr>
      </w:pPr>
      <w:r>
        <w:rPr>
          <w:sz w:val="23"/>
        </w:rPr>
        <w:t xml:space="preserve">During your employment with Enron and/or its subsidiaries, you affirmed on several occasions that you would comply with the policies contained in Enron’s Conduct of Business Affairs book.  Enron’s policy entitled “Trade Secrets and Confidential Information” provides that “no employee may use, either for his/her own personal benefit or for the benefit of others, Company information that is not publicly known.”  Similarly, the policy provides that “no employee should disclose trade secrets or proprietary or confidential information . . . to outsiders.”  “Wage and salary or other personnel data” is included in its description of confidential information.  This information includes not only whether an employee works for ENA, but also information regarding the employee’s job responsibilities, tenure, salary, performance, employment agreement status, etc.  </w:t>
      </w:r>
    </w:p>
    <w:p>
      <w:pPr>
        <w:pStyle w:val="Normal"/>
        <w:jc w:val="both"/>
        <w:rPr>
          <w:sz w:val="23"/>
        </w:rPr>
      </w:pPr>
      <w:r>
        <w:rPr>
          <w:sz w:val="23"/>
        </w:rPr>
      </w:r>
    </w:p>
    <w:p>
      <w:pPr>
        <w:pStyle w:val="BodyText"/>
        <w:rPr/>
      </w:pPr>
      <w:r>
        <w:rPr/>
        <w:t>To ensure that there are no misunderstandings, Enron would view any activity to recruit current employees of Enron and/or its subsidiaries to work for your new employer as a violation of your obligation to maintain the confidentiality of proprietary information.  Such activity also could constitute tortious interference with Enron’s business relationships with its employees.</w:t>
      </w:r>
    </w:p>
    <w:p>
      <w:pPr>
        <w:pStyle w:val="Normal"/>
        <w:jc w:val="both"/>
        <w:rPr>
          <w:sz w:val="23"/>
        </w:rPr>
      </w:pPr>
      <w:r>
        <w:rPr>
          <w:sz w:val="23"/>
        </w:rPr>
      </w:r>
    </w:p>
    <w:p>
      <w:pPr>
        <w:pStyle w:val="Normal"/>
        <w:jc w:val="both"/>
        <w:rPr>
          <w:sz w:val="23"/>
        </w:rPr>
      </w:pPr>
      <w:r>
        <w:rPr>
          <w:sz w:val="23"/>
        </w:rPr>
        <w:t>If you have any questions, please give me a call.</w:t>
      </w:r>
    </w:p>
    <w:p>
      <w:pPr>
        <w:pStyle w:val="Normal"/>
        <w:jc w:val="both"/>
        <w:rPr>
          <w:sz w:val="23"/>
        </w:rPr>
      </w:pPr>
      <w:r>
        <w:rPr>
          <w:sz w:val="23"/>
        </w:rPr>
      </w:r>
    </w:p>
    <w:p>
      <w:pPr>
        <w:pStyle w:val="Normal"/>
        <w:ind w:firstLine="720" w:end="0"/>
        <w:jc w:val="both"/>
        <w:rPr>
          <w:sz w:val="23"/>
        </w:rPr>
      </w:pPr>
      <w:r>
        <w:rPr>
          <w:sz w:val="23"/>
        </w:rPr>
        <w:tab/>
        <w:tab/>
        <w:tab/>
        <w:tab/>
        <w:tab/>
        <w:t>Very truly yours,</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tab/>
        <w:tab/>
        <w:tab/>
        <w:tab/>
        <w:tab/>
        <w:tab/>
        <w:t>Drew Lynch</w:t>
      </w:r>
    </w:p>
    <w:p>
      <w:pPr>
        <w:pStyle w:val="Normal"/>
        <w:jc w:val="both"/>
        <w:rPr>
          <w:sz w:val="23"/>
        </w:rPr>
      </w:pPr>
      <w:r>
        <w:rPr>
          <w:sz w:val="23"/>
        </w:rPr>
      </w:r>
    </w:p>
    <w:p>
      <w:pPr>
        <w:pStyle w:val="Normal"/>
        <w:jc w:val="both"/>
        <w:rPr>
          <w:sz w:val="23"/>
        </w:rPr>
      </w:pPr>
      <w:r>
        <w:rPr>
          <w:sz w:val="23"/>
        </w:rPr>
        <w:t>DL/tys</w:t>
      </w:r>
    </w:p>
    <w:p>
      <w:pPr>
        <w:pStyle w:val="Normal"/>
        <w:jc w:val="both"/>
        <w:rPr>
          <w:sz w:val="23"/>
        </w:rPr>
      </w:pPr>
      <w:r>
        <w:rPr>
          <w:sz w:val="23"/>
        </w:rPr>
      </w:r>
    </w:p>
    <w:p>
      <w:pPr>
        <w:pStyle w:val="Normal"/>
        <w:jc w:val="both"/>
        <w:rPr>
          <w:sz w:val="23"/>
        </w:rPr>
      </w:pPr>
      <w:r>
        <w:rPr>
          <w:sz w:val="23"/>
        </w:rPr>
        <w:t>cc:</w:t>
        <w:tab/>
        <w:t>Gwen Petteway</w:t>
      </w:r>
    </w:p>
    <w:sectPr>
      <w:headerReference w:type="default" r:id="rId2"/>
      <w:headerReference w:type="first" r:id="rId3"/>
      <w:footerReference w:type="default" r:id="rId4"/>
      <w:footerReference w:type="first" r:id="rId5"/>
      <w:type w:val="nextPage"/>
      <w:pgSz w:w="12240" w:h="15840"/>
      <w:pgMar w:left="1296" w:right="1296" w:gutter="0" w:header="720" w:top="1440" w:footer="288" w:bottom="34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3003mhc.doc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3119mhc.doc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Ms. Kathleen Fenninger</w:t>
    </w:r>
  </w:p>
  <w:p>
    <w:pPr>
      <w:pStyle w:val="Header"/>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p>
  <w:p>
    <w:pPr>
      <w:pStyle w:val="Head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2000-04-07T12:53:00Z</dcterms:created>
  <dc:creator>tsweet</dc:creator>
  <dc:description/>
  <dc:language>en-CA</dc:language>
  <cp:lastModifiedBy>tsweet</cp:lastModifiedBy>
  <cp:lastPrinted>2000-04-10T11:04:00Z</cp:lastPrinted>
  <dcterms:modified xsi:type="dcterms:W3CDTF">2000-04-10T13:34:00Z</dcterms:modified>
  <cp:revision>4</cp:revision>
  <dc:subject/>
  <dc:title>November 4, 1999</dc:title>
</cp:coreProperties>
</file>