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MASTER FIRM GAS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UBS AG, a bank organized under the laws of Switzerland ("</w:t>
      </w:r>
      <w:r>
        <w:rPr>
          <w:rFonts w:cs="Arial Narrow" w:ascii="Arial Narrow" w:hAnsi="Arial Narrow"/>
          <w:sz w:val="18"/>
          <w:u w:val="single"/>
        </w:rPr>
        <w:t>UBS</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Gas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UBS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will form a single integrated agreement.  It is acknowledged that the Parties are relying on the fact that all Transactions, together with this Agreement will form a single integrated agreement and that the Parties would not otherwise enter into any Transactions.  In the event of any inconsistency between the Transaction (as may be evidenced by a Confirmation, if any, or a Transaction Agreement, if any, together with the Long Product Definitions) and this Agreement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or (iii) the terms set forth in the internet-based electronic trading facility established by UBS (the “</w:t>
      </w:r>
      <w:r>
        <w:rPr>
          <w:rFonts w:cs="Arial Narrow" w:ascii="Arial Narrow" w:hAnsi="Arial Narrow"/>
          <w:sz w:val="18"/>
          <w:u w:val="single"/>
        </w:rPr>
        <w:t>Website</w:t>
      </w:r>
      <w:r>
        <w:rPr>
          <w:rFonts w:cs="Arial Narrow" w:ascii="Arial Narrow" w:hAnsi="Arial Narrow"/>
          <w:sz w:val="18"/>
        </w:rPr>
        <w:t xml:space="preserve">”) submitted by Customer and accepted by UBS; provided, each Party may stipulate by prior notice to the other Party that any particular contemplated Transaction may be effectuated and formed only by means of procedure (i) above.  In entering into a Transaction, UBS shall act through the branch specified in the Long Product Definitions on the Website or in any applicable Transaction.  Notwithstanding the place of booking office or jurisdiction or organization of such branch, the obligations of UBS are the same as if UBS had entered the Transaction through its head or home office.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UBS shall at its expense maintain equipment necessary to regularly record Transactions on Transaction Tapes and retain Transaction Tapes in such manner as to protect its business records from improper access; provided, UBS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UBS may confirm a telephonic Transaction by forwarding to Customer a facsimile Confirmation and that a reasonable time for the receipt by Customer of a Confirmation is within 24 hours of the Transaction formation.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entering into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If UBS and Customer are each required to pay an amount in the same Month pursuant to Transactions under this Agreement, or any other transaction for the purchase and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3.6. </w:t>
      </w:r>
      <w:r>
        <w:rPr>
          <w:rFonts w:cs="Arial Narrow" w:ascii="Arial Narrow" w:hAnsi="Arial Narrow"/>
          <w:b/>
          <w:sz w:val="18"/>
          <w:u w:val="single"/>
        </w:rPr>
        <w:t>Major Scheduling Event</w:t>
      </w:r>
      <w:r>
        <w:rPr>
          <w:rFonts w:cs="Arial Narrow" w:ascii="Arial Narrow" w:hAnsi="Arial Narrow"/>
          <w:sz w:val="18"/>
        </w:rPr>
        <w:t xml:space="preserve">.  In addition to the remedies for failure to Schedule outlined in </w:t>
      </w:r>
      <w:r>
        <w:rPr>
          <w:rFonts w:cs="Arial Narrow" w:ascii="Arial Narrow" w:hAnsi="Arial Narrow"/>
          <w:sz w:val="18"/>
          <w:u w:val="single"/>
        </w:rPr>
        <w:t>Sections 3.2 and 3.4</w:t>
      </w:r>
      <w:r>
        <w:rPr>
          <w:rFonts w:cs="Arial Narrow" w:ascii="Arial Narrow" w:hAnsi="Arial Narrow"/>
          <w:sz w:val="18"/>
        </w:rPr>
        <w:t xml:space="preserve">, if Seller fails to Schedule Buyer’s Requested Quantity or Buyer fails to Schedule the DCQ or MinDQ, as applicable for a cumulative period of 15 or more Days in a 12-Month period in any one Transaction unless excused by </w:t>
      </w:r>
      <w:r>
        <w:rPr>
          <w:rFonts w:cs="Arial Narrow" w:ascii="Arial Narrow" w:hAnsi="Arial Narrow"/>
          <w:sz w:val="18"/>
          <w:u w:val="single"/>
        </w:rPr>
        <w:t>Force Majeure</w:t>
      </w:r>
      <w:r>
        <w:rPr>
          <w:rFonts w:cs="Arial Narrow" w:ascii="Arial Narrow" w:hAnsi="Arial Narrow"/>
          <w:sz w:val="18"/>
        </w:rPr>
        <w:t xml:space="preserve"> or the other Party’s failure to perform its obligations hereunder (a “</w:t>
      </w:r>
      <w:r>
        <w:rPr>
          <w:rFonts w:cs="Arial Narrow" w:ascii="Arial Narrow" w:hAnsi="Arial Narrow"/>
          <w:sz w:val="18"/>
          <w:u w:val="single"/>
        </w:rPr>
        <w:t>Major Scheduling Event</w:t>
      </w:r>
      <w:r>
        <w:rPr>
          <w:rFonts w:cs="Arial Narrow" w:ascii="Arial Narrow" w:hAnsi="Arial Narrow"/>
          <w:sz w:val="18"/>
        </w:rPr>
        <w:t xml:space="preserve">”), the other Party may at its election made by written notice provided no later than 60-Days after the occurrence of such Major Scheduling Event, designate an Early Termination Date in accordance with the provisions of </w:t>
      </w:r>
      <w:r>
        <w:rPr>
          <w:rFonts w:cs="Arial Narrow" w:ascii="Arial Narrow" w:hAnsi="Arial Narrow"/>
          <w:sz w:val="18"/>
          <w:u w:val="single"/>
        </w:rPr>
        <w:t>Section 4.1</w:t>
      </w:r>
      <w:r>
        <w:rPr>
          <w:rFonts w:cs="Arial Narrow" w:ascii="Arial Narrow" w:hAnsi="Arial Narrow"/>
          <w:sz w:val="18"/>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If an Event of Default shall have occurred and shall be continuing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in its sole discretion, by no more than 20-Days notice designate a Day no earlier than the Day such notice is effective as an early termination date (the “</w:t>
      </w:r>
      <w:r>
        <w:rPr>
          <w:rFonts w:cs="Arial Narrow" w:ascii="Arial Narrow" w:hAnsi="Arial Narrow"/>
          <w:sz w:val="18"/>
          <w:u w:val="single"/>
        </w:rPr>
        <w:t>Early Termination Date</w:t>
      </w:r>
      <w:r>
        <w:rPr>
          <w:rFonts w:cs="Arial Narrow" w:ascii="Arial Narrow" w:hAnsi="Arial Narrow"/>
          <w:sz w:val="18"/>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Notifying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Notifying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Notifying Party shall aggregate such Gains, Losses and Costs, and receivables hereunder then owed by and to it, with respect to all Transactions into a single net amount and notify the Defaulting Party of the net amount owed or owing (the “</w:t>
      </w:r>
      <w:r>
        <w:rPr>
          <w:rFonts w:cs="Arial Narrow" w:ascii="Arial Narrow" w:hAnsi="Arial Narrow"/>
          <w:sz w:val="18"/>
          <w:u w:val="single"/>
        </w:rPr>
        <w:t>Termination Payment</w:t>
      </w:r>
      <w:r>
        <w:rPr>
          <w:rFonts w:cs="Arial Narrow" w:ascii="Arial Narrow" w:hAnsi="Arial Narrow"/>
          <w:sz w:val="18"/>
        </w:rPr>
        <w:t xml:space="preserve">”).  If the Notifying Party’s aggregate Losses and Costs and receivables hereunder owed to it exceed its aggregate Gains and receivables hereunder owed by it, the Defaulting Party shall, within five Business Days of receipt of such notice, pay the Termination Payment to the Notifying Party, which Termination Payment shall accrue interest at the Interest Rate from the Early Termination Date until paid.  If the Notifying Party’s aggregate Gains and receivables hereunder owed by it exceed its Losses and Costs and receivables hereunder owed to it, subject to the rights of setoff set forth in Section 4.4, the Notifying Party shall pay the Termination Payment to the Defaulting Party within five Business Days of such determination.  In addition to all other amounts payable hereunder, the Defaulting Party shall reimburse the Notifying Party, on demand, for actual, reasonable out-of-pocket expenses, including, without limitations, reasonable legal fees and expenses incurred by the Notifying Party during the occurrence and continuation of an Event of Default in connection with the enforcement of, the preservation of its rights in respect hereof, together with interest thereon at the Interest Rate.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Other Events</w:t>
      </w:r>
      <w:r>
        <w:rPr>
          <w:rFonts w:cs="Arial Narrow" w:ascii="Arial Narrow" w:hAnsi="Arial Narrow"/>
          <w:sz w:val="18"/>
        </w:rPr>
        <w:t>.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activities hereunder become subject to regulation of any kind whatsoever under any law (other than with respect to New Taxes) to a greater or different extent than that existing on the Effective Date (the “</w:t>
      </w:r>
      <w:r>
        <w:rPr>
          <w:rFonts w:cs="Arial Narrow" w:ascii="Arial Narrow" w:hAnsi="Arial Narrow"/>
          <w:sz w:val="18"/>
          <w:u w:val="single"/>
        </w:rPr>
        <w:t>Affected Party</w:t>
      </w:r>
      <w:r>
        <w:rPr>
          <w:rFonts w:cs="Arial Narrow" w:ascii="Arial Narrow" w:hAnsi="Arial Narrow"/>
          <w:sz w:val="18"/>
        </w:rPr>
        <w:t xml:space="preserve">”) and such regulation renders this Agreement illegal or unenforceable, either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Defaulting Party by the Notifying Party or any Affiliate of the Notifying Party under this Agreement or under any other agreement(s), instrument(s) or undertaking(s), any amounts Owed by the Defaulting Party to the Notifying Party or any of the Notifying Party’s Affiliates under this Agreement or under any other agreement(s), instrument(s) or undertaking(s).  The obligations of the Defaulting Party and the Notifying Party under this Agreement in respect of such amounts shall be deemed satisfied and discharged to the extent of any such setoff exercised by the Notifying Party and/or the Notifying Party’s Affiliates.  The Notifying Party will give the Defaulting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4.3</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4.3</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4.3</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The Parties further acknowledge that each is executing this Agreement on behalf of itself as principal and, with respect to this </w:t>
      </w:r>
      <w:r>
        <w:rPr>
          <w:rFonts w:cs="Arial Narrow" w:ascii="Arial Narrow" w:hAnsi="Arial Narrow"/>
          <w:sz w:val="18"/>
          <w:u w:val="single"/>
        </w:rPr>
        <w:t>Section 4.3</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4.3</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4.3</w:t>
      </w:r>
      <w:r>
        <w:rPr>
          <w:rFonts w:cs="Arial Narrow" w:ascii="Arial Narrow" w:hAnsi="Arial Narrow"/>
          <w:sz w:val="18"/>
        </w:rPr>
        <w:t xml:space="preserve">.  Notwithstanding any provision to the contrary contained in this Agreement, the Notifying Party shall not be required to pay to the Defaulting Party any amount under </w:t>
      </w:r>
      <w:r>
        <w:rPr>
          <w:rFonts w:cs="Arial Narrow" w:ascii="Arial Narrow" w:hAnsi="Arial Narrow"/>
          <w:sz w:val="18"/>
          <w:u w:val="single"/>
        </w:rPr>
        <w:t>Section 4.3</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Defaulting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UBS, hereunder, Customer shall cause its Guarantor to execute and deliver to UBS the guaranty agreement substantially in the form attached as “Exhibit “C”.]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Credit and Collateral Requirements</w:t>
      </w:r>
      <w:r>
        <w:rPr>
          <w:rFonts w:cs="Arial Narrow" w:ascii="Arial Narrow" w:hAnsi="Arial Narrow"/>
          <w:sz w:val="18"/>
        </w:rPr>
        <w:t xml:space="preserve">.  The applicable credit and collateral requirements shall be as specified in the collateral annex (the “Collateral Annex”) attached hereto as Exhibit “D”.]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under a Transaction,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dispatch by the Party claiming same (the “</w:t>
      </w:r>
      <w:r>
        <w:rPr>
          <w:rFonts w:cs="Arial Narrow" w:ascii="Arial Narrow" w:hAnsi="Arial Narrow"/>
          <w:sz w:val="18"/>
          <w:u w:val="single"/>
        </w:rPr>
        <w:t>Claiming Party</w:t>
      </w:r>
      <w:r>
        <w:rPr>
          <w:rFonts w:cs="Arial Narrow" w:ascii="Arial Narrow" w:hAnsi="Arial Narrow"/>
          <w:sz w:val="18"/>
        </w:rPr>
        <w:t xml:space="preserve">”). No provision herein shall require or permit either Party to Schedule Gas in excess of the Daily Contract Quantity or at points other than the Delivery Point(s).  The non-claiming Party may immediately take such actions as it deems necessary at its expense for a period up to 60-Days from the inception of the </w:t>
      </w:r>
      <w:r>
        <w:rPr>
          <w:rFonts w:cs="Arial Narrow" w:ascii="Arial Narrow" w:hAnsi="Arial Narrow"/>
          <w:sz w:val="18"/>
          <w:u w:val="single"/>
        </w:rPr>
        <w:t>Force Majeure</w:t>
      </w:r>
      <w:r>
        <w:rPr>
          <w:rFonts w:cs="Arial Narrow" w:ascii="Arial Narrow" w:hAnsi="Arial Narrow"/>
          <w:sz w:val="18"/>
        </w:rPr>
        <w:t xml:space="preserve"> and the non-claiming Party shall not be required to resume its obligations to the Claiming Party with respect to the part of the Transaction that the Claiming Party has claimed is subject to </w:t>
      </w:r>
      <w:r>
        <w:rPr>
          <w:rFonts w:cs="Arial Narrow" w:ascii="Arial Narrow" w:hAnsi="Arial Narrow"/>
          <w:sz w:val="18"/>
          <w:u w:val="single"/>
        </w:rPr>
        <w:t>Force Majeure</w:t>
      </w:r>
      <w:r>
        <w:rPr>
          <w:rFonts w:cs="Arial Narrow" w:ascii="Arial Narrow" w:hAnsi="Arial Narrow"/>
          <w:sz w:val="18"/>
        </w:rPr>
        <w:t xml:space="preserve"> during such period.  Notwithstanding the foregoing, as soon as all or part of the </w:t>
      </w:r>
      <w:r>
        <w:rPr>
          <w:rFonts w:cs="Arial Narrow" w:ascii="Arial Narrow" w:hAnsi="Arial Narrow"/>
          <w:sz w:val="18"/>
          <w:u w:val="single"/>
        </w:rPr>
        <w:t>Force Majeure</w:t>
      </w:r>
      <w:r>
        <w:rPr>
          <w:rFonts w:cs="Arial Narrow" w:ascii="Arial Narrow" w:hAnsi="Arial Narrow"/>
          <w:sz w:val="18"/>
        </w:rPr>
        <w:t xml:space="preserve"> ceases, the Claiming Party shall notify the non-claiming party who shall have the option to require the Claiming Party to resume all or part of its obligations under the Transaction at such time.  Notwithstanding the foregoing </w:t>
      </w:r>
      <w:r>
        <w:rPr>
          <w:rFonts w:cs="Arial Narrow" w:ascii="Arial Narrow" w:hAnsi="Arial Narrow"/>
          <w:sz w:val="18"/>
          <w:u w:val="single"/>
        </w:rPr>
        <w:t>Force Majeure</w:t>
      </w:r>
      <w:r>
        <w:rPr>
          <w:rFonts w:cs="Arial Narrow" w:ascii="Arial Narrow" w:hAnsi="Arial Narrow"/>
          <w:sz w:val="18"/>
        </w:rPr>
        <w:t xml:space="preserve"> provisions, should the </w:t>
      </w:r>
      <w:r>
        <w:rPr>
          <w:rFonts w:cs="Arial Narrow" w:ascii="Arial Narrow" w:hAnsi="Arial Narrow"/>
          <w:sz w:val="18"/>
          <w:u w:val="single"/>
        </w:rPr>
        <w:t>Force Majeure</w:t>
      </w:r>
      <w:r>
        <w:rPr>
          <w:rFonts w:cs="Arial Narrow" w:ascii="Arial Narrow" w:hAnsi="Arial Narrow"/>
          <w:sz w:val="18"/>
        </w:rPr>
        <w:t xml:space="preserve"> continue for greater than a period of 60-days from its inception, the non-claiming Party may, at its election, prior to the </w:t>
      </w:r>
      <w:r>
        <w:rPr>
          <w:rFonts w:cs="Arial Narrow" w:ascii="Arial Narrow" w:hAnsi="Arial Narrow"/>
          <w:sz w:val="18"/>
          <w:u w:val="single"/>
        </w:rPr>
        <w:t>Force Majeure</w:t>
      </w:r>
      <w:r>
        <w:rPr>
          <w:rFonts w:cs="Arial Narrow" w:ascii="Arial Narrow" w:hAnsi="Arial Narrow"/>
          <w:sz w:val="18"/>
        </w:rPr>
        <w:t xml:space="preserv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18"/>
          <w:u w:val="single"/>
        </w:rPr>
        <w:t>Article 4</w:t>
      </w:r>
      <w:r>
        <w:rPr>
          <w:rFonts w:cs="Arial Narrow" w:ascii="Arial Narrow" w:hAnsi="Arial Narrow"/>
          <w:sz w:val="18"/>
        </w:rPr>
        <w:t xml:space="preserve"> applicable only to the Transaction, or part thereof subject to the </w:t>
      </w:r>
      <w:r>
        <w:rPr>
          <w:rFonts w:cs="Arial Narrow" w:ascii="Arial Narrow" w:hAnsi="Arial Narrow"/>
          <w:sz w:val="18"/>
          <w:u w:val="single"/>
        </w:rPr>
        <w:t>Force Majeure</w:t>
      </w:r>
      <w:r>
        <w:rPr>
          <w:rFonts w:cs="Arial Narrow" w:ascii="Arial Narrow" w:hAnsi="Arial Narrow"/>
          <w:sz w:val="18"/>
        </w:rPr>
        <w:t xml:space="preserv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18"/>
          <w:u w:val="single"/>
        </w:rPr>
        <w:t>Article 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an Event of Default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 or the Taxed Party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Cooperation</w:t>
      </w:r>
      <w:r>
        <w:rPr>
          <w:rFonts w:cs="Arial Narrow" w:ascii="Arial Narrow" w:hAnsi="Arial Narrow"/>
          <w:sz w:val="18"/>
        </w:rPr>
        <w:t>.  Either Party, upon written request of the other Party, shall provide a certificate of exemption or other reasonably satisfactory evidence of exemption if either Party is exempt from taxes, and shall use reasonable efforts to obtain and cooperate with obtaining any exemption from or deduction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without any deduction or withholding at a reduced rate, promptly upon request of the other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open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successors and permitted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UNLESS</w:t>
      </w:r>
      <w:r>
        <w:rPr>
          <w:rFonts w:cs="Arial Narrow" w:ascii="Arial Narrow" w:hAnsi="Arial Narrow"/>
          <w:caps/>
          <w:sz w:val="18"/>
        </w:rPr>
        <w:t xml:space="preserve">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NEW YORK (without reference to choice-of-law doctrine).  With respect to any suit, action or proceedings related to the Agreement or any Transaction hereunder (“Proceedings”), each Party irrevocably submits to the non-exclusive jurisdiction of the federal and state courts located in the county of New York, State of New York, waives any objection which it may have to the laying of venue of the Proceedings brought in any such court and waives any claim that any such Proceedings have been brought in an inconvenient forum.  EACH PARTY HEREBY IRREVOCABLY WAIVES ANY AND ALL RIGHT TO TRIAL BY JURY IN ANY SUIT, ACTION OR PROCEEDING ARISING OUT OF OR RELATING TO THIS AGREEMENT OR ANY TRANSACTION AND ACKNOWLEDGES THAT THIS WAIVER IS A MATERIAL INDUCEMENT TO THE OTHER PARTY’S ENTERING INTO THIS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and any confirmation thereof, together with the Long Product Definitions and the Electronic Trading Agreement between the Parties,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(other than Transaction hereunder with a maturity of two Days or less).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The contents of the Transactions and all other documents relating to this Agreement, if any, and any information made available by a Party or any Guarantor of a Party to the other Party with respect to this Agreement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w:t>
      </w:r>
      <w:r>
        <w:rPr>
          <w:rFonts w:cs="Arial Narrow" w:ascii="Arial Narrow" w:hAnsi="Arial Narrow"/>
          <w:b/>
          <w:bCs/>
          <w:sz w:val="18"/>
        </w:rPr>
        <w:t>regulatory request</w:t>
      </w:r>
      <w:r>
        <w:rPr>
          <w:rFonts w:cs="Arial Narrow" w:ascii="Arial Narrow" w:hAnsi="Arial Narrow"/>
          <w:sz w:val="18"/>
        </w:rPr>
        <w: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UBS AG</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/mnt/main-storage/datasets/enron-docs/doc/3102sf_form_rev_3.DOC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Bankruptcy Event</w:t>
      </w:r>
      <w:r>
        <w:rPr>
          <w:rFonts w:cs="Arial Narrow" w:ascii="Arial Narrow" w:hAnsi="Arial Narrow"/>
          <w:sz w:val="18"/>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any order for relief or the making of any order for its winding-up or liquidation or (b) is not dismissed, discharged, stayed or restrained, in each case within 30-Days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ahs an analogous effect to any of the events specified in clauses (i0 to (vii) (inclusive); or (ix) takes any action in furtherance of, or indicating its consent to, approval of, or acquiescence in, any of the foregoing acts.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Costs</w:t>
      </w:r>
      <w:r>
        <w:rPr>
          <w:rFonts w:cs="Arial Narrow" w:ascii="Arial Narrow" w:hAnsi="Arial Narrow"/>
          <w:sz w:val="18"/>
        </w:rPr>
        <w:t>" means the United States Bankruptcy Code, 11 U.S.C. Secs. 101-1330, as may be amended from time to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Event of Default</w:t>
      </w:r>
      <w:r>
        <w:rPr>
          <w:rFonts w:cs="Arial Narrow" w:ascii="Arial Narrow" w:hAnsi="Arial Narrow"/>
          <w:sz w:val="18"/>
        </w:rPr>
        <w:t xml:space="preserve">" means with respect to a party (the “Defaulting Party”)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Agreement; (v) a Bankruptcy Event occurs with respect to the Defaulting Party; (vi) a Merger Event occurs with respect to the Defaulting Party; (vii) an event of default occurs (howsoever determined) with respect to the Defaulting Party under any transaction or agreement between UBS and Customer under any forward contract, swap agreement </w:t>
      </w:r>
      <w:r>
        <w:rPr>
          <w:rFonts w:cs="Arial Narrow" w:ascii="Arial Narrow" w:hAnsi="Arial Narrow"/>
          <w:b/>
          <w:bCs/>
          <w:sz w:val="18"/>
        </w:rPr>
        <w:t>or commodity contract</w:t>
      </w:r>
      <w:r>
        <w:rPr>
          <w:rFonts w:cs="Arial Narrow" w:ascii="Arial Narrow" w:hAnsi="Arial Narrow"/>
          <w:sz w:val="18"/>
        </w:rPr>
        <w:t xml:space="preserve">, in each case as defined in the Code, or any indebtedness  for borrowed money, and there occurs a liquidation of, an acceleration of obligations under, or an early termination of, all transactions thereunder of the agreement; (viii) the Guarantor, if any, of the Defaulting Party fails to perform any covenant set forth in any guaranty agreement provided,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 or (vi) above as applied  to it; (ix) an event of default occurs (howsoever determined) with respect to UBS, as Defaulting Party, or Customer, or Guarantor of Customer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of grace period); provided, an Event of Default shall not occur under item (ix) if, as demonstrated to the reasonable satisfaction of the other party, the event of default or the failure to pay is the result of a failure to pay caused by an error omission of an administrative or operational nature, funds were available to such party to enable it to make the relevant payment when due, and such relevant payment is made within three Business days following receipt of written notice from an interested party.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Long Product Definitions</w:t>
      </w:r>
      <w:r>
        <w:rPr>
          <w:rFonts w:cs="Arial Narrow" w:ascii="Arial Narrow" w:hAnsi="Arial Narrow"/>
          <w:sz w:val="18"/>
        </w:rPr>
        <w:t>" means all applicable long definitions of the products selected by the Parties on the Website.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Losses</w:t>
      </w:r>
      <w:r>
        <w:rPr>
          <w:rFonts w:cs="Arial Narrow" w:ascii="Arial Narrow" w:hAnsi="Arial Narrow"/>
          <w:sz w:val="18"/>
        </w:rPr>
        <w:t>" means, with respect to a party, an amount equal to the present value of the economic loss (exclusive of Costs), if any, to it resulting from the termination of its obligations with respect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Market Disruption Event</w:t>
      </w:r>
      <w:r>
        <w:rPr>
          <w:rFonts w:cs="Arial Narrow" w:ascii="Arial Narrow" w:hAnsi="Arial Narrow"/>
          <w:sz w:val="18"/>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co9mmence or the permanent discontinuation or material suspension of trading in the relevant futures contract, options contract or commodity on the exchange or market (e.g., NYMEX) acting as the price source (the “</w:t>
      </w:r>
      <w:r>
        <w:rPr>
          <w:rFonts w:cs="Arial Narrow" w:ascii="Arial Narrow" w:hAnsi="Arial Narrow"/>
          <w:sz w:val="18"/>
          <w:u w:val="single"/>
        </w:rPr>
        <w:t>Exchange</w:t>
      </w:r>
      <w:r>
        <w:rPr>
          <w:rFonts w:cs="Arial Narrow" w:ascii="Arial Narrow" w:hAnsi="Arial Narrow"/>
          <w:sz w:val="18"/>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Merger Event</w:t>
      </w:r>
      <w:r>
        <w:rPr>
          <w:rFonts w:cs="Arial Narrow" w:ascii="Arial Narrow" w:hAnsi="Arial Narrow"/>
          <w:sz w:val="18"/>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Narrow" w:ascii="Arial Narrow" w:hAnsi="Arial Narrow"/>
          <w:sz w:val="18"/>
          <w:u w:val="single"/>
        </w:rPr>
        <w:t>Section 16</w:t>
      </w:r>
      <w:r>
        <w:rPr>
          <w:rFonts w:cs="Arial Narrow" w:ascii="Arial Narrow" w:hAnsi="Arial Narrow"/>
          <w:sz w:val="18"/>
        </w:rPr>
        <w:t xml:space="preserve"> fail to extend to the performance by such resulting, surviving or transferee entity of its obligations hereunder of (iii) the resulting entity’s creditworthiness is materially weaker than that of such party or other entity immediately prior to such 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Owed</w:t>
      </w:r>
      <w:r>
        <w:rPr>
          <w:rFonts w:cs="Arial Narrow" w:ascii="Arial Narrow" w:hAnsi="Arial Narrow"/>
          <w:sz w:val="18"/>
        </w:rPr>
        <w:t>" means any amounts owed or otherwise accrued and payable (regardless of whether such amounts have been or could be invoiced) as of the Early Termination Date.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Threshold Amount</w:t>
      </w:r>
      <w:r>
        <w:rPr>
          <w:rFonts w:cs="Arial Narrow" w:ascii="Arial Narrow" w:hAnsi="Arial Narrow"/>
          <w:sz w:val="18"/>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(vii) it is not in a disparate bargaining position with the other Party, (viii) with respect to each Transaction, it has the ability to make or take the delivery of Gas and has entered this Transaction with the intent to do so, or (ix) it is a “forward contract merchant” and each Transaction hereunder shall constitute a “forward contract” (other than Transactions hereunder with a maturity of two Days or less), in each case within the meaning of the Code..</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If the price published or announced on a given Day and used to determine the Spot Price or the Contract Price is corrected by publication or announcement, the Party that originally either received or retained the amount subject to the correction will pay such amount to the other Party on the next payment date.</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UBS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If requested by UBS,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Day during the Period of Delivery and the Spot Price and/or Contract Price for such Day is not determinable, the Spot Price and/or the Contract Price for such Day shall be determined pursuant to the relevant price source specified in this Agreement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12</w:t>
      </w:r>
      <w:r>
        <w:rPr>
          <w:rFonts w:cs="Arial Narrow" w:ascii="Arial Narrow" w:hAnsi="Arial Narrow"/>
          <w:sz w:val="18"/>
          <w:vertAlign w:val="superscript"/>
        </w:rPr>
        <w:t>th</w:t>
      </w:r>
      <w:r>
        <w:rPr>
          <w:rFonts w:cs="Arial Narrow" w:ascii="Arial Narrow" w:hAnsi="Arial Narrow"/>
          <w:sz w:val="18"/>
        </w:rPr>
        <w:t xml:space="preserve"> Business Day following the first Day on which the Market Disruption Event occurred or existed, then the Spot Price and/or the Contract Price shall be determined in good faith by UBS determining the average of two or more bona fide third party quotes..</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UBS:</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Gas Purchase/Sale Agreement in effect between Customer and UBS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Any objection of Customer to this Confirmation must be made by written notice to UBS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Gas Purchase/Sale Agreement in effect between Customer and UBS and constitutes part of and is subject to all of the terms and provisions of such Agreement.  Please execute this Transaction Agreement and return an executed copy to UBS.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b/>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2002-02-04T19:33:00Z</dcterms:created>
  <dc:creator>ECT</dc:creator>
  <dc:description/>
  <dc:language>en-CA</dc:language>
  <cp:lastModifiedBy>jrozycki</cp:lastModifiedBy>
  <cp:lastPrinted>2002-02-04T16:15:00Z</cp:lastPrinted>
  <dcterms:modified xsi:type="dcterms:W3CDTF">2002-02-04T19:45:00Z</dcterms:modified>
  <cp:revision>3</cp:revision>
  <dc:subject/>
  <dc:title>ENFOLIO® MASTER FIRM PURCHASE/SALE AGREEMENT        </dc:title>
</cp:coreProperties>
</file>