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___________________, a ______________ corporation ("</w:t>
      </w:r>
      <w:r>
        <w:rPr>
          <w:rFonts w:cs="Arial Narrow" w:ascii="Arial Narrow" w:hAnsi="Arial Narrow"/>
          <w:sz w:val="18"/>
          <w:u w:val="single"/>
        </w:rPr>
        <w:t>Company</w:t>
      </w:r>
      <w:r>
        <w:rPr>
          <w:rFonts w:cs="Arial Narrow" w:ascii="Arial Narrow" w:hAnsi="Arial Narrow"/>
          <w:sz w:val="18"/>
        </w:rPr>
        <w:t>"), and ______________,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_______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sz w:val="18"/>
        </w:rPr>
        <w:t>SEE RIDER TRANSACTION AGREEMENT REQUIRED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w:t>
      </w:r>
      <w:r>
        <w:rPr>
          <w:rFonts w:cs="Arial Narrow" w:ascii="Arial Narrow" w:hAnsi="Arial Narrow"/>
          <w:b/>
          <w:sz w:val="18"/>
        </w:rPr>
        <w:t>[</w:t>
      </w:r>
      <w:r>
        <w:rPr>
          <w:rFonts w:cs="Arial Narrow" w:ascii="Arial Narrow" w:hAnsi="Arial Narrow"/>
          <w:sz w:val="18"/>
        </w:rPr>
        <w:t>, or</w:t>
      </w:r>
      <w:r>
        <w:rPr>
          <w:rFonts w:cs="Arial Narrow" w:ascii="Arial Narrow" w:hAnsi="Arial Narrow"/>
          <w:b/>
          <w:sz w:val="18"/>
        </w:rPr>
        <w:t>] SEE RIDER EVENTS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w:t>
      </w:r>
      <w:r>
        <w:rPr>
          <w:rFonts w:cs="Arial Narrow" w:ascii="Arial Narrow" w:hAnsi="Arial Narrow"/>
          <w:b/>
          <w:caps/>
          <w:sz w:val="18"/>
        </w:rPr>
        <w:t xml:space="preserve">see rider anticipatory repudiation  </w:t>
      </w:r>
      <w:r>
        <w:rPr>
          <w:rFonts w:cs="Arial Narrow" w:ascii="Arial Narrow" w:hAnsi="Arial Narrow"/>
          <w:caps/>
          <w:sz w:val="18"/>
        </w:rPr>
        <w:t xml:space="preserve">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O:\common\legal\AttyForms\3102sfmod.doc</w:t>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rPr>
        <w:t>8/99</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Enron ________,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SEE RIDER MAC]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(Pasha Publications, Inc.),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Rider TRANSACTION AGREEMENT REQUIRED</w:t>
      </w:r>
    </w:p>
    <w:p>
      <w:pPr>
        <w:pStyle w:val="Normal"/>
        <w:jc w:val="both"/>
        <w:rPr>
          <w:rFonts w:ascii="Arial Narrow" w:hAnsi="Arial Narrow" w:cs="Arial Narrow"/>
          <w:b/>
          <w:sz w:val="18"/>
        </w:rPr>
      </w:pPr>
      <w:r>
        <w:rPr>
          <w:rFonts w:cs="Arial Narrow" w:ascii="Arial Narrow" w:hAnsi="Arial Narrow"/>
          <w:sz w:val="18"/>
        </w:rPr>
        <w:t xml:space="preserve">Use the following provision where all Transactions are to be formed by Transaction Agreement only and delete the </w:t>
      </w:r>
      <w:r>
        <w:rPr>
          <w:rFonts w:cs="Arial Narrow" w:ascii="Arial Narrow" w:hAnsi="Arial Narrow"/>
          <w:b/>
          <w:sz w:val="18"/>
        </w:rPr>
        <w:t>II</w:t>
      </w:r>
      <w:r>
        <w:rPr>
          <w:rFonts w:cs="Arial Narrow" w:ascii="Arial Narrow" w:hAnsi="Arial Narrow"/>
          <w:sz w:val="18"/>
        </w:rPr>
        <w:t xml:space="preserve"> on page 1 of the contract:  Notwithstanding the other provisions in this Agreement permitting recorded telephonic Transactions, the Parties agree that every Transaction, other than NYMEX Exchange of Futures for Physicals Transactions, shall be formed and effectuated by a written paper-based Transaction Agreement until such time as the Parties execute an amendment to this Agreement allowing recorded telephonic Transactions in all instances hereunder. </w:t>
      </w:r>
    </w:p>
    <w:p>
      <w:pPr>
        <w:pStyle w:val="Normal"/>
        <w:jc w:val="center"/>
        <w:rPr>
          <w:rFonts w:ascii="Arial Narrow" w:hAnsi="Arial Narrow" w:cs="Arial Narrow"/>
          <w:b/>
          <w:sz w:val="18"/>
        </w:rPr>
      </w:pPr>
      <w:r>
        <w:rPr>
          <w:rFonts w:cs="Arial Narrow" w:ascii="Arial Narrow" w:hAnsi="Arial Narrow"/>
          <w:b/>
          <w:sz w:val="18"/>
        </w:rPr>
        <w:t>Rider MAC (select per Credit Memo)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b/>
          <w:sz w:val="18"/>
        </w:rPr>
      </w:pPr>
      <w:r>
        <w:rPr>
          <w:rFonts w:cs="Arial Narrow" w:ascii="Arial Narrow" w:hAnsi="Arial Narrow"/>
          <w:b/>
          <w:sz w:val="18"/>
        </w:rPr>
        <w:t>Depending on the selection, add definitions from the following list to the defined terms in Appendix "1":</w:t>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tab/>
      </w:r>
    </w:p>
    <w:p>
      <w:pPr>
        <w:pStyle w:val="Normal"/>
        <w:jc w:val="center"/>
        <w:rPr>
          <w:rFonts w:ascii="Arial Narrow" w:hAnsi="Arial Narrow" w:cs="Arial Narrow"/>
          <w:b/>
          <w:sz w:val="18"/>
        </w:rPr>
      </w:pPr>
      <w:r>
        <w:rPr>
          <w:rFonts w:cs="Arial Narrow" w:ascii="Arial Narrow" w:hAnsi="Arial Narrow"/>
          <w:b/>
          <w:sz w:val="18"/>
        </w:rPr>
        <w:t>Rider SECURITY (select per Credit Memo)</w:t>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Requirement/Committed Volumes Threshold</w:t>
      </w:r>
      <w:r>
        <w:rPr>
          <w:rFonts w:cs="Arial Narrow" w:ascii="Arial Narrow" w:hAnsi="Arial Narrow"/>
          <w:b/>
          <w:sz w:val="18"/>
        </w:rPr>
        <w:t xml:space="preserve">.  </w:t>
      </w:r>
      <w:r>
        <w:rPr>
          <w:rFonts w:cs="Arial Narrow" w:ascii="Arial Narrow" w:hAnsi="Arial Narrow"/>
          <w:sz w:val="18"/>
        </w:rPr>
        <w:t>For purposes hereof the term "</w:t>
      </w:r>
      <w:r>
        <w:rPr>
          <w:rFonts w:cs="Arial Narrow" w:ascii="Arial Narrow" w:hAnsi="Arial Narrow"/>
          <w:sz w:val="18"/>
          <w:u w:val="single"/>
        </w:rPr>
        <w:t>Committed Volumes</w:t>
      </w:r>
      <w:r>
        <w:rPr>
          <w:rFonts w:cs="Arial Narrow" w:ascii="Arial Narrow" w:hAnsi="Arial Narrow"/>
          <w:sz w:val="18"/>
        </w:rPr>
        <w:t xml:space="preserve">" means the maximum amount of all volumes committed for delivery by Seller for the following two Month period valued at the then current Contract Price under all Transactions and for which payment is not  then due and owing </w:t>
      </w:r>
      <w:r>
        <w:rPr>
          <w:rFonts w:cs="Arial Narrow" w:ascii="Arial Narrow" w:hAnsi="Arial Narrow"/>
          <w:sz w:val="18"/>
          <w:u w:val="single"/>
        </w:rPr>
        <w:t>plus</w:t>
      </w:r>
      <w:r>
        <w:rPr>
          <w:rFonts w:cs="Arial Narrow" w:ascii="Arial Narrow" w:hAnsi="Arial Narrow"/>
          <w:sz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rFonts w:ascii="Arial Narrow" w:hAnsi="Arial Narrow" w:cs="Arial Narrow"/>
          <w:b/>
          <w:sz w:val="18"/>
        </w:rPr>
      </w:pPr>
      <w:r>
        <w:rPr>
          <w:rFonts w:cs="Arial Narrow" w:ascii="Arial Narrow" w:hAnsi="Arial Narrow"/>
          <w:b/>
          <w:sz w:val="18"/>
        </w:rPr>
        <w:t xml:space="preserve">[4.8.] </w:t>
      </w:r>
      <w:r>
        <w:rPr>
          <w:rFonts w:cs="Arial Narrow" w:ascii="Arial Narrow" w:hAnsi="Arial Narrow"/>
          <w:b/>
          <w:sz w:val="18"/>
          <w:u w:val="single"/>
        </w:rPr>
        <w:t>Collateral Requirement/General</w:t>
      </w:r>
      <w:r>
        <w:rPr>
          <w:rFonts w:cs="Arial Narrow" w:ascii="Arial Narrow" w:hAnsi="Arial Narrow"/>
          <w:b/>
          <w:sz w:val="18"/>
        </w:rPr>
        <w:t xml:space="preserve">.  </w:t>
      </w:r>
      <w:r>
        <w:rPr>
          <w:rFonts w:cs="Arial Narrow" w:ascii="Arial Narrow" w:hAnsi="Arial Narrow"/>
          <w:sz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center"/>
        <w:rPr>
          <w:rFonts w:ascii="Arial Narrow" w:hAnsi="Arial Narrow" w:cs="Arial Narrow"/>
          <w:b/>
          <w:sz w:val="18"/>
        </w:rPr>
      </w:pPr>
      <w:r>
        <w:rPr>
          <w:rFonts w:cs="Arial Narrow" w:ascii="Arial Narrow" w:hAnsi="Arial Narrow"/>
          <w:b/>
          <w:sz w:val="18"/>
        </w:rPr>
        <w:t>Rider EVENTS (select per Credit Memo)</w:t>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______)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in excess of $______, or with respect to Customer, at any time,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defaulted on its indebted</w:t>
        <w:softHyphen/>
        <w:t xml:space="preserve">ness to third parties, resulting in an acceleration of obligations of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center"/>
        <w:rPr>
          <w:rFonts w:ascii="Arial Narrow" w:hAnsi="Arial Narrow" w:cs="Arial Narrow"/>
          <w:b/>
          <w:sz w:val="18"/>
        </w:rPr>
      </w:pPr>
      <w:r>
        <w:rPr>
          <w:rFonts w:cs="Arial Narrow" w:ascii="Arial Narrow" w:hAnsi="Arial Narrow"/>
          <w:b/>
          <w:sz w:val="18"/>
        </w:rPr>
        <w:t>Rider ANTICIPATORY REPUDIATION</w:t>
      </w:r>
    </w:p>
    <w:p>
      <w:pPr>
        <w:pStyle w:val="Normal"/>
        <w:jc w:val="both"/>
        <w:rPr>
          <w:rFonts w:ascii="Arial Narrow" w:hAnsi="Arial Narrow" w:cs="Arial Narrow"/>
          <w:sz w:val="18"/>
        </w:rPr>
      </w:pPr>
      <w:r>
        <w:rPr>
          <w:rFonts w:cs="Arial Narrow" w:ascii="Arial Narrow" w:hAnsi="Arial Narrow"/>
          <w:sz w:val="18"/>
        </w:rPr>
        <w:t>If the concept of Termination Payment is negotiated out of the contract and only the concept of cover remains to apply to Triggering Events, add:</w:t>
      </w:r>
    </w:p>
    <w:p>
      <w:pPr>
        <w:pStyle w:val="Normal"/>
        <w:jc w:val="both"/>
        <w:rPr>
          <w:rFonts w:ascii="Arial Narrow" w:hAnsi="Arial Narrow" w:cs="Arial Narrow"/>
          <w:sz w:val="18"/>
        </w:rPr>
      </w:pPr>
      <w:r>
        <w:rPr>
          <w:rFonts w:cs="Arial Narrow" w:ascii="Arial Narrow" w:hAnsi="Arial Narrow"/>
          <w:sz w:val="18"/>
        </w:rPr>
        <w:t>NO WAIVER OF REMEDIES OR DAMAGES HEREIN SHALL APPLY TO CLAIMS OF ANTICIPATORY REPUDIATION AND REMEDIES THEREFOR PROVIDED BY LAW.</w:t>
      </w:r>
    </w:p>
    <w:p>
      <w:pPr>
        <w:pStyle w:val="Normal"/>
        <w:jc w:val="center"/>
        <w:rPr>
          <w:rFonts w:ascii="Arial Narrow" w:hAnsi="Arial Narrow" w:cs="Arial Narrow"/>
          <w:b/>
          <w:sz w:val="18"/>
        </w:rPr>
      </w:pPr>
      <w:r>
        <w:rPr>
          <w:rFonts w:cs="Arial Narrow" w:ascii="Arial Narrow" w:hAnsi="Arial Narrow"/>
          <w:b/>
          <w:sz w:val="18"/>
        </w:rPr>
        <w:t>Rider EFP (Review this consideration)</w:t>
      </w:r>
    </w:p>
    <w:p>
      <w:pPr>
        <w:pStyle w:val="Normal"/>
        <w:jc w:val="both"/>
        <w:rPr/>
      </w:pPr>
      <w:r>
        <w:rPr>
          <w:rFonts w:cs="Arial Narrow" w:ascii="Arial Narrow" w:hAnsi="Arial Narrow"/>
          <w:sz w:val="18"/>
        </w:rPr>
        <w:t xml:space="preserve">Consider with the dealmaker including the following sentence after the first sentence in Section 4.1:  Notwithstanding the foregoing, if either Triggering Event (v) or (vi) listed in </w:t>
      </w:r>
      <w:r>
        <w:rPr>
          <w:rFonts w:cs="Arial Narrow" w:ascii="Arial Narrow" w:hAnsi="Arial Narrow"/>
          <w:sz w:val="18"/>
          <w:u w:val="single"/>
        </w:rPr>
        <w:t>Section 4.2</w:t>
      </w:r>
      <w:r>
        <w:rPr>
          <w:rFonts w:cs="Arial Narrow" w:ascii="Arial Narrow" w:hAnsi="Arial Narrow"/>
          <w:sz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jc w:val="center"/>
        <w:rPr>
          <w:rFonts w:ascii="Arial Narrow" w:hAnsi="Arial Narrow" w:cs="Arial Narrow"/>
          <w:b/>
          <w:sz w:val="18"/>
        </w:rPr>
      </w:pPr>
      <w:r>
        <w:rPr>
          <w:rFonts w:cs="Arial Narrow" w:ascii="Arial Narrow" w:hAnsi="Arial Narrow"/>
          <w:b/>
          <w:sz w:val="18"/>
        </w:rPr>
        <w:t>Riders For "ON SYSTEM" Enron Entities:  NOTE THAT CERTAIN CUSTOMIZING OF THE FORM MAY ALSO BE NEEDED.</w:t>
      </w:r>
    </w:p>
    <w:p>
      <w:pPr>
        <w:pStyle w:val="Normal"/>
        <w:jc w:val="both"/>
        <w:rPr/>
      </w:pPr>
      <w:r>
        <w:rPr>
          <w:rFonts w:cs="Arial Narrow" w:ascii="Arial Narrow" w:hAnsi="Arial Narrow"/>
          <w:sz w:val="18"/>
        </w:rPr>
        <w:t xml:space="preserve">1.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REPRESENTATIONS AND WARRANTIES IN </w:t>
      </w:r>
      <w:r>
        <w:rPr>
          <w:rFonts w:cs="Arial Narrow" w:ascii="Arial Narrow" w:hAnsi="Arial Narrow"/>
          <w:sz w:val="18"/>
          <w:u w:val="single"/>
        </w:rPr>
        <w:t>APPENDIX "1"</w:t>
      </w:r>
      <w:r>
        <w:rPr>
          <w:rFonts w:cs="Arial Narrow" w:ascii="Arial Narrow" w:hAnsi="Arial Narrow"/>
          <w:sz w:val="18"/>
        </w:rPr>
        <w:t>: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rFonts w:ascii="Arial Narrow" w:hAnsi="Arial Narrow" w:cs="Arial Narrow"/>
          <w:b/>
          <w:sz w:val="18"/>
        </w:rPr>
      </w:pPr>
      <w:r>
        <w:rPr>
          <w:rFonts w:cs="Arial Narrow" w:ascii="Arial Narrow" w:hAnsi="Arial Narrow"/>
          <w:sz w:val="18"/>
        </w:rPr>
        <w:t xml:space="preserve">2.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OPERATIONS AND DELIVERY IN </w:t>
      </w:r>
      <w:r>
        <w:rPr>
          <w:rFonts w:cs="Arial Narrow" w:ascii="Arial Narrow" w:hAnsi="Arial Narrow"/>
          <w:sz w:val="18"/>
          <w:u w:val="single"/>
        </w:rPr>
        <w:t>APPENDIX "1"</w:t>
      </w:r>
      <w:r>
        <w:rPr>
          <w:rFonts w:cs="Arial Narrow" w:ascii="Arial Narrow" w:hAnsi="Arial Narrow"/>
          <w:sz w:val="18"/>
        </w:rPr>
        <w:t xml:space="preserve">:  </w:t>
      </w: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Company's Transporter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center"/>
        <w:rPr>
          <w:rFonts w:ascii="Arial Narrow" w:hAnsi="Arial Narrow" w:cs="Arial Narrow"/>
          <w:b/>
          <w:sz w:val="18"/>
        </w:rPr>
      </w:pPr>
      <w:r>
        <w:rPr>
          <w:rFonts w:cs="Arial Narrow" w:ascii="Arial Narrow" w:hAnsi="Arial Narrow"/>
          <w:b/>
          <w:sz w:val="18"/>
        </w:rPr>
        <w:t>Rider MUNI (Follow this Rider if Customer is a Municipality)</w:t>
      </w:r>
    </w:p>
    <w:p>
      <w:pPr>
        <w:pStyle w:val="Normal"/>
        <w:jc w:val="both"/>
        <w:rPr/>
      </w:pPr>
      <w:r>
        <w:rPr>
          <w:rFonts w:cs="Arial Narrow" w:ascii="Arial Narrow" w:hAnsi="Arial Narrow"/>
          <w:sz w:val="18"/>
        </w:rPr>
        <w:t>1.  Add the definition of "</w:t>
      </w:r>
      <w:r>
        <w:rPr>
          <w:rFonts w:cs="Arial Narrow" w:ascii="Arial Narrow" w:hAnsi="Arial Narrow"/>
          <w:b/>
          <w:i/>
          <w:sz w:val="18"/>
          <w:u w:val="single"/>
        </w:rPr>
        <w:t>Act</w:t>
      </w:r>
      <w:r>
        <w:rPr>
          <w:rFonts w:cs="Arial Narrow" w:ascii="Arial Narrow" w:hAnsi="Arial Narrow"/>
          <w:sz w:val="18"/>
        </w:rPr>
        <w:t>" to the defined terms in Appendix 1 and cite the state enabling statute.</w:t>
      </w:r>
    </w:p>
    <w:p>
      <w:pPr>
        <w:pStyle w:val="Normal"/>
        <w:jc w:val="both"/>
        <w:rPr>
          <w:rFonts w:ascii="Arial Narrow" w:hAnsi="Arial Narrow" w:cs="Arial Narrow"/>
          <w:sz w:val="18"/>
        </w:rPr>
      </w:pPr>
      <w:r>
        <w:rPr>
          <w:rFonts w:cs="Arial Narrow" w:ascii="Arial Narrow" w:hAnsi="Arial Narrow"/>
          <w:sz w:val="18"/>
        </w:rPr>
        <w:t>2.  Add the following representations and warranties at the end of the Representations and Warranties in Appendix 1:</w:t>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Arial Narrow" w:hAnsi="Arial Narrow"/>
          <w:sz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t>4.  Add the following language to the end of the first sentence of Section 8.5: , EXCEPT IN RESPECT OF THE APPLICABILITY OF THE ACT AS HEREIN PROVIDED IN WHICH INSTANCE THE LAWS OF THE STATE OF ____________ SHALL APPLY.</w:t>
      </w:r>
    </w:p>
    <w:p>
      <w:pPr>
        <w:pStyle w:val="Normal"/>
        <w:jc w:val="both"/>
        <w:rPr/>
      </w:pPr>
      <w:r>
        <w:rPr>
          <w:rFonts w:cs="Arial Narrow" w:ascii="Arial Narrow" w:hAnsi="Arial Narrow"/>
          <w:sz w:val="18"/>
        </w:rPr>
        <w:t xml:space="preserve">5.  Add the following provision as a separate section at the end of Article 8: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sz w:val="18"/>
        </w:rPr>
      </w:pPr>
      <w:r>
        <w:rPr>
          <w:rFonts w:cs="Arial Narrow" w:ascii="Arial Narrow" w:hAnsi="Arial Narrow"/>
          <w:sz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r>
        <w:br w:type="page"/>
      </w:r>
    </w:p>
    <w:p>
      <w:pPr>
        <w:pStyle w:val="Normal"/>
        <w:tabs>
          <w:tab w:val="left" w:pos="720" w:leader="none"/>
        </w:tabs>
        <w:jc w:val="center"/>
        <w:rPr>
          <w:rFonts w:ascii="Arial Narrow" w:hAnsi="Arial Narrow" w:cs="Arial Narrow"/>
          <w:b/>
          <w:sz w:val="18"/>
        </w:rPr>
      </w:pPr>
      <w:r>
        <w:rPr>
          <w:rFonts w:cs="Arial Narrow" w:ascii="Arial Narrow" w:hAnsi="Arial Narrow"/>
          <w:b/>
          <w:sz w:val="18"/>
        </w:rPr>
        <w:t>Rider  ONE WAY GUARANTY GIVEN BY ENRON CORP.</w:t>
      </w:r>
    </w:p>
    <w:p>
      <w:pPr>
        <w:pStyle w:val="Normal"/>
        <w:tabs>
          <w:tab w:val="left" w:pos="720" w:leader="none"/>
        </w:tabs>
        <w:jc w:val="both"/>
        <w:rPr>
          <w:rFonts w:ascii="Arial Narrow" w:hAnsi="Arial Narrow" w:cs="Arial Narrow"/>
          <w:sz w:val="18"/>
        </w:rPr>
      </w:pPr>
      <w:r>
        <w:rPr>
          <w:rFonts w:cs="Arial Narrow" w:ascii="Arial Narrow" w:hAnsi="Arial Narrow"/>
          <w:sz w:val="18"/>
        </w:rPr>
        <w:t xml:space="preserve">If  the guaranty structure of the Agreement provides for a guaranty from Enron Corp. only and no possibility exists that we will need a reciprocal guaranty at a future date, then this form of guaranty should be used rather than the form of guaranty attached as the usual guaranty which envisions reciprocity.  </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GUARANTY AGREEMENT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Enron Corp., a Delaware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cs="Arial Narrow" w:ascii="Symbol" w:hAnsi="Symbol"/>
          <w:position w:val="6"/>
          <w:sz w:val="18"/>
        </w:rPr>
        <w:sym w:font="Symbol" w:char="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(the "</w:t>
      </w:r>
      <w:r>
        <w:rPr>
          <w:rFonts w:cs="Arial Narrow" w:ascii="Arial Narrow" w:hAnsi="Arial Narrow"/>
          <w:sz w:val="18"/>
          <w:u w:val="single"/>
        </w:rPr>
        <w:t>Obligations</w:t>
      </w:r>
      <w:r>
        <w:rPr>
          <w:rFonts w:cs="Arial Narrow" w:ascii="Arial Narrow" w:hAnsi="Arial Narrow"/>
          <w:sz w:val="18"/>
        </w:rPr>
        <w:t xml:space="preserve">").  This guaranty of payment is a continuing guaranty effective during the term of the Gas Contract.  No termination of the Gas Contract shall affect any obligations incurred by Guarantor under the Guaranty at the time of termination.  This Guaranty shall terminate in accordance with the foregoing regardless of the provisions respecting the survival of indemnity obligations set forth in </w:t>
      </w:r>
      <w:r>
        <w:rPr>
          <w:rFonts w:cs="Arial Narrow" w:ascii="Arial Narrow" w:hAnsi="Arial Narrow"/>
          <w:sz w:val="18"/>
          <w:u w:val="single"/>
        </w:rPr>
        <w:t>Section 8.4 of the Gas Contract</w:t>
      </w:r>
      <w:r>
        <w:rPr>
          <w:rFonts w:cs="Arial Narrow" w:ascii="Arial Narrow" w:hAnsi="Arial Narrow"/>
          <w:sz w:val="18"/>
        </w:rPr>
        <w:t xml:space="preserve">, unless a Claim has then been made.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and (v) the status, composition, structure or name of Obligor change, including, without limitation, by reason of merger, dissolution, consolidation or reorganization.  </w:t>
      </w:r>
      <w:r>
        <w:rPr>
          <w:rFonts w:cs="Arial Narrow" w:ascii="Arial Narrow" w:hAnsi="Arial Narrow"/>
          <w:caps/>
          <w:sz w:val="18"/>
        </w:rPr>
        <w:t>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w:t>
      </w:r>
      <w:r>
        <w:rPr>
          <w:rFonts w:cs="Arial Narrow" w:ascii="Arial Narrow" w:hAnsi="Arial Narrow"/>
          <w:sz w:val="18"/>
        </w:rPr>
        <w:t xml:space="preserve">  Upon 30 Days written notice and with the prior written consent of Contract Party, which consent shall not be unreasonably withheld, this Guaranty may be replaced by (i) a guaranty in substantially similar form made by a guarantor of equal or better creditworthiness or (ii) a letter of credit in favor of Contract Party in the amount of the Maximum Limit (below defined), issued by a bank and in a form, each of which shall be reasonably satisfactory to Contract Party;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 </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xml:space="preserve">"). </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RESERVATION OF DEFENSES</w:t>
      </w:r>
      <w:r>
        <w:rPr>
          <w:rFonts w:cs="Arial Narrow" w:ascii="Arial Narrow" w:hAnsi="Arial Narrow"/>
          <w:sz w:val="18"/>
        </w:rPr>
        <w:t xml:space="preserve">.  Without limiting the defenses and rights of Guarantor not expressly waived in this Guaranty, Guarantor expressly reserves unto itself all rights, setoffs, counterclaims and other defenses of Obligor relating to the Obligations, except those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timely pay any Obligations, Contract Party may at its option exercise any or all of its rights, powers and remedies afforded hereunder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Enron Corp.</w:t>
      </w:r>
    </w:p>
    <w:p>
      <w:pPr>
        <w:pStyle w:val="Normal"/>
        <w:jc w:val="both"/>
        <w:rPr>
          <w:rFonts w:ascii="Arial Narrow" w:hAnsi="Arial Narrow" w:cs="Arial Narrow"/>
          <w:sz w:val="18"/>
        </w:rPr>
      </w:pPr>
      <w:r>
        <w:rPr>
          <w:rFonts w:cs="Arial Narrow" w:ascii="Arial Narrow" w:hAnsi="Arial Narrow"/>
          <w:sz w:val="18"/>
        </w:rPr>
        <w:t>1400 Smith Street</w:t>
      </w:r>
    </w:p>
    <w:p>
      <w:pPr>
        <w:pStyle w:val="Normal"/>
        <w:jc w:val="both"/>
        <w:rPr>
          <w:rFonts w:ascii="Arial Narrow" w:hAnsi="Arial Narrow" w:cs="Arial Narrow"/>
          <w:sz w:val="18"/>
        </w:rPr>
      </w:pPr>
      <w:r>
        <w:rPr>
          <w:rFonts w:cs="Arial Narrow" w:ascii="Arial Narrow" w:hAnsi="Arial Narrow"/>
          <w:sz w:val="18"/>
        </w:rPr>
        <w:t>Houston, Texas  77002</w:t>
      </w:r>
    </w:p>
    <w:p>
      <w:pPr>
        <w:pStyle w:val="Normal"/>
        <w:jc w:val="both"/>
        <w:rPr>
          <w:rFonts w:ascii="Arial Narrow" w:hAnsi="Arial Narrow" w:cs="Arial Narrow"/>
          <w:sz w:val="18"/>
        </w:rPr>
      </w:pPr>
      <w:r>
        <w:rPr>
          <w:rFonts w:cs="Arial Narrow" w:ascii="Arial Narrow" w:hAnsi="Arial Narrow"/>
          <w:sz w:val="18"/>
        </w:rPr>
        <w:t>Attn.:  Corporate Secretary</w:t>
      </w:r>
    </w:p>
    <w:p>
      <w:pPr>
        <w:pStyle w:val="Normal"/>
        <w:jc w:val="both"/>
        <w:rPr>
          <w:rFonts w:ascii="Arial Narrow" w:hAnsi="Arial Narrow" w:cs="Arial Narrow"/>
          <w:sz w:val="18"/>
        </w:rPr>
      </w:pPr>
      <w:r>
        <w:rPr>
          <w:rFonts w:cs="Arial Narrow" w:ascii="Arial Narrow" w:hAnsi="Arial Narrow"/>
          <w:sz w:val="18"/>
        </w:rPr>
        <w:t>Facsimile:  (713)  853-2534</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______________________________</w:t>
      </w:r>
    </w:p>
    <w:p>
      <w:pPr>
        <w:pStyle w:val="Normal"/>
        <w:jc w:val="both"/>
        <w:rPr>
          <w:rFonts w:ascii="Arial Narrow" w:hAnsi="Arial Narrow" w:cs="Arial Narrow"/>
          <w:sz w:val="18"/>
        </w:rPr>
      </w:pPr>
      <w:r>
        <w:rPr>
          <w:rFonts w:cs="Arial Narrow" w:ascii="Arial Narrow" w:hAnsi="Arial Narrow"/>
          <w:sz w:val="18"/>
        </w:rPr>
        <w:t>Facsimile:  _____________________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5</w:t>
      </w:r>
      <w:r>
        <w:rPr>
          <w:rFonts w:cs="Arial Narrow" w:ascii="Arial Narrow" w:hAnsi="Arial Narrow"/>
          <w:sz w:val="18"/>
        </w:rPr>
        <w:t>.</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MISCELLANEOUS</w:t>
      </w:r>
      <w:r>
        <w:rPr>
          <w:rFonts w:cs="Arial Narrow" w:ascii="Arial Narrow" w:hAnsi="Arial Narrow"/>
          <w:sz w:val="18"/>
        </w:rPr>
        <w:t xml:space="preserve">.  THIS GUARANTY SHALL IN ALL RESPECTS BE GOVERNED BY, AND CONSTRUED IN ACCORDANCE WITH, THE LAWS OF THE STATE OF TEXAS, WITHOUT REGARD TO PRINCIPLES OF CONFLICTS OF LAWS. </w:t>
      </w:r>
      <w:r>
        <w:rPr>
          <w:rFonts w:cs="Arial Narrow" w:ascii="Arial Narrow" w:hAnsi="Arial Narrow"/>
          <w:b/>
          <w:sz w:val="18"/>
        </w:rPr>
        <w:t xml:space="preserve"> </w:t>
      </w:r>
      <w:r>
        <w:rPr>
          <w:rFonts w:cs="Arial Narrow" w:ascii="Arial Narrow" w:hAnsi="Arial Narrow"/>
          <w:sz w:val="18"/>
        </w:rPr>
        <w:t>Guarantor WAIVES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u w:val="single"/>
        </w:rPr>
        <w:tab/>
        <w:tab/>
        <w:tab/>
        <w:tab/>
        <w:tab/>
        <w:tab/>
        <w:tab/>
      </w:r>
      <w:r>
        <w:rPr>
          <w:rFonts w:cs="Arial Narrow" w:ascii="Arial Narrow" w:hAnsi="Arial Narrow"/>
          <w:sz w:val="18"/>
        </w:rPr>
        <w:tab/>
      </w:r>
      <w:r>
        <w:rPr>
          <w:rFonts w:cs="Arial Narrow" w:ascii="Arial Narrow" w:hAnsi="Arial Narrow"/>
          <w:sz w:val="18"/>
          <w:u w:val="single"/>
        </w:rPr>
        <w:tab/>
        <w:tab/>
        <w:tab/>
        <w:tab/>
        <w:tab/>
        <w:tab/>
        <w:tab/>
      </w:r>
    </w:p>
    <w:p>
      <w:pPr>
        <w:pStyle w:val="Normal"/>
        <w:jc w:val="both"/>
        <w:rPr>
          <w:rFonts w:ascii="Arial Narrow" w:hAnsi="Arial Narrow" w:cs="Arial Narrow"/>
          <w:sz w:val="18"/>
        </w:rPr>
      </w:pPr>
      <w:r>
        <w:rPr>
          <w:rFonts w:cs="Arial Narrow" w:ascii="Arial Narrow" w:hAnsi="Arial Narrow"/>
          <w:sz w:val="18"/>
        </w:rPr>
        <w:t xml:space="preserve">By </w:t>
      </w:r>
      <w:r>
        <w:rPr>
          <w:rFonts w:cs="Arial Narrow" w:ascii="Arial Narrow" w:hAnsi="Arial Narrow"/>
          <w:sz w:val="18"/>
          <w:u w:val="single"/>
        </w:rPr>
        <w:tab/>
        <w:tab/>
        <w:tab/>
        <w:tab/>
        <w:tab/>
        <w:tab/>
        <w:tab/>
      </w:r>
      <w:r>
        <w:rPr>
          <w:rFonts w:cs="Arial Narrow" w:ascii="Arial Narrow" w:hAnsi="Arial Narrow"/>
          <w:sz w:val="18"/>
        </w:rPr>
        <w:tab/>
        <w:t xml:space="preserve">By </w:t>
      </w:r>
      <w:r>
        <w:rPr>
          <w:rFonts w:cs="Arial Narrow" w:ascii="Arial Narrow" w:hAnsi="Arial Narrow"/>
          <w:sz w:val="18"/>
          <w:u w:val="single"/>
        </w:rPr>
        <w:tab/>
        <w:tab/>
        <w:tab/>
        <w:tab/>
        <w:tab/>
        <w:tab/>
        <w:tab/>
      </w:r>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pPr>
      <w:r>
        <w:rPr>
          <w:rFonts w:cs="Arial Narrow" w:ascii="Arial Narrow" w:hAnsi="Arial Narrow"/>
          <w:sz w:val="18"/>
        </w:rPr>
        <w:t xml:space="preserve">Title </w:t>
      </w:r>
      <w:r>
        <w:rPr>
          <w:rFonts w:cs="Arial Narrow" w:ascii="Arial Narrow" w:hAnsi="Arial Narrow"/>
          <w:sz w:val="18"/>
          <w:u w:val="single"/>
        </w:rPr>
        <w:tab/>
        <w:tab/>
        <w:tab/>
        <w:tab/>
        <w:tab/>
        <w:tab/>
        <w:tab/>
      </w:r>
      <w:r>
        <w:rPr>
          <w:rFonts w:cs="Arial Narrow" w:ascii="Arial Narrow" w:hAnsi="Arial Narrow"/>
          <w:sz w:val="18"/>
        </w:rPr>
        <w:tab/>
        <w:t xml:space="preserve">Title </w:t>
      </w:r>
      <w:r>
        <w:rPr>
          <w:rFonts w:cs="Arial Narrow" w:ascii="Arial Narrow" w:hAnsi="Arial Narrow"/>
          <w:sz w:val="18"/>
          <w:u w:val="single"/>
        </w:rPr>
        <w:tab/>
        <w:tab/>
        <w:tab/>
        <w:tab/>
        <w:tab/>
        <w:tab/>
        <w:tab/>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 a Delaware Corporation</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77299-0488</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77299-0645</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3750472231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b/>
          <w:sz w:val="18"/>
        </w:rPr>
      </w:pPr>
      <w:r>
        <w:rPr>
          <w:rFonts w:cs="Arial Narrow" w:ascii="Arial Narrow" w:hAnsi="Arial Narrow"/>
          <w:b/>
          <w:sz w:val="18"/>
        </w:rPr>
      </w:r>
    </w:p>
    <w:sectPr>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1999-09-09T14:12:00Z</dcterms:created>
  <dc:creator>dperlin</dc:creator>
  <dc:description/>
  <dc:language>en-CA</dc:language>
  <cp:lastModifiedBy>dperlin</cp:lastModifiedBy>
  <cp:lastPrinted>2000-11-02T16:59:00Z</cp:lastPrinted>
  <dcterms:modified xsi:type="dcterms:W3CDTF">2000-11-02T20:30:00Z</dcterms:modified>
  <cp:revision>2</cp:revision>
  <dc:subject/>
  <dc:title>ENFOLIO® MASTER FIRM PURCHASE/SALE AGREEMENT</dc:title>
</cp:coreProperties>
</file>