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ENA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20,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to the Purchase Agreement dated as of April 20, 2001 (the </w:t>
      </w:r>
      <w:r>
        <w:rPr>
          <w:rFonts w:cs="Times New Roman" w:ascii="Times New Roman" w:hAnsi="Times New Roman"/>
          <w:b/>
          <w:i/>
          <w:sz w:val="24"/>
        </w:rPr>
        <w:t>Purchase Agreement</w:t>
      </w:r>
      <w:r>
        <w:rPr>
          <w:rFonts w:cs="Times New Roman" w:ascii="Times New Roman" w:hAnsi="Times New Roman"/>
          <w:sz w:val="24"/>
        </w:rPr>
        <w:t>) between Pegasus Power Partners, LLC (</w:t>
      </w:r>
      <w:r>
        <w:rPr>
          <w:rFonts w:cs="Times New Roman" w:ascii="Times New Roman" w:hAnsi="Times New Roman"/>
          <w:b/>
          <w:i/>
          <w:sz w:val="24"/>
        </w:rPr>
        <w:t>Pegasus</w:t>
      </w:r>
      <w:r>
        <w:rPr>
          <w:rFonts w:cs="Times New Roman" w:ascii="Times New Roman" w:hAnsi="Times New Roman"/>
          <w:sz w:val="24"/>
        </w:rPr>
        <w:t xml:space="preserve">) and the Purchasers party thereto.  Capitalized terms used but not defined herein have the respective meanings given to such terms in the Purchase Agreement.  Pursuant to Section 4(i) of the Purchase Agreement, this Letter Agreement is being delivered by Enron North America Corp. (the </w:t>
      </w:r>
      <w:r>
        <w:rPr>
          <w:rFonts w:cs="Times New Roman" w:ascii="Times New Roman" w:hAnsi="Times New Roman"/>
          <w:b/>
          <w:i/>
          <w:sz w:val="24"/>
        </w:rPr>
        <w:t>Company</w:t>
      </w:r>
      <w:r>
        <w:rPr>
          <w:rFonts w:cs="Times New Roman" w:ascii="Times New Roman" w:hAnsi="Times New Roman"/>
          <w:i/>
          <w:sz w:val="24"/>
        </w:rPr>
        <w:t>)</w:t>
      </w:r>
      <w:r>
        <w:rPr>
          <w:rFonts w:cs="Times New Roman" w:ascii="Times New Roman" w:hAnsi="Times New Roman"/>
          <w:sz w:val="24"/>
        </w:rPr>
        <w:t xml:space="preserve">.  </w:t>
      </w:r>
    </w:p>
    <w:p>
      <w:pPr>
        <w:pStyle w:val="BodyText"/>
        <w:rPr>
          <w:rFonts w:ascii="Times New Roman" w:hAnsi="Times New Roman" w:cs="Times New Roman"/>
          <w:sz w:val="24"/>
        </w:rPr>
      </w:pPr>
      <w:r>
        <w:rPr>
          <w:rFonts w:cs="Times New Roman" w:ascii="Times New Roman" w:hAnsi="Times New Roman"/>
          <w:sz w:val="24"/>
        </w:rPr>
        <w:t>The undersigned hereby represents and warrants as follows:</w:t>
      </w:r>
    </w:p>
    <w:p>
      <w:pPr>
        <w:pStyle w:val="a"/>
        <w:rPr/>
      </w:pPr>
      <w:r>
        <w:rPr>
          <w:rFonts w:cs="Times New Roman" w:ascii="Times New Roman" w:hAnsi="Times New Roman"/>
          <w:sz w:val="24"/>
        </w:rPr>
        <w:t>1.</w:t>
        <w:tab/>
        <w:t xml:space="preserve">Attached hereto as Exhibit A is a true, correct and complete copy of the Consent and Agreement (the </w:t>
      </w:r>
      <w:r>
        <w:rPr>
          <w:rFonts w:cs="Times New Roman" w:ascii="Times New Roman" w:hAnsi="Times New Roman"/>
          <w:b/>
          <w:i/>
          <w:sz w:val="24"/>
        </w:rPr>
        <w:t>ENA Consent and Agreement</w:t>
      </w:r>
      <w:r>
        <w:rPr>
          <w:rFonts w:cs="Times New Roman" w:ascii="Times New Roman" w:hAnsi="Times New Roman"/>
          <w:sz w:val="24"/>
        </w:rPr>
        <w:t xml:space="preserve">) to be entered into between the Company, Pegasus and U.S. Bank Trust National Association, as Collateral Agent (the </w:t>
      </w:r>
      <w:r>
        <w:rPr>
          <w:rFonts w:cs="Times New Roman" w:ascii="Times New Roman" w:hAnsi="Times New Roman"/>
          <w:b/>
          <w:i/>
          <w:sz w:val="24"/>
        </w:rPr>
        <w:t>Collateral Agent</w:t>
      </w:r>
      <w:r>
        <w:rPr>
          <w:rFonts w:cs="Times New Roman" w:ascii="Times New Roman" w:hAnsi="Times New Roman"/>
          <w:sz w:val="24"/>
        </w:rPr>
        <w:t xml:space="preserve">), in the final form that has been agreed upon by the parties thereto. </w:t>
      </w:r>
    </w:p>
    <w:p>
      <w:pPr>
        <w:pStyle w:val="a"/>
        <w:rPr/>
      </w:pPr>
      <w:r>
        <w:rPr>
          <w:rFonts w:cs="Times New Roman" w:ascii="Times New Roman" w:hAnsi="Times New Roman"/>
          <w:sz w:val="24"/>
        </w:rPr>
        <w:t>2.</w:t>
        <w:tab/>
        <w:t xml:space="preserve">Attached hereto as Exhibit B is a true, correct and complete copy of the Promissory Note (the </w:t>
      </w:r>
      <w:r>
        <w:rPr>
          <w:rFonts w:cs="Times New Roman" w:ascii="Times New Roman" w:hAnsi="Times New Roman"/>
          <w:b/>
          <w:i/>
          <w:sz w:val="24"/>
        </w:rPr>
        <w:t>Promissory Note</w:t>
      </w:r>
      <w:r>
        <w:rPr>
          <w:rFonts w:cs="Times New Roman" w:ascii="Times New Roman" w:hAnsi="Times New Roman"/>
          <w:sz w:val="24"/>
        </w:rPr>
        <w:t>) to be executed and delivered by Salmon Energy, LLC (</w:t>
      </w:r>
      <w:r>
        <w:rPr>
          <w:rFonts w:cs="Times New Roman" w:ascii="Times New Roman" w:hAnsi="Times New Roman"/>
          <w:b/>
          <w:i/>
          <w:sz w:val="24"/>
        </w:rPr>
        <w:t>Salmon Energy</w:t>
      </w:r>
      <w:r>
        <w:rPr>
          <w:rFonts w:cs="Times New Roman" w:ascii="Times New Roman" w:hAnsi="Times New Roman"/>
          <w:sz w:val="24"/>
        </w:rPr>
        <w:t xml:space="preserve">) payable to the order of Pegasus, in the final form that has been agreed upon by Salmon Energy and Pegasus. </w:t>
      </w:r>
    </w:p>
    <w:p>
      <w:pPr>
        <w:pStyle w:val="a"/>
        <w:rPr/>
      </w:pPr>
      <w:r>
        <w:rPr>
          <w:rFonts w:cs="Times New Roman" w:ascii="Times New Roman" w:hAnsi="Times New Roman"/>
          <w:sz w:val="24"/>
        </w:rPr>
        <w:t>3.</w:t>
        <w:tab/>
        <w:t xml:space="preserve">Attached hereto as Exhibit C is a true, correct and complete copy of the Security Agreement (the </w:t>
      </w:r>
      <w:r>
        <w:rPr>
          <w:rFonts w:cs="Times New Roman" w:ascii="Times New Roman" w:hAnsi="Times New Roman"/>
          <w:b/>
          <w:i/>
          <w:sz w:val="24"/>
        </w:rPr>
        <w:t>Security Agreement</w:t>
      </w:r>
      <w:r>
        <w:rPr>
          <w:rFonts w:cs="Times New Roman" w:ascii="Times New Roman" w:hAnsi="Times New Roman"/>
          <w:sz w:val="24"/>
        </w:rPr>
        <w:t xml:space="preserve">) to be executed and delivered by Salmon Energy,  Pegasus and the Collateral Agent, in the final form that has been agreed upon by the parties thereto. </w:t>
      </w:r>
    </w:p>
    <w:p>
      <w:pPr>
        <w:pStyle w:val="a"/>
        <w:rPr/>
      </w:pPr>
      <w:r>
        <w:rPr>
          <w:rFonts w:cs="Times New Roman" w:ascii="Times New Roman" w:hAnsi="Times New Roman"/>
          <w:sz w:val="24"/>
        </w:rPr>
        <w:t>4.</w:t>
        <w:tab/>
        <w:t xml:space="preserve">Attached hereto as Exhibit D is a true, correct and complete copy of the Financing Statement (the </w:t>
      </w:r>
      <w:r>
        <w:rPr>
          <w:rFonts w:cs="Times New Roman" w:ascii="Times New Roman" w:hAnsi="Times New Roman"/>
          <w:b/>
          <w:i/>
          <w:sz w:val="24"/>
        </w:rPr>
        <w:t>Financing Statement</w:t>
      </w:r>
      <w:r>
        <w:rPr>
          <w:rFonts w:cs="Times New Roman" w:ascii="Times New Roman" w:hAnsi="Times New Roman"/>
          <w:sz w:val="24"/>
        </w:rPr>
        <w:t xml:space="preserve">) to be executed and delivered by Salmon Energy, in connection with the Security Agreement, in the final form that has been agreed upon by the parties thereto. </w:t>
      </w:r>
    </w:p>
    <w:p>
      <w:pPr>
        <w:pStyle w:val="BodyText"/>
        <w:rPr>
          <w:rFonts w:ascii="Times New Roman" w:hAnsi="Times New Roman" w:cs="Times New Roman"/>
          <w:sz w:val="24"/>
        </w:rPr>
      </w:pPr>
      <w:r>
        <w:rPr>
          <w:rFonts w:cs="Times New Roman" w:ascii="Times New Roman" w:hAnsi="Times New Roman"/>
          <w:sz w:val="24"/>
        </w:rPr>
        <w:t xml:space="preserve">The Company agrees to execute and deliver the ENA Consent and Agreement, and to cause Salmon Energy to execute and deliver the Promissory Note, the Security Agreement and the Financing Statement, in each case in the form attached hereto, dated as of the date of closing of the transactions contemplated by that certain Letter Agreement dated April 4, 2001 between the Company and Pegasus, not earlier that five nor more than ten Business Days from the date hereof.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ENRON NORTH AMERICA CORP.</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By:__________________________________</w:t>
      </w:r>
    </w:p>
    <w:p>
      <w:pPr>
        <w:pStyle w:val="BodyText"/>
        <w:spacing w:before="0" w:after="0"/>
        <w:ind w:start="4920" w:end="0"/>
        <w:rPr>
          <w:rFonts w:ascii="Times New Roman" w:hAnsi="Times New Roman" w:cs="Times New Roman"/>
          <w:sz w:val="24"/>
        </w:rPr>
      </w:pPr>
      <w:r>
        <w:rPr>
          <w:rFonts w:cs="Times New Roman" w:ascii="Times New Roman" w:hAnsi="Times New Roman"/>
          <w:sz w:val="24"/>
        </w:rPr>
        <w:t>Name:_______________________________</w:t>
        <w:br/>
        <w:t>Title:________________________________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ENA Consent and Agreement</w:t>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Form of Promissory Note</w:t>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D</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w:hAnsi="Bembo;Georgia" w:eastAsia="Times New Roman" w:cs="Bembo;Georgia"/>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w:hAnsi="Bembo;Georgia" w:cs="Bembo;Georgia"/>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2001-04-19T14:27:00Z</dcterms:created>
  <dc:creator>Duran, Jennifer</dc:creator>
  <dc:description/>
  <cp:keywords>109489-0001</cp:keywords>
  <dc:language>en-CA</dc:language>
  <cp:lastModifiedBy>Carolyn Campbell</cp:lastModifiedBy>
  <cp:lastPrinted>2001-04-19T12:34:00Z</cp:lastPrinted>
  <dcterms:modified xsi:type="dcterms:W3CDTF">2001-04-19T15:04:00Z</dcterms:modified>
  <cp:revision>3</cp:revision>
  <dc:subject>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