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27" w:type="dxa"/>
        <w:jc w:val="start"/>
        <w:tblInd w:w="0" w:type="dxa"/>
        <w:tblLayout w:type="fixed"/>
        <w:tblCellMar>
          <w:top w:w="0" w:type="dxa"/>
          <w:start w:w="108" w:type="dxa"/>
          <w:bottom w:w="0" w:type="dxa"/>
          <w:end w:w="108" w:type="dxa"/>
        </w:tblCellMar>
      </w:tblPr>
      <w:tblGrid>
        <w:gridCol w:w="7904"/>
        <w:gridCol w:w="1522"/>
        <w:gridCol w:w="1"/>
      </w:tblGrid>
      <w:tr>
        <w:trPr>
          <w:trHeight w:val="320" w:hRule="exact"/>
        </w:trPr>
        <w:tc>
          <w:tcPr>
            <w:tcW w:w="7904" w:type="dxa"/>
            <w:tcBorders/>
          </w:tcPr>
          <w:p>
            <w:pPr>
              <w:pStyle w:val="Normal"/>
              <w:snapToGrid w:val="false"/>
              <w:rPr/>
            </w:pPr>
            <w:r>
              <w:rPr/>
            </w:r>
          </w:p>
        </w:tc>
        <w:tc>
          <w:tcPr>
            <w:tcW w:w="1523" w:type="dxa"/>
            <w:tcBorders/>
          </w:tcPr>
          <w:p>
            <w:pPr>
              <w:pStyle w:val="Normal"/>
              <w:snapToGrid w:val="false"/>
              <w:rPr/>
            </w:pPr>
            <w:r>
              <w:rPr/>
            </w:r>
          </w:p>
        </w:tc>
      </w:tr>
      <w:tr>
        <w:trPr/>
        <w:tc>
          <w:tcPr>
            <w:tcW w:w="7904" w:type="dxa"/>
            <w:tcBorders/>
          </w:tcPr>
          <w:p>
            <w:pPr>
              <w:pStyle w:val="Normal"/>
              <w:snapToGrid w:val="false"/>
              <w:spacing w:before="480" w:after="0"/>
              <w:rPr>
                <w:rFonts w:ascii="Times New Roman" w:hAnsi="Times New Roman" w:cs="Times New Roman"/>
              </w:rPr>
            </w:pPr>
            <w:r>
              <w:rPr>
                <w:rFonts w:cs="Times New Roman" w:ascii="Times New Roman" w:hAnsi="Times New Roman"/>
              </w:rPr>
            </w:r>
          </w:p>
        </w:tc>
        <w:tc>
          <w:tcPr>
            <w:tcW w:w="1522" w:type="dxa"/>
            <w:tcBorders/>
          </w:tcPr>
          <w:p>
            <w:pPr>
              <w:pStyle w:val="Normal"/>
              <w:snapToGrid w:val="false"/>
              <w:spacing w:before="480" w:after="0"/>
              <w:rPr>
                <w:rFonts w:ascii="Times New Roman" w:hAnsi="Times New Roman" w:cs="Times New Roman"/>
              </w:rPr>
            </w:pPr>
            <w:r>
              <w:rPr>
                <w:rFonts w:cs="Times New Roman" w:ascii="Times New Roman" w:hAnsi="Times New Roman"/>
              </w:rPr>
            </w:r>
          </w:p>
        </w:tc>
      </w:tr>
      <w:tr>
        <w:trPr/>
        <w:tc>
          <w:tcPr>
            <w:tcW w:w="7904" w:type="dxa"/>
            <w:tcBorders/>
          </w:tcPr>
          <w:p>
            <w:pPr>
              <w:pStyle w:val="Normal"/>
              <w:snapToGrid w:val="false"/>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rPr>
            </w:pPr>
            <w:r>
              <w:rPr>
                <w:rFonts w:cs="Times New Roman" w:ascii="Times New Roman" w:hAnsi="Times New Roman"/>
                <w:sz w:val="18"/>
              </w:rPr>
            </w:r>
          </w:p>
        </w:tc>
        <w:tc>
          <w:tcPr>
            <w:tcW w:w="1522" w:type="dxa"/>
            <w:tcBorders/>
          </w:tcPr>
          <w:p>
            <w:pPr>
              <w:pStyle w:val="Normal"/>
              <w:snapToGrid w:val="false"/>
              <w:spacing w:before="420" w:after="0"/>
              <w:rPr>
                <w:rFonts w:ascii="Times New Roman" w:hAnsi="Times New Roman" w:cs="Times New Roman"/>
                <w:sz w:val="18"/>
              </w:rPr>
            </w:pPr>
            <w:r>
              <w:rPr>
                <w:rFonts w:cs="Times New Roman" w:ascii="Times New Roman" w:hAnsi="Times New Roman"/>
                <w:sz w:val="18"/>
              </w:rPr>
            </w:r>
          </w:p>
          <w:p>
            <w:pPr>
              <w:pStyle w:val="Normal"/>
              <w:spacing w:before="420" w:after="0"/>
              <w:rPr>
                <w:rFonts w:ascii="Times New Roman" w:hAnsi="Times New Roman" w:cs="Times New Roman"/>
                <w:sz w:val="18"/>
              </w:rPr>
            </w:pPr>
            <w:r>
              <w:rPr>
                <w:rFonts w:cs="Times New Roman" w:ascii="Times New Roman" w:hAnsi="Times New Roman"/>
                <w:sz w:val="18"/>
              </w:rPr>
              <w:br/>
              <w:t>0171-676-5416</w:t>
              <w:br/>
              <w:t>0171-676 5417</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t xml:space="preserve">Dear </w:t>
      </w:r>
    </w:p>
    <w:p>
      <w:pPr>
        <w:pStyle w:val="Normal"/>
        <w:ind w:end="-25"/>
        <w:jc w:val="center"/>
        <w:rPr>
          <w:rFonts w:ascii="Times New Roman" w:hAnsi="Times New Roman" w:cs="Times New Roman"/>
          <w:b/>
        </w:rPr>
      </w:pPr>
      <w:r>
        <w:rPr>
          <w:rFonts w:cs="Times New Roman" w:ascii="Times New Roman" w:hAnsi="Times New Roman"/>
          <w:b/>
          <w:u w:val="single"/>
        </w:rPr>
        <w:t>CFTC PART 30 EXEMPTION ORDER</w:t>
      </w:r>
    </w:p>
    <w:p>
      <w:pPr>
        <w:pStyle w:val="Normal"/>
        <w:ind w:end="-25"/>
        <w:jc w:val="center"/>
        <w:rPr>
          <w:rFonts w:ascii="Times New Roman" w:hAnsi="Times New Roman" w:cs="Times New Roman"/>
          <w:b/>
        </w:rPr>
      </w:pPr>
      <w:r>
        <w:rPr>
          <w:rFonts w:cs="Times New Roman" w:ascii="Times New Roman" w:hAnsi="Times New Roman"/>
          <w:b/>
        </w:rPr>
      </w:r>
    </w:p>
    <w:p>
      <w:pPr>
        <w:pStyle w:val="Normal"/>
        <w:ind w:end="-25"/>
        <w:rPr>
          <w:rFonts w:ascii="Times New Roman" w:hAnsi="Times New Roman" w:cs="Times New Roman"/>
        </w:rPr>
      </w:pPr>
      <w:r>
        <w:rPr>
          <w:rFonts w:cs="Times New Roman" w:ascii="Times New Roman" w:hAnsi="Times New Roman"/>
        </w:rPr>
        <w:t>Further to your enquiry, please find enclosed details of the steps that need to be taken by your firm should it wish to take advantage of the above Order. Only firms who wish to undertake futures and options business with U.S. customers in respect of trading on non-U.S. exchanges require exemption under this Order.  Part 30 exemption only applies to futures and options transactions on non-U.S. recognised or designated exchanges.  If your firm wishes to solicit or effect transactions on U.S. exchanges for U.S. customers it must comply with all applicable U.S. laws and regulations including the requirement to register under the Commodity Exchange Act.</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Enclosed are the following:-</w:t>
      </w:r>
    </w:p>
    <w:p>
      <w:pPr>
        <w:pStyle w:val="Normal"/>
        <w:ind w:hanging="720" w:start="720"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t>(1)</w:t>
        <w:tab/>
        <w:tab/>
        <w:t>A letter which requires signing and returning to SFA confirming that you are engaged in business relating to futures and options with customers located in the United Kingdom, and that neither you nor any of your employees or representatives who will engage in activities subject to Part 30, would be statutory disqualified from registration under Section 8a(2) of the Commodity Exchange Act;</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720" w:start="720"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t>(2)</w:t>
        <w:tab/>
        <w:tab/>
        <w:t>A letter to the CFTC consenting to the  requirements as set out in the Order.  Please complete this letter and return it to SFA, in order that we may designate you for the purpose of obtaining an exemption under the Order;</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t>(3)</w:t>
        <w:tab/>
        <w:tab/>
        <w:t>A sample consent form for U.S. customers with respect to transactions subject to Part 30 providing for NFA arbitration to be available only after U.K. mediation or conciliation procedures have been exhausted, or after nine months have elapsed since the commencement of such process;</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720" w:start="720" w:end="-25"/>
        <w:rPr>
          <w:rFonts w:ascii="Times New Roman" w:hAnsi="Times New Roman" w:cs="Times New Roman"/>
        </w:rPr>
      </w:pPr>
      <w:r>
        <w:rPr>
          <w:rFonts w:cs="Times New Roman" w:ascii="Times New Roman" w:hAnsi="Times New Roman"/>
        </w:rPr>
        <w:tab/>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tab/>
        <w:tab/>
        <w:t>Page 12 paragraph (f) of the Order provides that firms seeking relief may require their customers resident in the  United States to execute a consent form delaying the onset of NFA arbitration until U.K. processes have either been exhausted or nine months have elapsed;</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720" w:start="720"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t>(4)</w:t>
        <w:tab/>
        <w:tab/>
        <w:t>A statement of NFA policy relating to arbitration under Part 30 and a note on the mechanics of the SFA conciliation, mediation and arbitration processes;</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t>(5)</w:t>
        <w:tab/>
        <w:tab/>
        <w:t>A form of request to appoint the National Futures Association as agent for service of process;</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r>
      <w:r>
        <w:br w:type="page"/>
      </w:r>
    </w:p>
    <w:p>
      <w:pPr>
        <w:pStyle w:val="Normal"/>
        <w:tabs>
          <w:tab w:val="clear" w:pos="720"/>
          <w:tab w:val="left" w:pos="1170" w:leader="none"/>
        </w:tabs>
        <w:ind w:hanging="1170" w:start="1170" w:end="-25"/>
        <w:rPr>
          <w:rFonts w:ascii="Times New Roman" w:hAnsi="Times New Roman" w:cs="Times New Roman"/>
        </w:rPr>
      </w:pPr>
      <w:r>
        <w:rPr>
          <w:rFonts w:cs="Times New Roman" w:ascii="Times New Roman" w:hAnsi="Times New Roman"/>
        </w:rPr>
        <w:t>(6) &amp; (7)</w:t>
        <w:tab/>
        <w:t>The CFTC's Reg. 1.55 Risk Disclosure Statement or the Generic Risk Disclosure statement must be delivered to each U.S. customer prior to opening a futures/options account and a signed and dated acknowledgement must be received back from the customer stating that he has received and understood the statement.  Please note that CFTC requires either risk disclosure statement to be printed on a separate page from any other text;</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t>(8) &amp; (9)</w:t>
        <w:tab/>
        <w:t>Risk Disclosure Statement and Explanatory Statement for U.S. customers whose funds are not segregated at the LME.  These statements should be sent to U.S. customers whose forward profits are not segregated but are covered by a binding letter of credit/bank guarantee drawn in favour of Bankers Trustee Company Ltd.  Please note that this alternative to U.K. segregation may only be used in respect of U.S. customers who would be permitted to opt out of segregation under the U.K. Financial Services Act 1986, and only for transactions on the LME;</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720" w:start="720" w:end="-25"/>
        <w:rPr>
          <w:rFonts w:ascii="Times New Roman" w:hAnsi="Times New Roman" w:cs="Times New Roman"/>
        </w:rPr>
      </w:pPr>
      <w:r>
        <w:rPr>
          <w:rFonts w:cs="Times New Roman" w:ascii="Times New Roman" w:hAnsi="Times New Roman"/>
        </w:rPr>
      </w:r>
    </w:p>
    <w:p>
      <w:pPr>
        <w:pStyle w:val="BlockText"/>
        <w:rPr/>
      </w:pPr>
      <w:r>
        <w:rPr/>
        <w:tab/>
        <w:tab/>
        <w:t>Firms who wish to avail themselves of the LME Bank Guarantee Arrangement should amend condition 2(h) of their filing of notice pursuant to rule 30.10 to reflect this.</w:t>
      </w:r>
    </w:p>
    <w:p>
      <w:pPr>
        <w:pStyle w:val="Normal"/>
        <w:tabs>
          <w:tab w:val="clear" w:pos="720"/>
          <w:tab w:val="left" w:pos="576" w:leader="none"/>
          <w:tab w:val="left" w:pos="1170"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728" w:start="1170" w:end="-25"/>
        <w:rPr>
          <w:rFonts w:ascii="Times New Roman" w:hAnsi="Times New Roman" w:cs="Times New Roman"/>
        </w:rPr>
      </w:pPr>
      <w:r>
        <w:rPr>
          <w:rFonts w:cs="Times New Roman" w:ascii="Times New Roman" w:hAnsi="Times New Roman"/>
        </w:rPr>
        <w:tab/>
        <w:tab/>
        <w:t>In addition,  firms must also send the standard explanatory statement (item 9) with the risk disclosure statement in item 8 to each U.S. customer covered by the arrangement;</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720" w:start="720"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152" w:start="1152" w:end="-25"/>
        <w:rPr>
          <w:rFonts w:ascii="Times New Roman" w:hAnsi="Times New Roman" w:cs="Times New Roman"/>
        </w:rPr>
      </w:pPr>
      <w:r>
        <w:rPr>
          <w:rFonts w:cs="Times New Roman" w:ascii="Times New Roman" w:hAnsi="Times New Roman"/>
        </w:rPr>
        <w:t>(10)</w:t>
        <w:tab/>
        <w:tab/>
        <w:t>A CFTC Advisory which explains the action you will need to take if your firm has any affiliates in the United States which are engaged in a related capacity.  Please note that while any representations made in accordance with the Advisory should be sent to SFA, they should, nevertheless, be addressed to CFTC.</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t>Please ensure that the above mentioned items (1), (2), (5) and any action taken in accordance with (10) are returned to this office.  Should you have any queries on this matter please do not hesitate to contact me.</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t>Yours sincerely</w:t>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end="-25"/>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Mike Parker</w:t>
      </w:r>
    </w:p>
    <w:p>
      <w:pPr>
        <w:pStyle w:val="Normal"/>
        <w:rPr>
          <w:rFonts w:ascii="Times New Roman" w:hAnsi="Times New Roman" w:cs="Times New Roman"/>
        </w:rPr>
      </w:pPr>
      <w:r>
        <w:rPr>
          <w:rFonts w:cs="Times New Roman" w:ascii="Times New Roman" w:hAnsi="Times New Roman"/>
        </w:rPr>
        <w:t>Manager - EU/International</w:t>
      </w:r>
    </w:p>
    <w:p>
      <w:pPr>
        <w:pStyle w:val="Normal"/>
        <w:ind w:end="-25"/>
        <w:rPr>
          <w:rFonts w:ascii="Times New Roman" w:hAnsi="Times New Roman" w:cs="Times New Roman"/>
        </w:rPr>
      </w:pPr>
      <w:r>
        <w:rPr>
          <w:rFonts w:cs="Times New Roman" w:ascii="Times New Roman" w:hAnsi="Times New Roman"/>
        </w:rPr>
        <w:t xml:space="preserve">Investment Business Policy </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Encs.</w:t>
      </w:r>
      <w:r>
        <w:br w:type="page"/>
      </w:r>
    </w:p>
    <w:p>
      <w:pPr>
        <w:pStyle w:val="Normal"/>
        <w:ind w:end="-25"/>
        <w:jc w:val="end"/>
        <w:rPr>
          <w:rFonts w:ascii="Times New Roman" w:hAnsi="Times New Roman" w:cs="Times New Roman"/>
        </w:rPr>
      </w:pPr>
      <w:r>
        <w:rPr>
          <w:rFonts w:cs="Times New Roman" w:ascii="Times New Roman" w:hAnsi="Times New Roman"/>
          <w:sz w:val="20"/>
        </w:rPr>
        <w:t>(1)</w:t>
      </w:r>
    </w:p>
    <w:p>
      <w:pPr>
        <w:pStyle w:val="Normal"/>
        <w:ind w:end="-25"/>
        <w:rPr>
          <w:rFonts w:ascii="Times New Roman" w:hAnsi="Times New Roman" w:cs="Times New Roman"/>
        </w:rPr>
      </w:pPr>
      <w:r>
        <w:rPr>
          <w:rFonts w:cs="Times New Roman" w:ascii="Times New Roman" w:hAnsi="Times New Roman"/>
        </w:rPr>
        <w:t>Date</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To:</w:t>
        <w:tab/>
        <w:t>SFA Firms Supervision</w:t>
      </w:r>
    </w:p>
    <w:p>
      <w:pPr>
        <w:pStyle w:val="Normal"/>
        <w:ind w:end="-25"/>
        <w:rPr>
          <w:rFonts w:ascii="Times New Roman" w:hAnsi="Times New Roman" w:cs="Times New Roman"/>
        </w:rPr>
      </w:pPr>
      <w:r>
        <w:rPr>
          <w:rFonts w:cs="Times New Roman" w:ascii="Times New Roman" w:hAnsi="Times New Roman"/>
        </w:rPr>
        <w:tab/>
        <w:t>Investment Business Division</w:t>
      </w:r>
    </w:p>
    <w:p>
      <w:pPr>
        <w:pStyle w:val="Normal"/>
        <w:ind w:end="-25"/>
        <w:rPr>
          <w:rFonts w:ascii="Times New Roman" w:hAnsi="Times New Roman" w:cs="Times New Roman"/>
        </w:rPr>
      </w:pPr>
      <w:r>
        <w:rPr>
          <w:rFonts w:cs="Times New Roman" w:ascii="Times New Roman" w:hAnsi="Times New Roman"/>
        </w:rPr>
        <w:tab/>
        <w:t>The Financial Services Authority</w:t>
      </w:r>
    </w:p>
    <w:p>
      <w:pPr>
        <w:pStyle w:val="Normal"/>
        <w:ind w:end="-25"/>
        <w:rPr>
          <w:rFonts w:ascii="Times New Roman" w:hAnsi="Times New Roman" w:cs="Times New Roman"/>
        </w:rPr>
      </w:pPr>
      <w:r>
        <w:rPr>
          <w:rFonts w:cs="Times New Roman" w:ascii="Times New Roman" w:hAnsi="Times New Roman"/>
        </w:rPr>
        <w:tab/>
        <w:t>25 The North Colonnade</w:t>
      </w:r>
    </w:p>
    <w:p>
      <w:pPr>
        <w:pStyle w:val="Normal"/>
        <w:ind w:end="-25"/>
        <w:rPr>
          <w:rFonts w:ascii="Times New Roman" w:hAnsi="Times New Roman" w:cs="Times New Roman"/>
        </w:rPr>
      </w:pPr>
      <w:r>
        <w:rPr>
          <w:rFonts w:cs="Times New Roman" w:ascii="Times New Roman" w:hAnsi="Times New Roman"/>
        </w:rPr>
        <w:tab/>
        <w:t>Canary Wharf</w:t>
      </w:r>
    </w:p>
    <w:p>
      <w:pPr>
        <w:pStyle w:val="Normal"/>
        <w:ind w:end="-25"/>
        <w:rPr>
          <w:rFonts w:ascii="Times New Roman" w:hAnsi="Times New Roman" w:cs="Times New Roman"/>
        </w:rPr>
      </w:pPr>
      <w:r>
        <w:rPr>
          <w:rFonts w:cs="Times New Roman" w:ascii="Times New Roman" w:hAnsi="Times New Roman"/>
        </w:rPr>
        <w:tab/>
        <w:t>London</w:t>
      </w:r>
    </w:p>
    <w:p>
      <w:pPr>
        <w:pStyle w:val="Normal"/>
        <w:ind w:firstLine="720" w:end="-25"/>
        <w:rPr>
          <w:rFonts w:ascii="Times New Roman" w:hAnsi="Times New Roman" w:cs="Times New Roman"/>
        </w:rPr>
      </w:pPr>
      <w:r>
        <w:rPr>
          <w:rFonts w:cs="Times New Roman" w:ascii="Times New Roman" w:hAnsi="Times New Roman"/>
        </w:rPr>
        <w:t>E14 5HS</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Dear Sirs</w:t>
      </w:r>
    </w:p>
    <w:p>
      <w:pPr>
        <w:pStyle w:val="Normal"/>
        <w:ind w:end="-25"/>
        <w:rPr>
          <w:rFonts w:ascii="Times New Roman" w:hAnsi="Times New Roman" w:cs="Times New Roman"/>
        </w:rPr>
      </w:pPr>
      <w:r>
        <w:rPr>
          <w:rFonts w:cs="Times New Roman" w:ascii="Times New Roman" w:hAnsi="Times New Roman"/>
        </w:rPr>
      </w:r>
    </w:p>
    <w:p>
      <w:pPr>
        <w:pStyle w:val="Normal"/>
        <w:ind w:end="-25"/>
        <w:jc w:val="center"/>
        <w:rPr>
          <w:rFonts w:ascii="Times New Roman" w:hAnsi="Times New Roman" w:cs="Times New Roman"/>
          <w:b/>
          <w:u w:val="single"/>
        </w:rPr>
      </w:pPr>
      <w:r>
        <w:rPr>
          <w:rFonts w:cs="Times New Roman" w:ascii="Times New Roman" w:hAnsi="Times New Roman"/>
          <w:b/>
          <w:u w:val="single"/>
        </w:rPr>
        <w:t>CFTC Part 30 Exemption</w:t>
      </w:r>
    </w:p>
    <w:p>
      <w:pPr>
        <w:pStyle w:val="Normal"/>
        <w:ind w:end="-25"/>
        <w:jc w:val="start"/>
        <w:rPr>
          <w:rFonts w:ascii="Times New Roman" w:hAnsi="Times New Roman" w:cs="Times New Roman"/>
          <w:b/>
          <w:u w:val="single"/>
        </w:rPr>
      </w:pPr>
      <w:r>
        <w:rPr>
          <w:rFonts w:cs="Times New Roman" w:ascii="Times New Roman" w:hAnsi="Times New Roman"/>
          <w:b/>
          <w:u w:val="single"/>
        </w:rPr>
      </w:r>
    </w:p>
    <w:p>
      <w:pPr>
        <w:pStyle w:val="Normal"/>
        <w:ind w:end="-25"/>
        <w:jc w:val="start"/>
        <w:rPr>
          <w:rFonts w:ascii="Times New Roman" w:hAnsi="Times New Roman" w:cs="Times New Roman"/>
        </w:rPr>
      </w:pPr>
      <w:r>
        <w:rPr>
          <w:rFonts w:cs="Times New Roman" w:ascii="Times New Roman" w:hAnsi="Times New Roman"/>
        </w:rPr>
        <w:t>We hereby confirm that we are engaged in business relating to futures and options with customers located in the United Kingdom and that neither our firm nor any of our employees or company representatives who will engage in activities subject to Part 30 would be statutorily disqualified from registration under section 8a(2) of the Commodity Exchange Act.</w:t>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t>Yours faithfully</w:t>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t>Name:</w:t>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t>Company:</w:t>
      </w:r>
    </w:p>
    <w:p>
      <w:pPr>
        <w:pStyle w:val="Normal"/>
        <w:ind w:end="-25"/>
        <w:jc w:val="start"/>
        <w:rPr>
          <w:rFonts w:ascii="Times New Roman" w:hAnsi="Times New Roman" w:cs="Times New Roman"/>
        </w:rPr>
      </w:pPr>
      <w:r>
        <w:rPr>
          <w:rFonts w:cs="Times New Roman" w:ascii="Times New Roman" w:hAnsi="Times New Roman"/>
        </w:rPr>
      </w:r>
    </w:p>
    <w:p>
      <w:pPr>
        <w:pStyle w:val="Normal"/>
        <w:ind w:end="-25"/>
        <w:jc w:val="start"/>
        <w:rPr>
          <w:rFonts w:ascii="Times New Roman" w:hAnsi="Times New Roman" w:cs="Times New Roman"/>
        </w:rPr>
      </w:pPr>
      <w:r>
        <w:rPr>
          <w:rFonts w:cs="Times New Roman" w:ascii="Times New Roman" w:hAnsi="Times New Roman"/>
        </w:rPr>
        <w:t>Address:</w:t>
      </w:r>
      <w:r>
        <w:br w:type="page"/>
      </w:r>
    </w:p>
    <w:p>
      <w:pPr>
        <w:pStyle w:val="Normal"/>
        <w:ind w:end="-25"/>
        <w:jc w:val="end"/>
        <w:rPr>
          <w:rFonts w:ascii="Times New Roman" w:hAnsi="Times New Roman" w:cs="Times New Roman"/>
        </w:rPr>
      </w:pPr>
      <w:r>
        <w:rPr>
          <w:rFonts w:cs="Times New Roman" w:ascii="Times New Roman" w:hAnsi="Times New Roman"/>
          <w:sz w:val="20"/>
        </w:rPr>
        <w:t>(2)</w:t>
      </w:r>
    </w:p>
    <w:p>
      <w:pPr>
        <w:pStyle w:val="Normal"/>
        <w:ind w:end="-25"/>
        <w:jc w:val="center"/>
        <w:rPr>
          <w:rFonts w:ascii="Times New Roman" w:hAnsi="Times New Roman" w:cs="Times New Roman"/>
          <w:b/>
          <w:u w:val="single"/>
        </w:rPr>
      </w:pPr>
      <w:r>
        <w:rPr>
          <w:rFonts w:cs="Times New Roman" w:ascii="Times New Roman" w:hAnsi="Times New Roman"/>
          <w:b/>
          <w:u w:val="single"/>
        </w:rPr>
        <w:t>FILING OF NOTICE PURSUANT TO EXEMPTION ORDER UNDER</w:t>
      </w:r>
    </w:p>
    <w:p>
      <w:pPr>
        <w:pStyle w:val="Normal"/>
        <w:ind w:end="-25"/>
        <w:jc w:val="center"/>
        <w:rPr>
          <w:rFonts w:ascii="Times New Roman" w:hAnsi="Times New Roman" w:cs="Times New Roman"/>
          <w:b/>
          <w:u w:val="single"/>
        </w:rPr>
      </w:pPr>
      <w:r>
        <w:rPr>
          <w:rFonts w:cs="Times New Roman" w:ascii="Times New Roman" w:hAnsi="Times New Roman"/>
          <w:b/>
          <w:u w:val="single"/>
        </w:rPr>
        <w:t>CFTC RULE 30.10 BY SFA MEMBER, ON BEHALF OF CLIENTS</w:t>
      </w:r>
    </w:p>
    <w:p>
      <w:pPr>
        <w:pStyle w:val="Normal"/>
        <w:ind w:end="-25"/>
        <w:jc w:val="center"/>
        <w:rPr>
          <w:rFonts w:ascii="Times New Roman" w:hAnsi="Times New Roman" w:cs="Times New Roman"/>
          <w:b/>
          <w:u w:val="single"/>
        </w:rPr>
      </w:pPr>
      <w:r>
        <w:rPr>
          <w:rFonts w:cs="Times New Roman" w:ascii="Times New Roman" w:hAnsi="Times New Roman"/>
          <w:b/>
          <w:u w:val="single"/>
        </w:rPr>
        <w:t>RESIDENT IN THE UNITED STATES OF AMERICA</w:t>
      </w:r>
    </w:p>
    <w:p>
      <w:pPr>
        <w:pStyle w:val="Normal"/>
        <w:ind w:end="-25"/>
        <w:rPr>
          <w:rFonts w:ascii="Times New Roman" w:hAnsi="Times New Roman" w:cs="Times New Roman"/>
          <w:b/>
          <w:u w:val="single"/>
        </w:rPr>
      </w:pPr>
      <w:r>
        <w:rPr>
          <w:rFonts w:cs="Times New Roman" w:ascii="Times New Roman" w:hAnsi="Times New Roman"/>
          <w:b/>
          <w:u w:val="single"/>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We</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of</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being a member in good standing of the Securities and Futures Authority Limited ("SFA") hereby apply to the Commodity Futures Trading Commission ("CFTC") for exemption, under the order granted by the CFTC under rule 30.10, 17 CFR Part 30, which was issued on 15 May 1989, to trade futures and regulated option transactions on behalf of clients resident in the United States pursuant to the terms of that order.</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We hereby:</w:t>
      </w:r>
    </w:p>
    <w:p>
      <w:pPr>
        <w:pStyle w:val="Normal"/>
        <w:ind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(a)</w:t>
        <w:tab/>
        <w:t>consent to jurisdiction in the United States under the Commodity Exchange Act by the filing of a valid and binding appointment of *</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ab/>
        <w:t>as agent in the United States for service of process in accordance with the requirements set forth in Commission Rule 30.5;</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(b)</w:t>
        <w:tab/>
        <w:t>agree to provide immediate access to SFA with regard to the books and records related to transactions under Part 30 required to be maintained under the applicable statutes and regulations in effect in the United Kingdom and acknowledge that SFA will co-operate in providing immediate access to such books and records to the Commission through the FSA in accordance with the terms of the side letter to the U.K./U.S. MoU;</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(c)</w:t>
        <w:tab/>
        <w:t>consent that all futures or regulated option transactions with respect to customers resident in the United States will be made on or subject to the rules of an RIE or any other exchange, other than a contract market designated as such pursuant to Section 5 of the Act, designated by the FSA under FSA Conduct of Business Rule 1.04, and will be undertaken consistent with the rules of the SFA and applicable provisions of the Financial Services Act;</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(d)</w:t>
        <w:tab/>
        <w:t>represent that no principal of our firm would be disqualified from directly applying to do business in the United States under Section 8a(2) of the Commodity Exchange Act, and will notify the Commission promptly of any change in this representation based on a change in control as generally defined in Commission Rule 3.32;</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(e)</w:t>
        <w:tab/>
        <w:t>confirm that we have no subsidiaries or affiliates domiciled in the United States with a related business**;</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(f)</w:t>
        <w:tab/>
        <w:t>consent to participate in any NFA arbitration program which offers a procedure for resolving customers disputes on the papers where such disputes involve representations or activities with respect to transactions under Part 30; we reserve the right however, to require our customers resident in the United States to execute the consent as set out in Exhibit C (of the 15 May 1989 Order) concerning the exhaustion of certain mediation or conciliation procedures made available by SFA prior to bringing a NFA arbitration proceeding; and undertake to provide the customer with information concerning how to commence such procedures and documentation of the commencement of such procedures pursuant to the consent as set out in Exhibit C (of the 15 May 1989 Order);</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(g)</w:t>
        <w:tab/>
        <w:t>consent to the release of financial information relating to ourselves as specified in the FISMOU, as amended, between, among others, the Commission, FSA and SFA;</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(h)</w:t>
        <w:tab/>
        <w:t>consent to refuse customers resident in the United States the option of not segregating funds notwithstanding relevant provisions of the United Kingdom regulatory system and to provide all customers resident in the United States no less stringent regulatory protection than United Kingdom customers under all relevant provisions of United Kingdom law***;</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(i)</w:t>
        <w:tab/>
        <w:t>confirm that in the event that we use an approved bank undertaking to meet any part of the financial resources requirements of the SFA and the value of segregated funds held by U.S. on behalf of customers resident in the United States exceeds 17.5 times the absolute minimum financial resource requirement applicable to us, we consent to report on our quarterly financial statement to SFA, or at such other times as may be specified by SFA, the value of funds required to be segregated on behalf of customers resident in the United States; and</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(j)</w:t>
        <w:tab/>
        <w:t>undertake to comply with the applicable provisions of United Kingdom law and SFA rules which form the basis upon which the exemption from certain provisions of the Act is granted.</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Dated this</w:t>
        <w:tab/>
        <w:tab/>
        <w:tab/>
        <w:tab/>
        <w:t>day of</w:t>
        <w:tab/>
        <w:tab/>
        <w:tab/>
        <w:tab/>
        <w:t>20</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The Common Seal of</w:t>
      </w:r>
    </w:p>
    <w:p>
      <w:pPr>
        <w:pStyle w:val="Normal"/>
        <w:ind w:hanging="720" w:start="720" w:end="-25"/>
        <w:rPr>
          <w:rFonts w:ascii="Times New Roman" w:hAnsi="Times New Roman" w:cs="Times New Roman"/>
        </w:rPr>
      </w:pPr>
      <w:r>
        <w:rPr>
          <w:rFonts w:cs="Times New Roman" w:ascii="Times New Roman" w:hAnsi="Times New Roman"/>
        </w:rPr>
        <w:t>was hereby affixed</w:t>
      </w:r>
    </w:p>
    <w:p>
      <w:pPr>
        <w:pStyle w:val="Normal"/>
        <w:ind w:hanging="720" w:start="720" w:end="-25"/>
        <w:rPr>
          <w:rFonts w:ascii="Times New Roman" w:hAnsi="Times New Roman" w:cs="Times New Roman"/>
        </w:rPr>
      </w:pPr>
      <w:r>
        <w:rPr>
          <w:rFonts w:cs="Times New Roman" w:ascii="Times New Roman" w:hAnsi="Times New Roman"/>
        </w:rPr>
        <w:t>pursuant to a resolution</w:t>
      </w:r>
    </w:p>
    <w:p>
      <w:pPr>
        <w:pStyle w:val="Normal"/>
        <w:ind w:hanging="720" w:start="720" w:end="-25"/>
        <w:rPr>
          <w:rFonts w:ascii="Times New Roman" w:hAnsi="Times New Roman" w:cs="Times New Roman"/>
        </w:rPr>
      </w:pPr>
      <w:r>
        <w:rPr>
          <w:rFonts w:cs="Times New Roman" w:ascii="Times New Roman" w:hAnsi="Times New Roman"/>
        </w:rPr>
        <w:t>of the Board</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tbl>
      <w:tblPr>
        <w:tblW w:w="11007" w:type="dxa"/>
        <w:jc w:val="start"/>
        <w:tblInd w:w="0" w:type="dxa"/>
        <w:tblLayout w:type="fixed"/>
        <w:tblCellMar>
          <w:top w:w="0" w:type="dxa"/>
          <w:start w:w="108" w:type="dxa"/>
          <w:bottom w:w="0" w:type="dxa"/>
          <w:end w:w="108" w:type="dxa"/>
        </w:tblCellMar>
      </w:tblPr>
      <w:tblGrid>
        <w:gridCol w:w="4533"/>
        <w:gridCol w:w="2541"/>
        <w:gridCol w:w="3933"/>
      </w:tblGrid>
      <w:tr>
        <w:trPr/>
        <w:tc>
          <w:tcPr>
            <w:tcW w:w="4533" w:type="dxa"/>
            <w:tcBorders>
              <w:bottom w:val="single" w:sz="12" w:space="0" w:color="000000"/>
            </w:tcBorders>
          </w:tcPr>
          <w:p>
            <w:pPr>
              <w:pStyle w:val="Normal"/>
              <w:snapToGrid w:val="false"/>
              <w:ind w:hanging="720" w:start="720" w:end="-25"/>
              <w:rPr>
                <w:rFonts w:ascii="Times New Roman" w:hAnsi="Times New Roman" w:cs="Times New Roman"/>
              </w:rPr>
            </w:pPr>
            <w:r>
              <w:rPr>
                <w:rFonts w:cs="Times New Roman" w:ascii="Times New Roman" w:hAnsi="Times New Roman"/>
              </w:rPr>
            </w:r>
          </w:p>
        </w:tc>
        <w:tc>
          <w:tcPr>
            <w:tcW w:w="2541" w:type="dxa"/>
            <w:tcBorders/>
          </w:tcPr>
          <w:p>
            <w:pPr>
              <w:pStyle w:val="Normal"/>
              <w:snapToGrid w:val="false"/>
              <w:ind w:hanging="720" w:start="720" w:end="-25"/>
              <w:rPr>
                <w:rFonts w:ascii="Times New Roman" w:hAnsi="Times New Roman" w:cs="Times New Roman"/>
              </w:rPr>
            </w:pPr>
            <w:r>
              <w:rPr>
                <w:rFonts w:cs="Times New Roman" w:ascii="Times New Roman" w:hAnsi="Times New Roman"/>
              </w:rPr>
            </w:r>
          </w:p>
        </w:tc>
        <w:tc>
          <w:tcPr>
            <w:tcW w:w="3933" w:type="dxa"/>
            <w:tcBorders>
              <w:bottom w:val="single" w:sz="12" w:space="0" w:color="000000"/>
            </w:tcBorders>
          </w:tcPr>
          <w:p>
            <w:pPr>
              <w:pStyle w:val="Normal"/>
              <w:snapToGrid w:val="false"/>
              <w:ind w:hanging="720" w:start="720" w:end="-25"/>
              <w:rPr>
                <w:rFonts w:ascii="Times New Roman" w:hAnsi="Times New Roman" w:cs="Times New Roman"/>
              </w:rPr>
            </w:pPr>
            <w:r>
              <w:rPr>
                <w:rFonts w:cs="Times New Roman" w:ascii="Times New Roman" w:hAnsi="Times New Roman"/>
              </w:rPr>
            </w:r>
          </w:p>
        </w:tc>
      </w:tr>
    </w:tbl>
    <w:p>
      <w:pPr>
        <w:pStyle w:val="Normal"/>
        <w:ind w:hanging="720" w:start="720" w:end="-25"/>
        <w:rPr>
          <w:rFonts w:ascii="Times New Roman" w:hAnsi="Times New Roman" w:cs="Times New Roman"/>
        </w:rPr>
      </w:pPr>
      <w:r>
        <w:rPr>
          <w:rFonts w:cs="Times New Roman" w:ascii="Times New Roman" w:hAnsi="Times New Roman"/>
        </w:rPr>
        <w:t>Director</w:t>
        <w:tab/>
        <w:tab/>
        <w:tab/>
        <w:tab/>
        <w:tab/>
        <w:tab/>
        <w:tab/>
        <w:tab/>
        <w:tab/>
        <w:t>Director/Secretary</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r>
        <w:br w:type="page"/>
      </w:r>
    </w:p>
    <w:p>
      <w:pPr>
        <w:pStyle w:val="Normal"/>
        <w:ind w:hanging="720" w:start="720" w:end="-25"/>
        <w:rPr>
          <w:rFonts w:ascii="Times New Roman" w:hAnsi="Times New Roman" w:cs="Times New Roman"/>
        </w:rPr>
      </w:pPr>
      <w:r>
        <w:rPr>
          <w:rFonts w:cs="Times New Roman" w:ascii="Times New Roman" w:hAnsi="Times New Roman"/>
        </w:rPr>
        <w:t>*</w:t>
        <w:tab/>
        <w:t>Arrangements have been made for the National Futures Association to act as the appointed agent for those members who wish to avail themselves of the NFA's offices.  For those members who wish to appoint the NFA as their agent, Item 5 contains the appropriate request form.  Please complete both (a) above and the request form, and return the request form directly to the NFA for the attention of the Vice President - Registration, with the requisite fee.  Those members who wish to appoint an agent in the United States other than the NFA or who currently have valid and binding agency agreements with the NFA, please complete (a) above with the name and address of your agent, and confirm that a copy of the agreement appointing such agent has been filed with the NFA.</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w:t>
        <w:tab/>
        <w:t>For those members who do have such subsidiaries or affiliates please delete clause (e) and disclose the identity of each subsidiary or affiliate domiciled in the United States with a related business (e.g. Banks and broker/dealer affiliates) and provide a brief description of such subsidiary's or affiliate's principal business in the United States, and attach hereto.  Refer to Item 10 for details of action required by firms which have United States subsidiaries/affiliates who are engaged in a related business.</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w:t>
        <w:tab/>
        <w:t>If you intend to use the LME Bond Guarantee Scheme please replace this paragraph  with:</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ab/>
        <w:t>“consent, for the protection of customers resident in the United States in respect of business done on the London Metal Exchange only, to maintain a binding letter of credit(s) or bank guarantee(s) to cover forward profits and clearing exposures on the London Metal Exchange, drawn in favour of Bankers Trustee Company Limited, pursuant to the terms set forth in the letter dated October 10 1989 from the Division of Trading and Markets, Commodity Futures Trading Commission.”</w:t>
      </w:r>
      <w:r>
        <w:br w:type="page"/>
      </w:r>
    </w:p>
    <w:p>
      <w:pPr>
        <w:pStyle w:val="Normal"/>
        <w:ind w:end="-25"/>
        <w:jc w:val="end"/>
        <w:rPr>
          <w:rFonts w:ascii="Times New Roman" w:hAnsi="Times New Roman" w:cs="Times New Roman"/>
          <w:sz w:val="20"/>
        </w:rPr>
      </w:pPr>
      <w:r>
        <w:rPr>
          <w:rFonts w:cs="Times New Roman" w:ascii="Times New Roman" w:hAnsi="Times New Roman"/>
          <w:sz w:val="20"/>
        </w:rPr>
        <w:t>(3)</w:t>
      </w:r>
    </w:p>
    <w:p>
      <w:pPr>
        <w:pStyle w:val="Normal"/>
        <w:ind w:end="-25"/>
        <w:jc w:val="center"/>
        <w:rPr>
          <w:rFonts w:ascii="Times New Roman" w:hAnsi="Times New Roman" w:cs="Times New Roman"/>
          <w:b/>
        </w:rPr>
      </w:pPr>
      <w:r>
        <w:rPr>
          <w:rFonts w:cs="Times New Roman" w:ascii="Times New Roman" w:hAnsi="Times New Roman"/>
          <w:b/>
        </w:rPr>
        <w:t>FORM OF CONSENT</w:t>
      </w:r>
    </w:p>
    <w:p>
      <w:pPr>
        <w:pStyle w:val="Normal"/>
        <w:ind w:end="-25"/>
        <w:rPr>
          <w:rFonts w:ascii="Times New Roman" w:hAnsi="Times New Roman" w:cs="Times New Roman"/>
          <w:b/>
        </w:rPr>
      </w:pPr>
      <w:r>
        <w:rPr>
          <w:rFonts w:cs="Times New Roman" w:ascii="Times New Roman" w:hAnsi="Times New Roman"/>
          <w:b/>
        </w:rPr>
      </w:r>
    </w:p>
    <w:p>
      <w:pPr>
        <w:pStyle w:val="Normal"/>
        <w:ind w:end="-25"/>
        <w:rPr>
          <w:rFonts w:ascii="Times New Roman" w:hAnsi="Times New Roman" w:cs="Times New Roman"/>
        </w:rPr>
      </w:pPr>
      <w:r>
        <w:rPr>
          <w:rFonts w:cs="Times New Roman" w:ascii="Times New Roman" w:hAnsi="Times New Roman"/>
        </w:rPr>
        <w:t>In the event that a dispute arises between you</w:t>
      </w:r>
    </w:p>
    <w:p>
      <w:pPr>
        <w:pStyle w:val="Normal"/>
        <w:ind w:end="-25"/>
        <w:rPr>
          <w:rFonts w:ascii="Times New Roman" w:hAnsi="Times New Roman" w:cs="Times New Roman"/>
        </w:rPr>
      </w:pPr>
      <w:r>
        <w:rPr>
          <w:rFonts w:cs="Times New Roman" w:ascii="Times New Roman" w:hAnsi="Times New Roman"/>
        </w:rPr>
        <w:t>and</w:t>
        <w:tab/>
        <w:tab/>
        <w:tab/>
        <w:tab/>
        <w:tab/>
        <w:tab/>
        <w:tab/>
        <w:tab/>
        <w:t>with respect to transactions subject to Part 30 of the Commodity Futures Trading Commission's Rules, various forums may be available for resolving the dispute, including courts of competent jurisdiction in the United States and United Kingdom and arbitration programs made available both in the United States and United Kingdom.</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In the event you wish to initiate an arbitration proceeding against the firm to resolve such dispute under the applicable rules of the National Futures Association ("NFA") in the United States, you hereby consent that you will first commence conciliation in accordance with such procedures as may be made available by the relevant United Kingdom regulator, details of which are provided to you herewith.  The outcome of such United Kingdom conciliation is non binding.  You may subsequently accept this resolution, or you may proceed either to binding arbitration under the rules of the relevant United Kingdom regulator or to binding arbitration in the United States under the rules of NFA.  If you accept the conciliated resolution or elect to proceed to arbitration, or to any other form of binding resolution, under the rules of the relevant United Kingdom regulator or foreign exchange, you will be precluded from subsequently initiating an arbitration proceeding at NFA.</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You may initiate an NFA arbitration proceeding upon receipt of documentation from the relevant United Kingdom regulator.</w:t>
      </w:r>
    </w:p>
    <w:p>
      <w:pPr>
        <w:pStyle w:val="Normal"/>
        <w:ind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(i)</w:t>
        <w:tab/>
        <w:t>evidencing completion of the conciliation process and reminding you of your right of access to NFA's arbitration proceeding, or</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(ii)</w:t>
        <w:tab/>
        <w:t>representing that more than nine months have elapsed since you commenced the conciliation process and that such process is not yet complete and reminding you of your right of access to NFA's arbitration proceeding.</w:t>
      </w:r>
    </w:p>
    <w:p>
      <w:pPr>
        <w:pStyle w:val="Normal"/>
        <w:ind w:hanging="720" w:start="720"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The documentation referred to above must be presented to NFA at the time you initiate the NFA arbitration proceeding.  NFA will exercise its discretion not to accept your demand for arbitration in the absence of such documentation.</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By signing this consent, you are not waiving any other rights to any other legal remedies available under law.</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tbl>
      <w:tblPr>
        <w:tblW w:w="9735" w:type="dxa"/>
        <w:jc w:val="start"/>
        <w:tblInd w:w="0" w:type="dxa"/>
        <w:tblLayout w:type="fixed"/>
        <w:tblCellMar>
          <w:top w:w="0" w:type="dxa"/>
          <w:start w:w="108" w:type="dxa"/>
          <w:bottom w:w="0" w:type="dxa"/>
          <w:end w:w="108" w:type="dxa"/>
        </w:tblCellMar>
      </w:tblPr>
      <w:tblGrid>
        <w:gridCol w:w="4461"/>
        <w:gridCol w:w="1593"/>
        <w:gridCol w:w="3681"/>
      </w:tblGrid>
      <w:tr>
        <w:trPr/>
        <w:tc>
          <w:tcPr>
            <w:tcW w:w="4461" w:type="dxa"/>
            <w:tcBorders>
              <w:bottom w:val="single" w:sz="12" w:space="0" w:color="000000"/>
            </w:tcBorders>
          </w:tcPr>
          <w:p>
            <w:pPr>
              <w:pStyle w:val="Normal"/>
              <w:snapToGrid w:val="false"/>
              <w:ind w:end="-25"/>
              <w:rPr>
                <w:rFonts w:ascii="Times New Roman" w:hAnsi="Times New Roman" w:cs="Times New Roman"/>
              </w:rPr>
            </w:pPr>
            <w:r>
              <w:rPr>
                <w:rFonts w:cs="Times New Roman" w:ascii="Times New Roman" w:hAnsi="Times New Roman"/>
              </w:rPr>
            </w:r>
          </w:p>
        </w:tc>
        <w:tc>
          <w:tcPr>
            <w:tcW w:w="1593" w:type="dxa"/>
            <w:tcBorders/>
          </w:tcPr>
          <w:p>
            <w:pPr>
              <w:pStyle w:val="Normal"/>
              <w:snapToGrid w:val="false"/>
              <w:ind w:end="-25"/>
              <w:rPr>
                <w:rFonts w:ascii="Times New Roman" w:hAnsi="Times New Roman" w:cs="Times New Roman"/>
              </w:rPr>
            </w:pPr>
            <w:r>
              <w:rPr>
                <w:rFonts w:cs="Times New Roman" w:ascii="Times New Roman" w:hAnsi="Times New Roman"/>
              </w:rPr>
            </w:r>
          </w:p>
        </w:tc>
        <w:tc>
          <w:tcPr>
            <w:tcW w:w="3681" w:type="dxa"/>
            <w:tcBorders>
              <w:bottom w:val="single" w:sz="12" w:space="0" w:color="000000"/>
            </w:tcBorders>
          </w:tcPr>
          <w:p>
            <w:pPr>
              <w:pStyle w:val="Normal"/>
              <w:snapToGrid w:val="false"/>
              <w:ind w:end="-25"/>
              <w:rPr>
                <w:rFonts w:ascii="Times New Roman" w:hAnsi="Times New Roman" w:cs="Times New Roman"/>
              </w:rPr>
            </w:pPr>
            <w:r>
              <w:rPr>
                <w:rFonts w:cs="Times New Roman" w:ascii="Times New Roman" w:hAnsi="Times New Roman"/>
              </w:rPr>
            </w:r>
          </w:p>
        </w:tc>
      </w:tr>
      <w:tr>
        <w:trPr/>
        <w:tc>
          <w:tcPr>
            <w:tcW w:w="4461" w:type="dxa"/>
            <w:tcBorders/>
          </w:tcPr>
          <w:p>
            <w:pPr>
              <w:pStyle w:val="Normal"/>
              <w:ind w:end="-25"/>
              <w:rPr>
                <w:rFonts w:ascii="Times New Roman" w:hAnsi="Times New Roman" w:cs="Times New Roman"/>
              </w:rPr>
            </w:pPr>
            <w:r>
              <w:rPr>
                <w:rFonts w:cs="Times New Roman" w:ascii="Times New Roman" w:hAnsi="Times New Roman"/>
              </w:rPr>
              <w:t>Customer</w:t>
            </w:r>
          </w:p>
        </w:tc>
        <w:tc>
          <w:tcPr>
            <w:tcW w:w="1593" w:type="dxa"/>
            <w:tcBorders/>
          </w:tcPr>
          <w:p>
            <w:pPr>
              <w:pStyle w:val="Normal"/>
              <w:snapToGrid w:val="false"/>
              <w:ind w:end="-25"/>
              <w:rPr>
                <w:rFonts w:ascii="Times New Roman" w:hAnsi="Times New Roman" w:cs="Times New Roman"/>
              </w:rPr>
            </w:pPr>
            <w:r>
              <w:rPr>
                <w:rFonts w:cs="Times New Roman" w:ascii="Times New Roman" w:hAnsi="Times New Roman"/>
              </w:rPr>
            </w:r>
          </w:p>
        </w:tc>
        <w:tc>
          <w:tcPr>
            <w:tcW w:w="3681" w:type="dxa"/>
            <w:tcBorders/>
          </w:tcPr>
          <w:p>
            <w:pPr>
              <w:pStyle w:val="Normal"/>
              <w:ind w:end="-25"/>
              <w:rPr>
                <w:rFonts w:ascii="Times New Roman" w:hAnsi="Times New Roman" w:cs="Times New Roman"/>
              </w:rPr>
            </w:pPr>
            <w:r>
              <w:rPr>
                <w:rFonts w:cs="Times New Roman" w:ascii="Times New Roman" w:hAnsi="Times New Roman"/>
              </w:rPr>
              <w:t>Date</w:t>
            </w:r>
          </w:p>
        </w:tc>
      </w:tr>
    </w:tbl>
    <w:p>
      <w:pPr>
        <w:pStyle w:val="Normal"/>
        <w:ind w:end="-25"/>
        <w:rPr>
          <w:rFonts w:ascii="Times New Roman" w:hAnsi="Times New Roman" w:cs="Times New Roman"/>
        </w:rPr>
      </w:pPr>
      <w:r>
        <w:rPr>
          <w:rFonts w:cs="Times New Roman" w:ascii="Times New Roman" w:hAnsi="Times New Roman"/>
        </w:rPr>
      </w:r>
      <w:r>
        <w:br w:type="page"/>
      </w:r>
    </w:p>
    <w:p>
      <w:pPr>
        <w:pStyle w:val="Normal"/>
        <w:ind w:end="-25"/>
        <w:jc w:val="center"/>
        <w:rPr>
          <w:rFonts w:ascii="Times New Roman" w:hAnsi="Times New Roman" w:cs="Times New Roman"/>
          <w:b/>
        </w:rPr>
      </w:pPr>
      <w:r>
        <w:rPr>
          <w:rFonts w:cs="Times New Roman" w:ascii="Times New Roman" w:hAnsi="Times New Roman"/>
          <w:b/>
        </w:rPr>
        <w:t>CONSENT FORM - NOTE RELATING TO SFA CONCILIATION</w:t>
      </w:r>
    </w:p>
    <w:p>
      <w:pPr>
        <w:pStyle w:val="Normal"/>
        <w:ind w:end="-25"/>
        <w:jc w:val="center"/>
        <w:rPr>
          <w:rFonts w:ascii="Times New Roman" w:hAnsi="Times New Roman" w:cs="Times New Roman"/>
          <w:b/>
        </w:rPr>
      </w:pPr>
      <w:r>
        <w:rPr>
          <w:rFonts w:cs="Times New Roman" w:ascii="Times New Roman" w:hAnsi="Times New Roman"/>
          <w:b/>
        </w:rPr>
        <w:t>AND ARBITRATION PROCEDURES</w:t>
      </w:r>
    </w:p>
    <w:p>
      <w:pPr>
        <w:pStyle w:val="Normal"/>
        <w:ind w:end="-25"/>
        <w:rPr>
          <w:rFonts w:ascii="Times New Roman" w:hAnsi="Times New Roman" w:cs="Times New Roman"/>
          <w:b/>
        </w:rPr>
      </w:pPr>
      <w:r>
        <w:rPr>
          <w:rFonts w:cs="Times New Roman" w:ascii="Times New Roman" w:hAnsi="Times New Roman"/>
          <w:b/>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In any case where an investigation of a complaint has been completed, SFA may decide to "attempt to conciliate ... with a view to the complaint being withdrawn or settled".</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Conciliation under SFA rules is a process whereby SFA will attempt to find common ground between the parties and to identify any basis on which agreement may be reached by the parties themselves.</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Conciliation will involve SFA taking an active role, including the formation of its own views and the use of its influence in attempts to come to a solution.</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Since no binding decision or settlement may be imposed upon the parties by the conciliation process, a successful outcome depends upon the customer and the member firm reaching an agreement.  However, in the event of failure to achieve a settlement by this process, the customer has the right under SFA rules to apply for Arbitration.</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There are two separate types of arbitration administered by SFA.  These are:</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1.</w:t>
        <w:tab/>
      </w:r>
      <w:r>
        <w:rPr>
          <w:rFonts w:cs="Times New Roman" w:ascii="Times New Roman" w:hAnsi="Times New Roman"/>
          <w:b/>
        </w:rPr>
        <w:t>Consumer Arbitration</w:t>
      </w:r>
    </w:p>
    <w:p>
      <w:pPr>
        <w:pStyle w:val="Normal"/>
        <w:ind w:end="-25"/>
        <w:rPr>
          <w:rFonts w:ascii="Times New Roman" w:hAnsi="Times New Roman" w:cs="Times New Roman"/>
        </w:rPr>
      </w:pPr>
      <w:r>
        <w:rPr>
          <w:rFonts w:cs="Times New Roman" w:ascii="Times New Roman" w:hAnsi="Times New Roman"/>
        </w:rPr>
      </w:r>
    </w:p>
    <w:p>
      <w:pPr>
        <w:pStyle w:val="Normal"/>
        <w:ind w:start="720" w:end="-25"/>
        <w:rPr>
          <w:rFonts w:ascii="Times New Roman" w:hAnsi="Times New Roman" w:cs="Times New Roman"/>
        </w:rPr>
      </w:pPr>
      <w:r>
        <w:rPr>
          <w:rFonts w:cs="Times New Roman" w:ascii="Times New Roman" w:hAnsi="Times New Roman"/>
        </w:rPr>
        <w:t>This is open to all private customer complainants and has a ceiling of £50,000 above which no claim can be made.  Consumer Arbitration does not require the prior consent of the member firm and if a reference is made under the Consumer Arbitration Scheme by a complainant, the firm must submit itself to the Scheme's jurisdiction.  The sole cost is a £50 registration fee.  The right to have legal representation is not automatic but rather is at the discretion of the arbitrator.</w:t>
      </w:r>
    </w:p>
    <w:p>
      <w:pPr>
        <w:pStyle w:val="Normal"/>
        <w:ind w:start="720"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2.</w:t>
        <w:tab/>
      </w:r>
      <w:r>
        <w:rPr>
          <w:rFonts w:cs="Times New Roman" w:ascii="Times New Roman" w:hAnsi="Times New Roman"/>
          <w:b/>
        </w:rPr>
        <w:t>Full Arbitration</w:t>
      </w:r>
    </w:p>
    <w:p>
      <w:pPr>
        <w:pStyle w:val="Normal"/>
        <w:ind w:end="-25"/>
        <w:rPr>
          <w:rFonts w:ascii="Times New Roman" w:hAnsi="Times New Roman" w:cs="Times New Roman"/>
        </w:rPr>
      </w:pPr>
      <w:r>
        <w:rPr>
          <w:rFonts w:cs="Times New Roman" w:ascii="Times New Roman" w:hAnsi="Times New Roman"/>
        </w:rPr>
      </w:r>
    </w:p>
    <w:p>
      <w:pPr>
        <w:pStyle w:val="Normal"/>
        <w:ind w:start="720" w:end="-25"/>
        <w:rPr>
          <w:rFonts w:ascii="Times New Roman" w:hAnsi="Times New Roman" w:cs="Times New Roman"/>
        </w:rPr>
      </w:pPr>
      <w:r>
        <w:rPr>
          <w:rFonts w:cs="Times New Roman" w:ascii="Times New Roman" w:hAnsi="Times New Roman"/>
        </w:rPr>
        <w:t>This is open to all complainants.  There is no ceiling on the amount to be claimed.  However, both parties must agree in advance to submit themselves to the Scheme's jurisdiction.  Legal representation is allowed and the arbitrator may award costs.</w:t>
      </w:r>
    </w:p>
    <w:p>
      <w:pPr>
        <w:pStyle w:val="Normal"/>
        <w:ind w:start="720"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During the conciliation process, what is said by the parties to the conciliator, and the documents produced by them, are regarded as being communicated on a "without prejudice" basis.</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Accordingly, the conciliator's files will not be made available to an Arbitrator.  Further, any report made by SFA staff will be regarded as confidential to SFA, and will not normally be available either to the parties or to an Arbitrator.  However, nothing contained in the above restricts the right of either party to a dispute to use any written communication from SFA as part of its submission to the Arbitrator Tribunal.</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The entire conciliation procedure is separate from, and without prejudice to the powers of SFA following an investigation to proceed against the member firm under the disciplinary provisions of chapter 7 of SFA rules.</w:t>
      </w:r>
      <w:r>
        <w:br w:type="page"/>
      </w:r>
    </w:p>
    <w:p>
      <w:pPr>
        <w:pStyle w:val="Normal"/>
        <w:ind w:end="-25"/>
        <w:jc w:val="end"/>
        <w:rPr>
          <w:rFonts w:ascii="Times New Roman" w:hAnsi="Times New Roman" w:cs="Times New Roman"/>
        </w:rPr>
      </w:pPr>
      <w:r>
        <w:rPr>
          <w:rFonts w:cs="Times New Roman" w:ascii="Times New Roman" w:hAnsi="Times New Roman"/>
          <w:sz w:val="20"/>
        </w:rPr>
        <w:t>(4)</w:t>
      </w:r>
    </w:p>
    <w:p>
      <w:pPr>
        <w:pStyle w:val="Normal"/>
        <w:ind w:end="-25"/>
        <w:jc w:val="center"/>
        <w:rPr>
          <w:rFonts w:ascii="Times New Roman" w:hAnsi="Times New Roman" w:cs="Times New Roman"/>
          <w:b/>
        </w:rPr>
      </w:pPr>
      <w:r>
        <w:rPr>
          <w:rFonts w:cs="Times New Roman" w:ascii="Times New Roman" w:hAnsi="Times New Roman"/>
          <w:b/>
          <w:u w:val="single"/>
        </w:rPr>
        <w:t>NFA ARBITRATION POLICY</w:t>
      </w:r>
    </w:p>
    <w:p>
      <w:pPr>
        <w:pStyle w:val="Normal"/>
        <w:ind w:end="-25"/>
        <w:jc w:val="center"/>
        <w:rPr>
          <w:rFonts w:ascii="Times New Roman" w:hAnsi="Times New Roman" w:cs="Times New Roman"/>
          <w:b/>
        </w:rPr>
      </w:pPr>
      <w:r>
        <w:rPr>
          <w:rFonts w:cs="Times New Roman" w:ascii="Times New Roman" w:hAnsi="Times New Roman"/>
          <w:b/>
        </w:rPr>
      </w:r>
    </w:p>
    <w:p>
      <w:pPr>
        <w:pStyle w:val="Normal"/>
        <w:ind w:end="-25"/>
        <w:jc w:val="center"/>
        <w:rPr>
          <w:rFonts w:ascii="Times New Roman" w:hAnsi="Times New Roman" w:cs="Times New Roman"/>
          <w:b/>
        </w:rPr>
      </w:pPr>
      <w:r>
        <w:rPr>
          <w:rFonts w:cs="Times New Roman" w:ascii="Times New Roman" w:hAnsi="Times New Roman"/>
          <w:b/>
        </w:rPr>
        <w:t>EXERCISE OF DISCRETION TO REJECT DEMANDS FILED UNDER THE RULES</w:t>
      </w:r>
    </w:p>
    <w:p>
      <w:pPr>
        <w:pStyle w:val="Normal"/>
        <w:ind w:end="-25"/>
        <w:jc w:val="center"/>
        <w:rPr>
          <w:rFonts w:ascii="Times New Roman" w:hAnsi="Times New Roman" w:cs="Times New Roman"/>
          <w:b/>
        </w:rPr>
      </w:pPr>
      <w:r>
        <w:rPr>
          <w:rFonts w:cs="Times New Roman" w:ascii="Times New Roman" w:hAnsi="Times New Roman"/>
          <w:b/>
        </w:rPr>
        <w:t>GOVERNING ARBITRATION OF DISPUTES BETWEEN U.S. CUSTOMERS</w:t>
      </w:r>
    </w:p>
    <w:p>
      <w:pPr>
        <w:pStyle w:val="Normal"/>
        <w:ind w:end="-25"/>
        <w:jc w:val="center"/>
        <w:rPr>
          <w:rFonts w:ascii="Times New Roman" w:hAnsi="Times New Roman" w:cs="Times New Roman"/>
          <w:b/>
        </w:rPr>
      </w:pPr>
      <w:r>
        <w:rPr>
          <w:rFonts w:cs="Times New Roman" w:ascii="Times New Roman" w:hAnsi="Times New Roman"/>
          <w:b/>
        </w:rPr>
        <w:t>AND NON-MEMBER FOREIGN FIRMS</w:t>
      </w:r>
    </w:p>
    <w:p>
      <w:pPr>
        <w:pStyle w:val="Normal"/>
        <w:ind w:end="-25"/>
        <w:rPr>
          <w:rFonts w:ascii="Times New Roman" w:hAnsi="Times New Roman" w:cs="Times New Roman"/>
          <w:b/>
        </w:rPr>
      </w:pPr>
      <w:r>
        <w:rPr>
          <w:rFonts w:cs="Times New Roman" w:ascii="Times New Roman" w:hAnsi="Times New Roman"/>
          <w:b/>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b/>
          <w:u w:val="single"/>
        </w:rPr>
        <w:t>Policy</w:t>
      </w:r>
    </w:p>
    <w:p>
      <w:pPr>
        <w:pStyle w:val="Normal"/>
        <w:ind w:end="-25"/>
        <w:rPr>
          <w:rFonts w:ascii="Times New Roman" w:hAnsi="Times New Roman" w:cs="Times New Roman"/>
        </w:rPr>
      </w:pPr>
      <w:r>
        <w:rPr>
          <w:rFonts w:cs="Times New Roman" w:ascii="Times New Roman" w:hAnsi="Times New Roman"/>
        </w:rPr>
      </w:r>
    </w:p>
    <w:p>
      <w:pPr>
        <w:pStyle w:val="Normal"/>
        <w:ind w:end="-25"/>
        <w:rPr>
          <w:rFonts w:ascii="Times New Roman" w:hAnsi="Times New Roman" w:cs="Times New Roman"/>
        </w:rPr>
      </w:pPr>
      <w:r>
        <w:rPr>
          <w:rFonts w:cs="Times New Roman" w:ascii="Times New Roman" w:hAnsi="Times New Roman"/>
        </w:rPr>
        <w:t>The purpose of the Rules Governing Arbitration of Disputes Between U.S.  Customers and Non-Member Foreign Firms (the "Rules") is to provide U.S.  customers with a U.S. arbitration forum for disputes against non-member foreign firms which are exempt from registration under Part 30 of the regulations of the Commodity Futures Trading Commission (17 C.F.R. 30.1 et seq.).  However, the rules are not intended to limit the available forums, nor are they intended to provide a substitute for available forums where such other forums provide a substantially greater degree of expertise in a particular type of controversy.  Therefore, it will be the policy of the President of NFA or his designee, to exercise his discretion  under Section 2(a) of the Rules to reject any Demand filed under the Rules in the following circumstances.  The policy will become effective upon the CFTC's approval of NFA's rules governing arbitration of disputes between U.S. customers and non-Member foreign firms.</w:t>
      </w:r>
    </w:p>
    <w:p>
      <w:pPr>
        <w:pStyle w:val="Normal"/>
        <w:ind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1.</w:t>
        <w:tab/>
        <w:t>If the demand is filed by a U.S. customer against a non-member foreign firm which is exempt from registration pursuant to an exemption granted under CFTC Regulation 30.10, and if the CFTC Order granting the exemption authorises the foreign firm to require the customer's consent to the use of a foreign regulator's non-binding mediation or conciliation service, the President of NFA will exercise his discretion not to accept a Demand until such time as the President of NFA receives evidence that the customer has attempted to utilise the foreign regulator's mediation or conciliation service and that either such proceedings are not available, such proceedings have terminated unsuccessfully and without resort to the foreign regulator's arbitration program, or such process is not yet completed but the foreign regulator has advised the customer that the customer may pursue NFA arbitration.</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ab/>
        <w:t>NFA will extend the two-year filing period in Section 4 of the Rules by the amount of time that the dispute is in mediation or conciliation proceedings (i.e. from the date the customer requests the use of such services until the customer receives notice that such services are not available or that the proceedings have terminated unsuccessfully).</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t>2.</w:t>
        <w:tab/>
        <w:t>The President of NFA will exercise his discretion to reject any Demand involving a claim arising primarily out of delivery, clearing, settlement, or floor practices on a foreign exchange.  For example, NFA will reject a claim which contests the execution of an order on the floor of the foreign exchange.</w:t>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ind w:hanging="720" w:start="720" w:end="-25"/>
        <w:rPr>
          <w:rFonts w:ascii="Times New Roman" w:hAnsi="Times New Roman" w:cs="Times New Roman"/>
        </w:rPr>
      </w:pPr>
      <w:r>
        <w:rPr>
          <w:rFonts w:cs="Times New Roman" w:ascii="Times New Roman" w:hAnsi="Times New Roman"/>
        </w:rPr>
      </w:r>
    </w:p>
    <w:p>
      <w:pPr>
        <w:pStyle w:val="Normal"/>
        <w:tabs>
          <w:tab w:val="clear" w:pos="720"/>
          <w:tab w:val="right" w:pos="9450" w:leader="none"/>
        </w:tabs>
        <w:ind w:hanging="720" w:start="720" w:end="-25"/>
        <w:rPr>
          <w:rFonts w:ascii="Times New Roman" w:hAnsi="Times New Roman" w:cs="Times New Roman"/>
        </w:rPr>
      </w:pPr>
      <w:r>
        <w:rPr>
          <w:rFonts w:cs="Times New Roman" w:ascii="Times New Roman" w:hAnsi="Times New Roman"/>
        </w:rPr>
        <w:t>DATE</w:t>
        <w:tab/>
        <w:tab/>
        <w:t>SIGNED</w:t>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31 January 1989</w:t>
        <w:tab/>
        <w:t>Daniel J Roth</w:t>
      </w:r>
      <w:r>
        <w:br w:type="page"/>
      </w:r>
    </w:p>
    <w:p>
      <w:pPr>
        <w:pStyle w:val="Normal"/>
        <w:tabs>
          <w:tab w:val="clear" w:pos="720"/>
          <w:tab w:val="right" w:pos="9450" w:leader="none"/>
        </w:tabs>
        <w:ind w:end="-25"/>
        <w:jc w:val="end"/>
        <w:rPr>
          <w:rFonts w:ascii="Times New Roman" w:hAnsi="Times New Roman" w:cs="Times New Roman"/>
        </w:rPr>
      </w:pPr>
      <w:r>
        <w:rPr>
          <w:rFonts w:cs="Times New Roman" w:ascii="Times New Roman" w:hAnsi="Times New Roman"/>
          <w:sz w:val="20"/>
        </w:rPr>
        <w:t>(5)</w:t>
      </w:r>
    </w:p>
    <w:p>
      <w:pPr>
        <w:pStyle w:val="Normal"/>
        <w:tabs>
          <w:tab w:val="clear" w:pos="720"/>
          <w:tab w:val="right" w:pos="9450" w:leader="none"/>
        </w:tabs>
        <w:ind w:end="-25"/>
        <w:jc w:val="center"/>
        <w:rPr>
          <w:rFonts w:ascii="Times New Roman" w:hAnsi="Times New Roman" w:cs="Times New Roman"/>
          <w:b/>
          <w:u w:val="single"/>
        </w:rPr>
      </w:pPr>
      <w:r>
        <w:rPr>
          <w:rFonts w:cs="Times New Roman" w:ascii="Times New Roman" w:hAnsi="Times New Roman"/>
          <w:b/>
          <w:u w:val="single"/>
        </w:rPr>
        <w:t xml:space="preserve">REQUEST TO APPOINT </w:t>
      </w:r>
    </w:p>
    <w:p>
      <w:pPr>
        <w:pStyle w:val="Normal"/>
        <w:tabs>
          <w:tab w:val="clear" w:pos="720"/>
          <w:tab w:val="right" w:pos="9450" w:leader="none"/>
        </w:tabs>
        <w:ind w:end="-25"/>
        <w:jc w:val="center"/>
        <w:rPr>
          <w:rFonts w:ascii="Times New Roman" w:hAnsi="Times New Roman" w:cs="Times New Roman"/>
          <w:b/>
          <w:u w:val="single"/>
        </w:rPr>
      </w:pPr>
      <w:r>
        <w:rPr>
          <w:rFonts w:cs="Times New Roman" w:ascii="Times New Roman" w:hAnsi="Times New Roman"/>
          <w:b/>
          <w:u w:val="single"/>
        </w:rPr>
        <w:t>THE NATIONAL FUTURES ASSOCIATION</w:t>
      </w:r>
    </w:p>
    <w:p>
      <w:pPr>
        <w:pStyle w:val="Normal"/>
        <w:tabs>
          <w:tab w:val="clear" w:pos="720"/>
          <w:tab w:val="right" w:pos="9450" w:leader="none"/>
        </w:tabs>
        <w:ind w:end="-25"/>
        <w:jc w:val="center"/>
        <w:rPr>
          <w:rFonts w:ascii="Times New Roman" w:hAnsi="Times New Roman" w:cs="Times New Roman"/>
          <w:b/>
          <w:u w:val="single"/>
        </w:rPr>
      </w:pPr>
      <w:r>
        <w:rPr>
          <w:rFonts w:cs="Times New Roman" w:ascii="Times New Roman" w:hAnsi="Times New Roman"/>
          <w:b/>
          <w:u w:val="single"/>
        </w:rPr>
        <w:t>AS AGENT FOR SERVICE OF PROCESS</w:t>
      </w:r>
    </w:p>
    <w:p>
      <w:pPr>
        <w:pStyle w:val="Normal"/>
        <w:tabs>
          <w:tab w:val="clear" w:pos="720"/>
          <w:tab w:val="right" w:pos="9450" w:leader="none"/>
        </w:tabs>
        <w:ind w:end="-25"/>
        <w:rPr>
          <w:rFonts w:ascii="Times New Roman" w:hAnsi="Times New Roman" w:cs="Times New Roman"/>
          <w:b/>
          <w:u w:val="single"/>
        </w:rPr>
      </w:pPr>
      <w:r>
        <w:rPr>
          <w:rFonts w:cs="Times New Roman" w:ascii="Times New Roman" w:hAnsi="Times New Roman"/>
          <w:b/>
          <w:u w:val="single"/>
        </w:rPr>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p>
    <w:tbl>
      <w:tblPr>
        <w:tblW w:w="9749" w:type="dxa"/>
        <w:jc w:val="start"/>
        <w:tblInd w:w="0" w:type="dxa"/>
        <w:tblLayout w:type="fixed"/>
        <w:tblCellMar>
          <w:top w:w="0" w:type="dxa"/>
          <w:start w:w="108" w:type="dxa"/>
          <w:bottom w:w="0" w:type="dxa"/>
          <w:end w:w="108" w:type="dxa"/>
        </w:tblCellMar>
      </w:tblPr>
      <w:tblGrid>
        <w:gridCol w:w="4113"/>
        <w:gridCol w:w="1451"/>
        <w:gridCol w:w="4185"/>
      </w:tblGrid>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Other Names Used by Requester:</w:t>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Name of Requester</w:t>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bottom w:val="single" w:sz="12" w:space="0" w:color="000000"/>
            </w:tcBorders>
          </w:tcPr>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Attn:</w:t>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Address</w:t>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International Telephone Number</w:t>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International Facsimile Number</w:t>
            </w:r>
          </w:p>
        </w:tc>
      </w:tr>
      <w:tr>
        <w:trPr/>
        <w:tc>
          <w:tcPr>
            <w:tcW w:w="4113"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bottom w:val="single" w:sz="12" w:space="0" w:color="000000"/>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Country</w:t>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r>
        <w:trPr/>
        <w:tc>
          <w:tcPr>
            <w:tcW w:w="4113"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1451"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c>
          <w:tcPr>
            <w:tcW w:w="4185" w:type="dxa"/>
            <w:tcBorders/>
          </w:tcPr>
          <w:p>
            <w:pPr>
              <w:pStyle w:val="Normal"/>
              <w:tabs>
                <w:tab w:val="clear" w:pos="720"/>
                <w:tab w:val="right" w:pos="9450" w:leader="none"/>
              </w:tabs>
              <w:snapToGrid w:val="false"/>
              <w:ind w:end="-25"/>
              <w:rPr>
                <w:rFonts w:ascii="Times New Roman" w:hAnsi="Times New Roman" w:cs="Times New Roman"/>
              </w:rPr>
            </w:pPr>
            <w:r>
              <w:rPr>
                <w:rFonts w:cs="Times New Roman" w:ascii="Times New Roman" w:hAnsi="Times New Roman"/>
              </w:rPr>
            </w:r>
          </w:p>
        </w:tc>
      </w:tr>
    </w:tbl>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p>
    <w:p>
      <w:pPr>
        <w:pStyle w:val="Normal"/>
        <w:pBdr>
          <w:bottom w:val="single" w:sz="12" w:space="1" w:color="000000"/>
        </w:pBdr>
        <w:tabs>
          <w:tab w:val="clear" w:pos="720"/>
          <w:tab w:val="right" w:pos="9450" w:leader="none"/>
        </w:tabs>
        <w:ind w:end="-25"/>
        <w:rPr>
          <w:rFonts w:ascii="Times New Roman" w:hAnsi="Times New Roman" w:cs="Times New Roman"/>
        </w:rPr>
      </w:pPr>
      <w:r>
        <w:rPr>
          <w:rFonts w:cs="Times New Roman" w:ascii="Times New Roman" w:hAnsi="Times New Roman"/>
        </w:rPr>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Form of Organisation of Requester (i.e. sole proprietorship, partnership, corporation organised under the laws of a particular country, etc.).</w:t>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t>Name(s) of Futures Commissions Merchant(s) with which Requester conducts business (not applicable for a firm applying for Regulation 30.10 Exemption).</w:t>
      </w:r>
    </w:p>
    <w:p>
      <w:pPr>
        <w:pStyle w:val="Normal"/>
        <w:tabs>
          <w:tab w:val="clear" w:pos="720"/>
          <w:tab w:val="right" w:pos="9450" w:leader="none"/>
        </w:tabs>
        <w:ind w:end="-25"/>
        <w:rPr>
          <w:rFonts w:ascii="Times New Roman" w:hAnsi="Times New Roman" w:cs="Times New Roman"/>
        </w:rPr>
      </w:pPr>
      <w:r>
        <w:rPr>
          <w:rFonts w:cs="Times New Roman" w:ascii="Times New Roman" w:hAnsi="Times New Roman"/>
        </w:rPr>
      </w:r>
      <w:r>
        <w:br w:type="page"/>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tab/>
        <w:t>WHEREAS, the Commodity Futures Trading Commission of the United States of America ("CFTC") has provided for the registration and regulation of persons engaged in the offer or sale in the United States, its territories or possessions, of futures contracts and options transactions made or to be made on or subject to the rules of a board of trade, exchange, or market located outside the United States, its territories or possessions;</w:t>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tab/>
        <w:t>WHEREAS, Requester desires to engage in activities which would require it to register with the CFTC as a futures commission merchant, introducing broker, commodity pool operator and/or commodity trading advisor;</w:t>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tab/>
        <w:t>WHEREAS, Requester qualifies for and desires to utilise the alternative to registration pursuant to CFTC Regulation §30.5 ("the alternative procedure") by appointing a United States agent for service of process and other communications; or Requester has been granted an exemption from registration pursuant to CFTC Regulation §30.10 on the condition that Requester appoint a United States agent for service of process and other communications;</w:t>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tab/>
        <w:t>WHEREAS, National Futures Association ("NFA") is a Delaware corporation authorised by the CFTC to act as agent for service of process and other communications for purposes of the alternative procedure; and</w:t>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tab/>
        <w:t>WHEREAS, Requester desires to appoint NFA as its agent for service of process and other communications;</w:t>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tab/>
        <w:t>NOW THEREFORE, Requester agrees as follows:</w:t>
      </w:r>
    </w:p>
    <w:p>
      <w:pPr>
        <w:pStyle w:val="Normal"/>
        <w:tabs>
          <w:tab w:val="left" w:pos="720" w:leader="none"/>
          <w:tab w:val="right" w:pos="945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1.</w:t>
        <w:tab/>
      </w:r>
      <w:r>
        <w:rPr>
          <w:rFonts w:cs="Times New Roman" w:ascii="Times New Roman" w:hAnsi="Times New Roman"/>
          <w:u w:val="single"/>
        </w:rPr>
        <w:t>Fees</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Requester shall pay NFA the amount of $100.00 (One Hundred U.S. Dollars) in the form of a check written on a U.S. bank or an international money order at the time of this request and annually thereafter.  Requester shall also reimburse NFA for the actual cost of transmitting to Requester communications received by NFA under this Agreement; international telephone charges incurred pursuant to this Agreement; and any cost incurred by NFA for the use of any translator or interpreter in connection with the services provided under this Agreement.  Requester shall pay reimbursable costs and charges to NFA within 30 days after they are invoiced to Requester by NFA.</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2.</w:t>
        <w:tab/>
      </w:r>
      <w:r>
        <w:rPr>
          <w:rFonts w:cs="Times New Roman" w:ascii="Times New Roman" w:hAnsi="Times New Roman"/>
          <w:u w:val="single"/>
        </w:rPr>
        <w:t>Services</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 xml:space="preserve">Subject to NFA's approval and acceptance of this request, Requester does appoint NFA as its agent for service of process and other Communications as contemplated by CFTC Regulations §30.5 (a) and (b).  NFA shall accept service of process and other communications on behalf of Requester and shall transmit such communications to Requester.  Such communications shall be transmitted to the address set forth above, or to such other address as Requester directs in writing, by guaranteed four-day delivery if Requester is located in a major metropolitan area serviced by generally recognised international air carriers or by fastest available means of delivery if Requester is not located in such a major metropolitan area.  Provided, however, that nothing in this Agreement shall require NFA to transmit communications by electronic means or by telephone except as provided below.  </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If communications served on NFA on behalf of Requester require a response in five days or less, NFA shall make a reasonable attempt to telephone Requester on the nature of the communication.  At Requester's expense, NFA shall follow any reasonable instructions for Requester concerning the delivery of the communication.  Provided, however, that NFA shall not be required to transmit any written communication by electronic or telephonic means without assurance, acceptable to NFA, that Requester will pay any costs connected with such transmission.</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Nothing in this Agreement shall authorise or require NFA to do any of the following: determine validity of service or refuse to accept service; enter an appearance on behalf of Requester; or settle, compromise, or defend any claim or action on behalf of Requester.</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3.</w:t>
        <w:tab/>
      </w:r>
      <w:r>
        <w:rPr>
          <w:rFonts w:cs="Times New Roman" w:ascii="Times New Roman" w:hAnsi="Times New Roman"/>
          <w:u w:val="single"/>
        </w:rPr>
        <w:t>Termination of Agreement</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This Agreement can be terminated by Requester upon five days' written notice to NFA in accordance with Paragraph 11 of this Agreement.  This Agreement can be terminated by NFA upon thirty days' written notice to Requester.  NFA shall refund any unused portion of the fee, prorated to the end of the calendar month during which the Agreement terminates.  Provided, however, that NFA shall have the right of offset for any amounts owed to NFA under this Agreement.</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Notwithstanding the termination of this Agreement, NFA's appointment as agent shall continue in effect for, and this Agreement shall cover, service of process or other communications with respect to any foreign futures or foreign options transactions entered into on or before the date this Agreement terminated.</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4.</w:t>
        <w:tab/>
      </w:r>
      <w:r>
        <w:rPr>
          <w:rFonts w:cs="Times New Roman" w:ascii="Times New Roman" w:hAnsi="Times New Roman"/>
          <w:u w:val="single"/>
        </w:rPr>
        <w:t>Liability</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NFA shall not be liable for incidental, consequential, or other special damages arising out of any actual or alleged breach of contract, negligence, or other action or inaction by NFA, its directors, officers, employees or agents in regard to the performance or non-performance of this Agreement.</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NFA shall not be liable for any losses or damages, including actual damages, which are or could be mitigated by Requester.</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If Requester defaults in any of the terms of this Agreement, Requester shall pay all costs and expenses, including reasonable attorney's fees, incurred by NFA in enforcing this Agreement.</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5.</w:t>
        <w:tab/>
      </w:r>
      <w:r>
        <w:rPr>
          <w:rFonts w:cs="Times New Roman" w:ascii="Times New Roman" w:hAnsi="Times New Roman"/>
          <w:u w:val="single"/>
        </w:rPr>
        <w:t>Indemnification</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Except as provided in Paragraph 4 of this Agreement, Requester shall indemnify and hold NFA harmless from any and all claims, liability, loss, damage, or expenses, including reasonable attorney's fees, arising from NFA's performance of the services specified under this Agreement.</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6.</w:t>
        <w:tab/>
      </w:r>
      <w:r>
        <w:rPr>
          <w:rFonts w:cs="Times New Roman" w:ascii="Times New Roman" w:hAnsi="Times New Roman"/>
          <w:u w:val="single"/>
        </w:rPr>
        <w:t>No Assignment</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This Agreement shall not be assigned by either party without the written consent of the other.</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7.</w:t>
        <w:tab/>
      </w:r>
      <w:r>
        <w:rPr>
          <w:rFonts w:cs="Times New Roman" w:ascii="Times New Roman" w:hAnsi="Times New Roman"/>
          <w:u w:val="single"/>
        </w:rPr>
        <w:t>Applicable Law</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This Agreement shall be governed by and construed in accordance with the laws of the State of Illinois, United States of America.  Provided, however, that nothing in this Agreement shall be construed in any manner that is inconsistent with the Commodity Exchange Act and CFTC Regulations.</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8.</w:t>
        <w:tab/>
      </w:r>
      <w:r>
        <w:rPr>
          <w:rFonts w:cs="Times New Roman" w:ascii="Times New Roman" w:hAnsi="Times New Roman"/>
          <w:u w:val="single"/>
        </w:rPr>
        <w:t>Choice of Forum and Consent to Jurisdiction</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Each party hereto consents to the personal jurisdiction of the courts of Illinois over any action of law suit, in equity or juridical proceeding under which may otherwise arise out of this Agreement and agrees not to contest venue for any such proceedings in Cook County, State of Illinois.  Requester agrees that any action at law, suit in equity, or judicial  proceeding under or which may otherwise arise out of this agreement shall be instituted by Requester only in the courts of the State of Illinois or the United States District Court for the Northern District of Illinois.</w:t>
      </w:r>
      <w:r>
        <w:br w:type="page"/>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9.</w:t>
        <w:tab/>
      </w:r>
      <w:r>
        <w:rPr>
          <w:rFonts w:cs="Times New Roman" w:ascii="Times New Roman" w:hAnsi="Times New Roman"/>
          <w:u w:val="single"/>
        </w:rPr>
        <w:t>Severability</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If any provision of this Agreement is held by any court of competent jurisdiction to be invalid, illegal or unenforceable for any reason, the remaining provisions of this Agreement shall not be affected and this Agreement shall be construed and enforced as if this Agreement did not contain the provision which is held to be invalid, illegal, or unenforceable.</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10.</w:t>
        <w:tab/>
      </w:r>
      <w:r>
        <w:rPr>
          <w:rFonts w:cs="Times New Roman" w:ascii="Times New Roman" w:hAnsi="Times New Roman"/>
          <w:u w:val="single"/>
        </w:rPr>
        <w:t>Heirs, Successors and Assigns</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This Agreement shall be binding on and shall inure to the benefit of the heirs, executors, administrators, successors and assigns of the parties hereto, but nothing contained in this paragraph shall be construed as a consent by either party to any assignment of this Agreement except as provided in Paragraph 6 of this Agreement.</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11.</w:t>
        <w:tab/>
      </w:r>
      <w:r>
        <w:rPr>
          <w:rFonts w:cs="Times New Roman" w:ascii="Times New Roman" w:hAnsi="Times New Roman"/>
          <w:u w:val="single"/>
        </w:rPr>
        <w:t>Notices</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tab/>
        <w:tab/>
        <w:t>Except as provided in Paragraph 2 of this Agreement, all notices or communications required by or given under this Agreement shall be deemed given as of the date of receipt or, if earlier, as of the date five days after such notices or communications are deposited in the United States mail, airmail postage prepaid, or delivered to any generally recognised international air carrier.</w:t>
      </w:r>
    </w:p>
    <w:p>
      <w:pPr>
        <w:pStyle w:val="Normal"/>
        <w:tabs>
          <w:tab w:val="left" w:pos="720" w:leader="none"/>
          <w:tab w:val="left" w:pos="1440" w:leader="none"/>
          <w:tab w:val="right" w:pos="945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880" w:leader="none"/>
          <w:tab w:val="right" w:pos="9450" w:leader="none"/>
        </w:tabs>
        <w:ind w:hanging="1440" w:start="1440" w:end="-25"/>
        <w:jc w:val="start"/>
        <w:rPr>
          <w:rFonts w:ascii="Times New Roman" w:hAnsi="Times New Roman" w:cs="Times New Roman"/>
        </w:rPr>
      </w:pPr>
      <w:r>
        <w:rPr>
          <w:rFonts w:cs="Times New Roman" w:ascii="Times New Roman" w:hAnsi="Times New Roman"/>
        </w:rPr>
        <w:tab/>
        <w:tab/>
        <w:t>All notices to NFA shall be addressed as follows:</w:t>
      </w:r>
    </w:p>
    <w:p>
      <w:pPr>
        <w:pStyle w:val="Normal"/>
        <w:tabs>
          <w:tab w:val="left" w:pos="720" w:leader="none"/>
          <w:tab w:val="left" w:pos="1440" w:leader="none"/>
          <w:tab w:val="right" w:pos="9450" w:leader="none"/>
        </w:tabs>
        <w:ind w:hanging="1440" w:start="1440" w:end="-25"/>
        <w:jc w:val="center"/>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 w:val="right" w:pos="9450" w:leader="none"/>
        </w:tabs>
        <w:ind w:hanging="1440" w:start="1440" w:end="-25"/>
        <w:jc w:val="start"/>
        <w:rPr>
          <w:rFonts w:ascii="Times New Roman" w:hAnsi="Times New Roman" w:cs="Times New Roman"/>
        </w:rPr>
      </w:pPr>
      <w:r>
        <w:rPr>
          <w:rFonts w:cs="Times New Roman" w:ascii="Times New Roman" w:hAnsi="Times New Roman"/>
        </w:rPr>
        <w:tab/>
        <w:tab/>
        <w:tab/>
        <w:t>General Counsel</w:t>
      </w:r>
    </w:p>
    <w:p>
      <w:pPr>
        <w:pStyle w:val="Normal"/>
        <w:tabs>
          <w:tab w:val="left" w:pos="720" w:leader="none"/>
          <w:tab w:val="left" w:pos="1440" w:leader="none"/>
          <w:tab w:val="left" w:pos="3600" w:leader="none"/>
          <w:tab w:val="right" w:pos="9450" w:leader="none"/>
        </w:tabs>
        <w:ind w:hanging="1440" w:start="1440" w:end="-25"/>
        <w:jc w:val="start"/>
        <w:rPr>
          <w:rFonts w:ascii="Times New Roman" w:hAnsi="Times New Roman" w:cs="Times New Roman"/>
        </w:rPr>
      </w:pPr>
      <w:r>
        <w:rPr>
          <w:rFonts w:cs="Times New Roman" w:ascii="Times New Roman" w:hAnsi="Times New Roman"/>
        </w:rPr>
        <w:tab/>
        <w:tab/>
        <w:tab/>
        <w:t>National Futures Association</w:t>
      </w:r>
    </w:p>
    <w:p>
      <w:pPr>
        <w:pStyle w:val="Normal"/>
        <w:tabs>
          <w:tab w:val="left" w:pos="720" w:leader="none"/>
          <w:tab w:val="left" w:pos="1440" w:leader="none"/>
          <w:tab w:val="left" w:pos="3600" w:leader="none"/>
          <w:tab w:val="right" w:pos="9450" w:leader="none"/>
        </w:tabs>
        <w:ind w:hanging="1440" w:start="1440" w:end="-25"/>
        <w:jc w:val="start"/>
        <w:rPr>
          <w:rFonts w:ascii="Times New Roman" w:hAnsi="Times New Roman" w:cs="Times New Roman"/>
        </w:rPr>
      </w:pPr>
      <w:r>
        <w:rPr>
          <w:rFonts w:cs="Times New Roman" w:ascii="Times New Roman" w:hAnsi="Times New Roman"/>
        </w:rPr>
        <w:tab/>
        <w:tab/>
        <w:tab/>
        <w:t>200 West Madison Street, Suite 1600</w:t>
      </w:r>
    </w:p>
    <w:p>
      <w:pPr>
        <w:pStyle w:val="Normal"/>
        <w:tabs>
          <w:tab w:val="left" w:pos="720" w:leader="none"/>
          <w:tab w:val="left" w:pos="1440" w:leader="none"/>
          <w:tab w:val="left" w:pos="3600" w:leader="none"/>
          <w:tab w:val="right" w:pos="9450" w:leader="none"/>
        </w:tabs>
        <w:ind w:hanging="1440" w:start="1440" w:end="-25"/>
        <w:jc w:val="start"/>
        <w:rPr>
          <w:rFonts w:ascii="Times New Roman" w:hAnsi="Times New Roman" w:cs="Times New Roman"/>
        </w:rPr>
      </w:pPr>
      <w:r>
        <w:rPr>
          <w:rFonts w:cs="Times New Roman" w:ascii="Times New Roman" w:hAnsi="Times New Roman"/>
        </w:rPr>
        <w:tab/>
        <w:tab/>
        <w:tab/>
        <w:t>Chicago, Illinois 60606</w:t>
      </w:r>
    </w:p>
    <w:p>
      <w:pPr>
        <w:pStyle w:val="Normal"/>
        <w:tabs>
          <w:tab w:val="left" w:pos="720" w:leader="none"/>
          <w:tab w:val="left" w:pos="1440" w:leader="none"/>
          <w:tab w:val="left" w:pos="3600" w:leader="none"/>
          <w:tab w:val="right" w:pos="9450" w:leader="none"/>
        </w:tabs>
        <w:ind w:hanging="1440" w:start="1440" w:end="-25"/>
        <w:jc w:val="start"/>
        <w:rPr>
          <w:rFonts w:ascii="Times New Roman" w:hAnsi="Times New Roman" w:cs="Times New Roman"/>
        </w:rPr>
      </w:pPr>
      <w:r>
        <w:rPr>
          <w:rFonts w:cs="Times New Roman" w:ascii="Times New Roman" w:hAnsi="Times New Roman"/>
        </w:rPr>
        <w:tab/>
        <w:tab/>
        <w:tab/>
        <w:t>U.S.A.</w:t>
      </w:r>
    </w:p>
    <w:p>
      <w:pPr>
        <w:pStyle w:val="Normal"/>
        <w:tabs>
          <w:tab w:val="left" w:pos="720" w:leader="none"/>
          <w:tab w:val="left" w:pos="1440" w:leader="none"/>
          <w:tab w:val="left" w:pos="3600" w:leader="none"/>
          <w:tab w:val="right" w:pos="9450" w:leader="none"/>
        </w:tabs>
        <w:ind w:hanging="3600" w:start="3600" w:end="-25"/>
        <w:jc w:val="start"/>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060" w:leader="none"/>
          <w:tab w:val="left" w:pos="3600" w:leader="none"/>
          <w:tab w:val="right" w:pos="9450" w:leader="none"/>
        </w:tabs>
        <w:ind w:hanging="1440" w:start="1440" w:end="-25"/>
        <w:jc w:val="start"/>
        <w:rPr>
          <w:rFonts w:ascii="Times New Roman" w:hAnsi="Times New Roman" w:cs="Times New Roman"/>
        </w:rPr>
      </w:pPr>
      <w:r>
        <w:rPr>
          <w:rFonts w:cs="Times New Roman" w:ascii="Times New Roman" w:hAnsi="Times New Roman"/>
        </w:rPr>
        <w:tab/>
        <w:tab/>
        <w:t>All notices to Requester shall be addressed to the address set forth at the beginning of this Agreement, or to such other address as Requester directs in writing.</w:t>
      </w:r>
    </w:p>
    <w:p>
      <w:pPr>
        <w:pStyle w:val="Normal"/>
        <w:tabs>
          <w:tab w:val="left" w:pos="720" w:leader="none"/>
          <w:tab w:val="left" w:pos="1440" w:leader="none"/>
          <w:tab w:val="left" w:pos="2880" w:leader="none"/>
          <w:tab w:val="left" w:pos="3600" w:leader="none"/>
          <w:tab w:val="right" w:pos="9450" w:leader="none"/>
        </w:tabs>
        <w:ind w:hanging="2880" w:start="2880" w:end="-25"/>
        <w:jc w:val="start"/>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880" w:leader="none"/>
          <w:tab w:val="left" w:pos="3600" w:leader="none"/>
          <w:tab w:val="right" w:pos="9450" w:leader="none"/>
        </w:tabs>
        <w:ind w:hanging="2880" w:start="2880" w:end="-25"/>
        <w:jc w:val="start"/>
        <w:rPr>
          <w:rFonts w:ascii="Times New Roman" w:hAnsi="Times New Roman" w:cs="Times New Roman"/>
        </w:rPr>
      </w:pPr>
      <w:r>
        <w:rPr>
          <w:rFonts w:cs="Times New Roman" w:ascii="Times New Roman" w:hAnsi="Times New Roman"/>
        </w:rPr>
      </w:r>
    </w:p>
    <w:tbl>
      <w:tblPr>
        <w:tblW w:w="7145" w:type="dxa"/>
        <w:jc w:val="start"/>
        <w:tblInd w:w="1402" w:type="dxa"/>
        <w:tblLayout w:type="fixed"/>
        <w:tblCellMar>
          <w:top w:w="0" w:type="dxa"/>
          <w:start w:w="108" w:type="dxa"/>
          <w:bottom w:w="0" w:type="dxa"/>
          <w:end w:w="108" w:type="dxa"/>
        </w:tblCellMar>
      </w:tblPr>
      <w:tblGrid>
        <w:gridCol w:w="1753"/>
        <w:gridCol w:w="3433"/>
        <w:gridCol w:w="553"/>
        <w:gridCol w:w="949"/>
        <w:gridCol w:w="457"/>
      </w:tblGrid>
      <w:tr>
        <w:trPr/>
        <w:tc>
          <w:tcPr>
            <w:tcW w:w="1753"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Executed on</w:t>
            </w:r>
          </w:p>
        </w:tc>
        <w:tc>
          <w:tcPr>
            <w:tcW w:w="3433"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553"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19</w:t>
            </w:r>
          </w:p>
        </w:tc>
        <w:tc>
          <w:tcPr>
            <w:tcW w:w="949"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457"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at</w:t>
            </w:r>
          </w:p>
        </w:tc>
      </w:tr>
    </w:tbl>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tbl>
      <w:tblPr>
        <w:tblW w:w="9617" w:type="dxa"/>
        <w:jc w:val="start"/>
        <w:tblInd w:w="66" w:type="dxa"/>
        <w:tblLayout w:type="fixed"/>
        <w:tblCellMar>
          <w:top w:w="0" w:type="dxa"/>
          <w:start w:w="108" w:type="dxa"/>
          <w:bottom w:w="0" w:type="dxa"/>
          <w:end w:w="108" w:type="dxa"/>
        </w:tblCellMar>
      </w:tblPr>
      <w:tblGrid>
        <w:gridCol w:w="2977"/>
        <w:gridCol w:w="433"/>
        <w:gridCol w:w="2905"/>
        <w:gridCol w:w="433"/>
        <w:gridCol w:w="2869"/>
      </w:tblGrid>
      <w:tr>
        <w:trPr/>
        <w:tc>
          <w:tcPr>
            <w:tcW w:w="2977"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433" w:type="dxa"/>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2905"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433" w:type="dxa"/>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2869"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r>
      <w:tr>
        <w:trPr/>
        <w:tc>
          <w:tcPr>
            <w:tcW w:w="2977"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City</w:t>
            </w:r>
          </w:p>
        </w:tc>
        <w:tc>
          <w:tcPr>
            <w:tcW w:w="433" w:type="dxa"/>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2905"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State, Province, etc.</w:t>
            </w:r>
          </w:p>
        </w:tc>
        <w:tc>
          <w:tcPr>
            <w:tcW w:w="433" w:type="dxa"/>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2869"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Country</w:t>
            </w:r>
          </w:p>
        </w:tc>
      </w:tr>
    </w:tbl>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tbl>
      <w:tblPr>
        <w:tblW w:w="2861" w:type="dxa"/>
        <w:jc w:val="start"/>
        <w:tblInd w:w="3603" w:type="dxa"/>
        <w:tblLayout w:type="fixed"/>
        <w:tblCellMar>
          <w:top w:w="0" w:type="dxa"/>
          <w:start w:w="108" w:type="dxa"/>
          <w:bottom w:w="0" w:type="dxa"/>
          <w:end w:w="108" w:type="dxa"/>
        </w:tblCellMar>
      </w:tblPr>
      <w:tblGrid>
        <w:gridCol w:w="2861"/>
      </w:tblGrid>
      <w:tr>
        <w:trPr/>
        <w:tc>
          <w:tcPr>
            <w:tcW w:w="2861"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r>
      <w:tr>
        <w:trPr/>
        <w:tc>
          <w:tcPr>
            <w:tcW w:w="2861"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Requester</w:t>
            </w:r>
          </w:p>
        </w:tc>
      </w:tr>
    </w:tbl>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tbl>
      <w:tblPr>
        <w:tblW w:w="5596" w:type="dxa"/>
        <w:jc w:val="start"/>
        <w:tblInd w:w="2041" w:type="dxa"/>
        <w:tblLayout w:type="fixed"/>
        <w:tblCellMar>
          <w:top w:w="0" w:type="dxa"/>
          <w:start w:w="108" w:type="dxa"/>
          <w:bottom w:w="0" w:type="dxa"/>
          <w:end w:w="108" w:type="dxa"/>
        </w:tblCellMar>
      </w:tblPr>
      <w:tblGrid>
        <w:gridCol w:w="794"/>
        <w:gridCol w:w="4802"/>
      </w:tblGrid>
      <w:tr>
        <w:trPr/>
        <w:tc>
          <w:tcPr>
            <w:tcW w:w="794" w:type="dxa"/>
            <w:tcBorders/>
          </w:tcPr>
          <w:p>
            <w:pPr>
              <w:pStyle w:val="Normal"/>
              <w:tabs>
                <w:tab w:val="left" w:pos="720" w:leader="none"/>
                <w:tab w:val="left" w:pos="1440" w:leader="none"/>
                <w:tab w:val="left" w:pos="2880" w:leader="none"/>
                <w:tab w:val="left" w:pos="3600" w:leader="none"/>
                <w:tab w:val="right" w:pos="9450" w:leader="none"/>
              </w:tabs>
              <w:ind w:end="-25"/>
              <w:jc w:val="start"/>
              <w:rPr>
                <w:rFonts w:ascii="Times New Roman" w:hAnsi="Times New Roman" w:cs="Times New Roman"/>
              </w:rPr>
            </w:pPr>
            <w:r>
              <w:rPr>
                <w:rFonts w:cs="Times New Roman" w:ascii="Times New Roman" w:hAnsi="Times New Roman"/>
              </w:rPr>
              <w:t>By:</w:t>
            </w:r>
          </w:p>
        </w:tc>
        <w:tc>
          <w:tcPr>
            <w:tcW w:w="4802"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start"/>
              <w:rPr>
                <w:rFonts w:ascii="Times New Roman" w:hAnsi="Times New Roman" w:cs="Times New Roman"/>
              </w:rPr>
            </w:pPr>
            <w:r>
              <w:rPr>
                <w:rFonts w:cs="Times New Roman" w:ascii="Times New Roman" w:hAnsi="Times New Roman"/>
              </w:rPr>
            </w:r>
          </w:p>
        </w:tc>
      </w:tr>
      <w:tr>
        <w:trPr/>
        <w:tc>
          <w:tcPr>
            <w:tcW w:w="794" w:type="dxa"/>
            <w:tcBorders/>
          </w:tcPr>
          <w:p>
            <w:pPr>
              <w:pStyle w:val="Normal"/>
              <w:tabs>
                <w:tab w:val="left" w:pos="720" w:leader="none"/>
                <w:tab w:val="left" w:pos="1440" w:leader="none"/>
                <w:tab w:val="left" w:pos="2880" w:leader="none"/>
                <w:tab w:val="left" w:pos="3600" w:leader="none"/>
                <w:tab w:val="right" w:pos="9450" w:leader="none"/>
              </w:tabs>
              <w:snapToGrid w:val="false"/>
              <w:ind w:end="-25"/>
              <w:jc w:val="start"/>
              <w:rPr>
                <w:rFonts w:ascii="Times New Roman" w:hAnsi="Times New Roman" w:cs="Times New Roman"/>
              </w:rPr>
            </w:pPr>
            <w:r>
              <w:rPr>
                <w:rFonts w:cs="Times New Roman" w:ascii="Times New Roman" w:hAnsi="Times New Roman"/>
              </w:rPr>
            </w:r>
          </w:p>
        </w:tc>
        <w:tc>
          <w:tcPr>
            <w:tcW w:w="4802" w:type="dxa"/>
            <w:tcBorders/>
          </w:tcPr>
          <w:p>
            <w:pPr>
              <w:pStyle w:val="Normal"/>
              <w:tabs>
                <w:tab w:val="left" w:pos="720" w:leader="none"/>
                <w:tab w:val="left" w:pos="1440" w:leader="none"/>
                <w:tab w:val="left" w:pos="2880" w:leader="none"/>
                <w:tab w:val="left" w:pos="3600" w:leader="none"/>
                <w:tab w:val="right" w:pos="9450" w:leader="none"/>
              </w:tabs>
              <w:snapToGrid w:val="false"/>
              <w:ind w:end="-25"/>
              <w:jc w:val="start"/>
              <w:rPr>
                <w:rFonts w:ascii="Times New Roman" w:hAnsi="Times New Roman" w:cs="Times New Roman"/>
              </w:rPr>
            </w:pPr>
            <w:r>
              <w:rPr>
                <w:rFonts w:cs="Times New Roman" w:ascii="Times New Roman" w:hAnsi="Times New Roman"/>
              </w:rPr>
            </w:r>
          </w:p>
        </w:tc>
      </w:tr>
      <w:tr>
        <w:trPr/>
        <w:tc>
          <w:tcPr>
            <w:tcW w:w="794" w:type="dxa"/>
            <w:tcBorders/>
          </w:tcPr>
          <w:p>
            <w:pPr>
              <w:pStyle w:val="Normal"/>
              <w:tabs>
                <w:tab w:val="left" w:pos="720" w:leader="none"/>
                <w:tab w:val="left" w:pos="1440" w:leader="none"/>
                <w:tab w:val="left" w:pos="2880" w:leader="none"/>
                <w:tab w:val="left" w:pos="3600" w:leader="none"/>
                <w:tab w:val="right" w:pos="9450" w:leader="none"/>
              </w:tabs>
              <w:ind w:end="-25"/>
              <w:jc w:val="start"/>
              <w:rPr>
                <w:rFonts w:ascii="Times New Roman" w:hAnsi="Times New Roman" w:cs="Times New Roman"/>
              </w:rPr>
            </w:pPr>
            <w:r>
              <w:rPr>
                <w:rFonts w:cs="Times New Roman" w:ascii="Times New Roman" w:hAnsi="Times New Roman"/>
              </w:rPr>
              <w:t>Title:</w:t>
            </w:r>
          </w:p>
        </w:tc>
        <w:tc>
          <w:tcPr>
            <w:tcW w:w="4802"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start"/>
              <w:rPr>
                <w:rFonts w:ascii="Times New Roman" w:hAnsi="Times New Roman" w:cs="Times New Roman"/>
              </w:rPr>
            </w:pPr>
            <w:r>
              <w:rPr>
                <w:rFonts w:cs="Times New Roman" w:ascii="Times New Roman" w:hAnsi="Times New Roman"/>
              </w:rPr>
            </w:r>
          </w:p>
        </w:tc>
      </w:tr>
    </w:tbl>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tbl>
      <w:tblPr>
        <w:tblW w:w="7228" w:type="dxa"/>
        <w:jc w:val="start"/>
        <w:tblInd w:w="1336" w:type="dxa"/>
        <w:tblLayout w:type="fixed"/>
        <w:tblCellMar>
          <w:top w:w="0" w:type="dxa"/>
          <w:start w:w="108" w:type="dxa"/>
          <w:bottom w:w="0" w:type="dxa"/>
          <w:end w:w="108" w:type="dxa"/>
        </w:tblCellMar>
      </w:tblPr>
      <w:tblGrid>
        <w:gridCol w:w="2941"/>
        <w:gridCol w:w="3085"/>
        <w:gridCol w:w="481"/>
        <w:gridCol w:w="721"/>
      </w:tblGrid>
      <w:tr>
        <w:trPr/>
        <w:tc>
          <w:tcPr>
            <w:tcW w:w="2941"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Approved and accepted on</w:t>
            </w:r>
          </w:p>
        </w:tc>
        <w:tc>
          <w:tcPr>
            <w:tcW w:w="3085"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481" w:type="dxa"/>
            <w:tcBorders/>
          </w:tcPr>
          <w:p>
            <w:pPr>
              <w:pStyle w:val="Normal"/>
              <w:tabs>
                <w:tab w:val="left" w:pos="72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19</w:t>
            </w:r>
          </w:p>
        </w:tc>
        <w:tc>
          <w:tcPr>
            <w:tcW w:w="721" w:type="dxa"/>
            <w:tcBorders>
              <w:bottom w:val="single" w:sz="12" w:space="0" w:color="000000"/>
            </w:tcBorders>
          </w:tcPr>
          <w:p>
            <w:pPr>
              <w:pStyle w:val="Normal"/>
              <w:tabs>
                <w:tab w:val="left" w:pos="72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r>
    </w:tbl>
    <w:p>
      <w:pPr>
        <w:pStyle w:val="Normal"/>
        <w:tabs>
          <w:tab w:val="clear" w:pos="720"/>
          <w:tab w:val="left" w:pos="90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ab/>
        <w:t>at Chicago, Illinois, United States of America</w:t>
      </w:r>
    </w:p>
    <w:p>
      <w:pPr>
        <w:pStyle w:val="Normal"/>
        <w:tabs>
          <w:tab w:val="clear" w:pos="720"/>
          <w:tab w:val="left" w:pos="90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p>
      <w:pPr>
        <w:pStyle w:val="Normal"/>
        <w:tabs>
          <w:tab w:val="clear" w:pos="720"/>
          <w:tab w:val="left" w:pos="90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ab/>
        <w:t>NATIONAL FUTURES ASSOCIATION</w:t>
      </w:r>
    </w:p>
    <w:p>
      <w:pPr>
        <w:pStyle w:val="Normal"/>
        <w:tabs>
          <w:tab w:val="clear" w:pos="720"/>
          <w:tab w:val="left" w:pos="90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p>
      <w:pPr>
        <w:pStyle w:val="Normal"/>
        <w:tabs>
          <w:tab w:val="clear" w:pos="720"/>
          <w:tab w:val="left" w:pos="90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r>
    </w:p>
    <w:tbl>
      <w:tblPr>
        <w:tblW w:w="5392" w:type="dxa"/>
        <w:jc w:val="start"/>
        <w:tblInd w:w="2317" w:type="dxa"/>
        <w:tblLayout w:type="fixed"/>
        <w:tblCellMar>
          <w:top w:w="0" w:type="dxa"/>
          <w:start w:w="108" w:type="dxa"/>
          <w:bottom w:w="0" w:type="dxa"/>
          <w:end w:w="108" w:type="dxa"/>
        </w:tblCellMar>
      </w:tblPr>
      <w:tblGrid>
        <w:gridCol w:w="590"/>
        <w:gridCol w:w="4802"/>
      </w:tblGrid>
      <w:tr>
        <w:trPr/>
        <w:tc>
          <w:tcPr>
            <w:tcW w:w="590" w:type="dxa"/>
            <w:tcBorders/>
          </w:tcPr>
          <w:p>
            <w:pPr>
              <w:pStyle w:val="Normal"/>
              <w:tabs>
                <w:tab w:val="clear" w:pos="720"/>
                <w:tab w:val="left" w:pos="90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By:</w:t>
            </w:r>
          </w:p>
        </w:tc>
        <w:tc>
          <w:tcPr>
            <w:tcW w:w="4802" w:type="dxa"/>
            <w:tcBorders>
              <w:bottom w:val="single" w:sz="12" w:space="0" w:color="000000"/>
            </w:tcBorders>
          </w:tcPr>
          <w:p>
            <w:pPr>
              <w:pStyle w:val="Normal"/>
              <w:tabs>
                <w:tab w:val="clear" w:pos="720"/>
                <w:tab w:val="left" w:pos="90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r>
      <w:tr>
        <w:trPr/>
        <w:tc>
          <w:tcPr>
            <w:tcW w:w="590" w:type="dxa"/>
            <w:tcBorders/>
          </w:tcPr>
          <w:p>
            <w:pPr>
              <w:pStyle w:val="Normal"/>
              <w:tabs>
                <w:tab w:val="clear" w:pos="720"/>
                <w:tab w:val="left" w:pos="900" w:leader="none"/>
                <w:tab w:val="left" w:pos="1440" w:leader="none"/>
                <w:tab w:val="left" w:pos="2880" w:leader="none"/>
                <w:tab w:val="left" w:pos="3600" w:leader="none"/>
                <w:tab w:val="right" w:pos="9450" w:leader="none"/>
              </w:tabs>
              <w:snapToGrid w:val="false"/>
              <w:ind w:end="-25"/>
              <w:jc w:val="center"/>
              <w:rPr>
                <w:rFonts w:ascii="Times New Roman" w:hAnsi="Times New Roman" w:cs="Times New Roman"/>
              </w:rPr>
            </w:pPr>
            <w:r>
              <w:rPr>
                <w:rFonts w:cs="Times New Roman" w:ascii="Times New Roman" w:hAnsi="Times New Roman"/>
              </w:rPr>
            </w:r>
          </w:p>
        </w:tc>
        <w:tc>
          <w:tcPr>
            <w:tcW w:w="4802" w:type="dxa"/>
            <w:tcBorders/>
          </w:tcPr>
          <w:p>
            <w:pPr>
              <w:pStyle w:val="Normal"/>
              <w:tabs>
                <w:tab w:val="clear" w:pos="720"/>
                <w:tab w:val="left" w:pos="900" w:leader="none"/>
                <w:tab w:val="left" w:pos="1440" w:leader="none"/>
                <w:tab w:val="left" w:pos="2880" w:leader="none"/>
                <w:tab w:val="left" w:pos="3600" w:leader="none"/>
                <w:tab w:val="right" w:pos="9450" w:leader="none"/>
              </w:tabs>
              <w:ind w:end="-25"/>
              <w:jc w:val="center"/>
              <w:rPr>
                <w:rFonts w:ascii="Times New Roman" w:hAnsi="Times New Roman" w:cs="Times New Roman"/>
              </w:rPr>
            </w:pPr>
            <w:r>
              <w:rPr>
                <w:rFonts w:cs="Times New Roman" w:ascii="Times New Roman" w:hAnsi="Times New Roman"/>
              </w:rPr>
              <w:t>Director, Registration</w:t>
            </w:r>
          </w:p>
        </w:tc>
      </w:tr>
    </w:tbl>
    <w:p>
      <w:pPr>
        <w:pStyle w:val="Normal"/>
        <w:jc w:val="end"/>
        <w:rPr>
          <w:rFonts w:ascii="Times New Roman" w:hAnsi="Times New Roman" w:cs="Times New Roman"/>
        </w:rPr>
      </w:pPr>
      <w:r>
        <w:br w:type="page"/>
      </w:r>
      <w:r>
        <w:rPr>
          <w:rFonts w:cs="Times New Roman" w:ascii="Times New Roman" w:hAnsi="Times New Roman"/>
          <w:sz w:val="20"/>
        </w:rPr>
        <w:t>(6)</w:t>
      </w:r>
    </w:p>
    <w:p>
      <w:pPr>
        <w:pStyle w:val="Normal"/>
        <w:jc w:val="center"/>
        <w:rPr>
          <w:rFonts w:ascii="Times New Roman" w:hAnsi="Times New Roman" w:cs="Times New Roman"/>
          <w:b/>
          <w:sz w:val="20"/>
          <w:u w:val="single"/>
        </w:rPr>
      </w:pPr>
      <w:r>
        <w:rPr>
          <w:rFonts w:cs="Times New Roman" w:ascii="Times New Roman" w:hAnsi="Times New Roman"/>
          <w:b/>
          <w:sz w:val="20"/>
          <w:u w:val="single"/>
        </w:rPr>
        <w:t>CFTC RULE 1.55 RISK DISCLOSURE STATEMENT</w:t>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rFonts w:ascii="Times New Roman" w:hAnsi="Times New Roman" w:cs="Times New Roman"/>
          <w:sz w:val="20"/>
        </w:rPr>
      </w:pPr>
      <w:r>
        <w:rPr>
          <w:rFonts w:cs="Times New Roman" w:ascii="Times New Roman" w:hAnsi="Times New Roman"/>
          <w:sz w:val="20"/>
        </w:rPr>
        <w:t>THE RISK OF LOSS IN TRADING COMMODITY FUTURES CONTRACTS CAN BE SUBSTANTIAL.  YOU SHOULD, THEREFORE, CAREFULLY CONSIDER WHETHER SUCH TRADING IS SUITABLE FOR YOU IN LIGHT OF YOUR CIRCUMSTANCES AND FINANCIAL RESOURCES.  YOU SHOULD BE AWARE OF THE FOLLOWING POINTS:</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1.</w:t>
        <w:tab/>
        <w:t>You may sustain a total loss of the funds that you deposit with your broker to establish or maintain a position in the commodity futures market, and you may incur losses beyond these amounts.  If the market moves against your position, you may be called upon by your broker to deposit a substantial amount of additional margin funds, on short notice, in order to maintain your position.  If you do not provide the required funds within the time required by your broker, your position may be liquidated at a loss, and you will be liable for any resulting deficit in your account.</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2.</w:t>
        <w:tab/>
        <w:t>Under certain market conditions, you may find it difficult or impossible to liquidate a position.  This can occur, for example, when the market reaches a daily price fluctuation limit ("limit move").</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3.</w:t>
        <w:tab/>
        <w:t>Placing contingent orders, such as "stop-loss" or "stop-limit" orders, will not necessarily limit your losses to the intended amounts, since market conditions on the exchange where the order is placed may make it impossible to execute such orders.</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4.</w:t>
        <w:tab/>
        <w:t>All futures positions involve risk, and a "spread" position may not be less risky than an outright "long" or "short" position.</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5.</w:t>
        <w:tab/>
        <w:t>The high degree of leverage (gearing) that is often obtainable in futures trading because of the small margin requirements can work against you as well as for you.  Leverage (gearing) can lead to large losses as well as gains.</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6.</w:t>
        <w:tab/>
        <w:t>You should consult your broker concerning the nature of the protections available to safeguard funds or property deposited for your account.</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ALL OF THE POINTS NOTED ABOVE APPLY TO ALL FUTURES TRADING WHETHER FOREIGN OR DOMESTIC.  IN ADDITION, IF YOU ARE CONTEMPLATING TRADING FOREIGN FUTURES OR OPTIONS CONTRACTS, YOU SHOULD BE AWARE OF THE FOLLOWING ADDITIONAL RISKS:</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7.</w:t>
        <w:tab/>
        <w:t>Foreign futures transactions involve executing and clearing trades on a foreign exchange.  This is the case even if the foreign exchange is formally "linked" to a domestic exchange, whereby a trade executed on one exchange liquidates or establishes a position on the other exchange.  No domestic organisation regulates the activities of a foreign exchange, including the execution, delivery, and clearing of transactions on such an exchange, and no domestic regulator has the power to compel enforcement of the rules of the foreign exchange or the laws of the foreign country.  Moreover, such laws or regulations will vary depending on the foreign country in which the transaction occurs.  For these reasons, customers who trade on foreign exchanges may not be afforded certain of the protections which apply to domestic transactions, including the right to use domestic alternative dispute resolution procedures.  In particular, funds received from customers to margin foreign futures transactions may not be provided the same protections as funds received to margin futures transactions on domestic exchanges.  Before you trade, you should familiarise yourself with the foreign rules which will apply to your particular transaction.</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8.</w:t>
        <w:tab/>
        <w:t>Finally, you should be aware that the price of any foreign futures or option contract and, therefore, the potential profit and loss resulting therefrom, may be affected by any fluctuation in the foreign exchange rate between the time the order is placed and the foreign futures contract is liquidated or the foreign option contract is liquidated or exercised.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THIS BRIEF STATEMENT CANNOT, OF COURSE, DISCLOSE ALL THE RISKS AND OTHER ASPECTS OF THE COMMODITY MARKETS.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I hereby acknowledge that I have received and understood this risk disclosure statement.</w:t>
      </w:r>
    </w:p>
    <w:p>
      <w:pPr>
        <w:pStyle w:val="Normal"/>
        <w:rPr>
          <w:rFonts w:ascii="Times New Roman" w:hAnsi="Times New Roman" w:cs="Times New Roman"/>
          <w:sz w:val="20"/>
        </w:rPr>
      </w:pPr>
      <w:r>
        <w:rPr>
          <w:rFonts w:cs="Times New Roman" w:ascii="Times New Roman" w:hAnsi="Times New Roman"/>
          <w:sz w:val="20"/>
        </w:rPr>
      </w:r>
    </w:p>
    <w:tbl>
      <w:tblPr>
        <w:tblW w:w="8188" w:type="dxa"/>
        <w:jc w:val="start"/>
        <w:tblInd w:w="0" w:type="dxa"/>
        <w:tblLayout w:type="fixed"/>
        <w:tblCellMar>
          <w:top w:w="0" w:type="dxa"/>
          <w:start w:w="108" w:type="dxa"/>
          <w:bottom w:w="0" w:type="dxa"/>
          <w:end w:w="108" w:type="dxa"/>
        </w:tblCellMar>
      </w:tblPr>
      <w:tblGrid>
        <w:gridCol w:w="3674"/>
        <w:gridCol w:w="4514"/>
      </w:tblGrid>
      <w:tr>
        <w:trPr/>
        <w:tc>
          <w:tcPr>
            <w:tcW w:w="3674" w:type="dxa"/>
            <w:tcBorders/>
          </w:tcPr>
          <w:p>
            <w:pPr>
              <w:pStyle w:val="Normal"/>
              <w:rPr>
                <w:rFonts w:ascii="Times New Roman" w:hAnsi="Times New Roman" w:cs="Times New Roman"/>
                <w:sz w:val="20"/>
                <w:u w:val="single"/>
              </w:rPr>
            </w:pPr>
            <w:r>
              <w:rPr>
                <w:rFonts w:cs="Times New Roman" w:ascii="Times New Roman" w:hAnsi="Times New Roman"/>
                <w:sz w:val="20"/>
                <w:u w:val="single"/>
              </w:rPr>
              <w:tab/>
              <w:tab/>
              <w:tab/>
            </w:r>
          </w:p>
        </w:tc>
        <w:tc>
          <w:tcPr>
            <w:tcW w:w="4514" w:type="dxa"/>
            <w:tcBorders/>
          </w:tcPr>
          <w:p>
            <w:pPr>
              <w:pStyle w:val="Normal"/>
              <w:rPr>
                <w:rFonts w:ascii="Times New Roman" w:hAnsi="Times New Roman" w:cs="Times New Roman"/>
                <w:sz w:val="20"/>
                <w:u w:val="single"/>
              </w:rPr>
            </w:pPr>
            <w:r>
              <w:rPr>
                <w:rFonts w:cs="Times New Roman" w:ascii="Times New Roman" w:hAnsi="Times New Roman"/>
                <w:sz w:val="20"/>
                <w:u w:val="single"/>
              </w:rPr>
              <w:tab/>
              <w:tab/>
              <w:tab/>
              <w:tab/>
              <w:tab/>
            </w:r>
          </w:p>
        </w:tc>
      </w:tr>
      <w:tr>
        <w:trPr/>
        <w:tc>
          <w:tcPr>
            <w:tcW w:w="3674" w:type="dxa"/>
            <w:tcBorders/>
          </w:tcPr>
          <w:p>
            <w:pPr>
              <w:pStyle w:val="Normal"/>
              <w:rPr>
                <w:rFonts w:ascii="Times New Roman" w:hAnsi="Times New Roman" w:cs="Times New Roman"/>
                <w:sz w:val="20"/>
              </w:rPr>
            </w:pPr>
            <w:r>
              <w:rPr>
                <w:rFonts w:cs="Times New Roman" w:ascii="Times New Roman" w:hAnsi="Times New Roman"/>
                <w:sz w:val="20"/>
              </w:rPr>
              <w:t>Date</w:t>
            </w:r>
          </w:p>
        </w:tc>
        <w:tc>
          <w:tcPr>
            <w:tcW w:w="4514" w:type="dxa"/>
            <w:tcBorders/>
          </w:tcPr>
          <w:p>
            <w:pPr>
              <w:pStyle w:val="Normal"/>
              <w:rPr>
                <w:rFonts w:ascii="Times New Roman" w:hAnsi="Times New Roman" w:cs="Times New Roman"/>
                <w:sz w:val="20"/>
              </w:rPr>
            </w:pPr>
            <w:r>
              <w:rPr>
                <w:rFonts w:cs="Times New Roman" w:ascii="Times New Roman" w:hAnsi="Times New Roman"/>
                <w:sz w:val="20"/>
              </w:rPr>
              <w:t>Signature of Customer</w:t>
            </w:r>
          </w:p>
        </w:tc>
      </w:tr>
    </w:tbl>
    <w:p>
      <w:pPr>
        <w:pStyle w:val="Normal"/>
        <w:tabs>
          <w:tab w:val="clear" w:pos="720"/>
          <w:tab w:val="left" w:pos="4230" w:leader="none"/>
          <w:tab w:val="left" w:pos="4410" w:leader="none"/>
        </w:tabs>
        <w:ind w:end="-25"/>
        <w:jc w:val="end"/>
        <w:rPr>
          <w:rFonts w:ascii="Times New Roman" w:hAnsi="Times New Roman" w:cs="Times New Roman"/>
        </w:rPr>
      </w:pPr>
      <w:r>
        <w:br w:type="page"/>
      </w:r>
      <w:r>
        <w:rPr>
          <w:rFonts w:cs="Times New Roman" w:ascii="Times New Roman" w:hAnsi="Times New Roman"/>
          <w:sz w:val="20"/>
        </w:rPr>
        <w:t>(7)</w:t>
      </w:r>
    </w:p>
    <w:p>
      <w:pPr>
        <w:pStyle w:val="Normal"/>
        <w:tabs>
          <w:tab w:val="clear" w:pos="720"/>
          <w:tab w:val="left" w:pos="4230" w:leader="none"/>
          <w:tab w:val="left" w:pos="4410" w:leader="none"/>
        </w:tabs>
        <w:ind w:end="-25"/>
        <w:jc w:val="center"/>
        <w:rPr>
          <w:rFonts w:ascii="Times New Roman" w:hAnsi="Times New Roman" w:cs="Times New Roman"/>
          <w:b/>
        </w:rPr>
      </w:pPr>
      <w:r>
        <w:rPr>
          <w:rFonts w:cs="Times New Roman" w:ascii="Times New Roman" w:hAnsi="Times New Roman"/>
          <w:b/>
        </w:rPr>
        <w:t>Risk Disclosure Statement for Futures and Options</w:t>
      </w:r>
    </w:p>
    <w:p>
      <w:pPr>
        <w:pStyle w:val="Normal"/>
        <w:tabs>
          <w:tab w:val="clear" w:pos="720"/>
          <w:tab w:val="left" w:pos="4230" w:leader="none"/>
          <w:tab w:val="left" w:pos="4410" w:leader="none"/>
        </w:tabs>
        <w:ind w:end="-25"/>
        <w:rPr>
          <w:rFonts w:ascii="Times New Roman" w:hAnsi="Times New Roman" w:cs="Times New Roman"/>
          <w:b/>
        </w:rPr>
      </w:pPr>
      <w:r>
        <w:rPr>
          <w:rFonts w:cs="Times New Roman" w:ascii="Times New Roman" w:hAnsi="Times New Roman"/>
          <w:b/>
        </w:rPr>
      </w:r>
    </w:p>
    <w:p>
      <w:pPr>
        <w:pStyle w:val="Normal"/>
        <w:pBdr>
          <w:bottom w:val="single" w:sz="12" w:space="1" w:color="000000"/>
        </w:pBdr>
        <w:tabs>
          <w:tab w:val="clear" w:pos="720"/>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4230" w:leader="none"/>
          <w:tab w:val="left" w:pos="4410" w:leader="none"/>
        </w:tabs>
        <w:ind w:end="-25"/>
        <w:rPr>
          <w:rFonts w:ascii="Times New Roman" w:hAnsi="Times New Roman" w:cs="Times New Roman"/>
        </w:rPr>
      </w:pPr>
      <w:r>
        <w:rPr>
          <w:rFonts w:cs="Times New Roman" w:ascii="Times New Roman" w:hAnsi="Times New Roman"/>
          <w:i/>
        </w:rPr>
        <w:t>This brief statement does not disclose all of the risks and other significant aspects of trading in futures and options.  In light of the risks, you should undertake such transactions only if you  understand the nature of the contracts (and contractual relationships) into which you are entering and the extent of your exposure to risk.  Trading in futures and options is not suitable for many members of the public.  You should carefully consider whether trading is appropriate for you in light of your experience, objectives, financial resources and other relevant circumstances.</w:t>
      </w:r>
    </w:p>
    <w:p>
      <w:pPr>
        <w:pStyle w:val="Normal"/>
        <w:tabs>
          <w:tab w:val="clear" w:pos="720"/>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clear" w:pos="720"/>
          <w:tab w:val="left" w:pos="4230" w:leader="none"/>
          <w:tab w:val="left" w:pos="4410" w:leader="none"/>
        </w:tabs>
        <w:ind w:end="-25"/>
        <w:rPr>
          <w:rFonts w:ascii="Times New Roman" w:hAnsi="Times New Roman" w:cs="Times New Roman"/>
        </w:rPr>
      </w:pPr>
      <w:r>
        <w:rPr>
          <w:rFonts w:cs="Times New Roman"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440" w:gutter="0" w:header="706" w:top="1440" w:footer="432" w:bottom="720"/>
          <w:pgNumType w:fmt="decimal"/>
          <w:formProt w:val="false"/>
          <w:titlePg/>
          <w:textDirection w:val="lrTb"/>
          <w:docGrid w:type="default" w:linePitch="360" w:charSpace="0"/>
        </w:sectPr>
      </w:pPr>
    </w:p>
    <w:p>
      <w:pPr>
        <w:pStyle w:val="Normal"/>
        <w:tabs>
          <w:tab w:val="clear" w:pos="720"/>
          <w:tab w:val="left" w:pos="4230" w:leader="none"/>
          <w:tab w:val="left" w:pos="4410" w:leader="none"/>
        </w:tabs>
        <w:ind w:end="-25"/>
        <w:rPr>
          <w:rFonts w:ascii="Times New Roman" w:hAnsi="Times New Roman" w:cs="Times New Roman"/>
          <w:sz w:val="20"/>
        </w:rPr>
      </w:pPr>
      <w:r>
        <w:rPr>
          <w:rFonts w:cs="Times New Roman" w:ascii="Times New Roman" w:hAnsi="Times New Roman"/>
          <w:b/>
          <w:sz w:val="20"/>
        </w:rPr>
        <w:t>Futures</w:t>
      </w:r>
    </w:p>
    <w:p>
      <w:pPr>
        <w:pStyle w:val="Normal"/>
        <w:tabs>
          <w:tab w:val="clear" w:pos="720"/>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1.</w:t>
        <w:tab/>
        <w:t>Effect of "Leverage" or "Gearing"</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Transactions in futures carry a high degree of risk.  The amount of initial margin is small relative to the value of the futures contract so that transactions are "leveraged" or "geared".  A relatively small market movement will have a proportionately larger impact on the funds you have deposited or will have to deposit: this may work against you as well as for you.  You may sustain  a total loss of initial margin funds and any additional funds deposited with the firm to maintain your position.  If the market moves against your position or margin levels are increased, you may be called upon to pay substantial additional funds on short notice to maintain your position.  If you fail to comply with a request for additional funds within the time prescribed, your position may be liquidated at a loss and you will be liable for any resulting deficit.</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2.</w:t>
        <w:tab/>
        <w:t>Risk-reducing orders or strategies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The placing of certain orders (e.g. "stop-loss" orders, where permitted under local law, or "stop-limit" orders) which are intended to limit losses to certain amounts may not be effective because market conditions may make it impossible to execute such orders.  Strategies using combinations of positions, such as "spread" and "straddle" positions may be as risky as taking simple "long" or "short" positions.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b/>
          <w:sz w:val="20"/>
        </w:rPr>
        <w:t>Options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3,</w:t>
        <w:tab/>
        <w:t>Variable degree of risk</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Transactions in options carry a high degree of risk.  Purchasers and sellers of options should familiarise themselves with the type of option (i.e. put or call) which they contemplate trading and the associated risks.  You should calculate the extent to which the value of the options must increase for your position to become profitable, taking into account the premium and all transaction costs.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The purchaser of options may offset or exercise the options or allow the options to expire.  The exercise of an option results either in a cash settlement or in the purchaser acquiring or delivering the underlying interest.  If the option is on a future, the purchaser will acquire a futures position with associated liabilities for margin (see the section on Futures above).  If the purchased options expire worthless, you will suffer a total loss of your investment which will consist of the option premium plus transaction costs.  If  you are contemplating purchasing deep-out-of-the-money options, you should be aware that the chance of such options becoming profitable ordinarily is remote.</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Selling ("writing" or "granting") an option generally entails considerably greater risk than purchasing options.  Although the premium received by the seller is fixed, the seller may sustain a loss well in excess of that amount.  The seller will be liable for additional margin to maintain the position if the market moves unfavourably.  The seller will also be exposed to the risk of the purchaser exercising the option and the seller will be obligated to either settle the option in cash or to acquire or deliver the underlying interest.  If the option is on a future, the seller will acquire a position in a future with associated liabilities for margin (see the section on Futures above).  If the option is "covered" by the seller holding a corresponding position in the underlying interest or a future or another option, the risk may be reduced.  If the option is not covered, the risk of loss can be unlimited.</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Certain exchanges in some jurisdictions permit deferred payment of the option premium, exposing the purchaser to liability for margin payments not exceeding the amount of the premium.  The purchaser is still subject to the risk of losing the premium and transaction costs.  When the option is exercised or expires, the purchaser is responsible for any unpaid premium outstanding at that time.</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b/>
          <w:sz w:val="20"/>
        </w:rPr>
        <w:t>Additional risks common to futures and options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You should ask the firm with which you deal about the terms and conditions of the specific futures or options which you are trading and associated obligations (e.g. the circumstances under which you may become obligated to make or take delivery of the underlying interest of a futures contract and, in respect of options, expiration dates and restrictions on the time for exercise).  Under certain circumstances the specifications of outstanding contracts (including the  exercise price of an option) may be modified by the exchange or clearing house to reflect changes in the underlying interest.</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hanging="720" w:start="720" w:end="-25"/>
        <w:rPr>
          <w:rFonts w:ascii="Times New Roman" w:hAnsi="Times New Roman" w:cs="Times New Roman"/>
          <w:sz w:val="20"/>
        </w:rPr>
      </w:pPr>
      <w:r>
        <w:rPr>
          <w:rFonts w:cs="Times New Roman" w:ascii="Times New Roman" w:hAnsi="Times New Roman"/>
          <w:sz w:val="20"/>
        </w:rPr>
        <w:t>5.</w:t>
        <w:tab/>
        <w:t>Suspension or restriction of trading and  pricing relationships</w:t>
      </w:r>
    </w:p>
    <w:p>
      <w:pPr>
        <w:pStyle w:val="Normal"/>
        <w:tabs>
          <w:tab w:val="left" w:pos="720" w:leader="none"/>
          <w:tab w:val="left" w:pos="4230" w:leader="none"/>
          <w:tab w:val="left" w:pos="4410" w:leader="none"/>
        </w:tabs>
        <w:ind w:hanging="720" w:start="720"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Market conditions (e.g. illiquidity) and/or the operation of the rules of certain markets (e.g. the suspension of trading in any contract or contract month because of price limits or "circuit breakers") may increase the risk of loss by making it difficult or impossible to effect transactions or liquidate/offset positions.  If you have sold options, this may increase the risk of loss.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Further, normal pricing relationships between the underlying interest and the future, and the underlying interest and the option may not exist.  This can occur when, for example, the futures contract underlying the option is subject to price limits while the option is not.  The absence of an underlying reference price may make it difficult to judge "fair" value.</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6.</w:t>
        <w:tab/>
        <w:t>Deposited cash and property</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You should familiarise yourself with the protections accorded money or other property you deposit for domestic and foreign transactions, particularly in the even of a firm insolvency or bankruptcy.  The extent to which you may recover your money or property  may be governed by specific legislation or local rules.  In some jurisdictions, property which had been specifically identifiable as your own will be pro-rated in the same manner as cash or purposes of distribution in the event of a shortfall.</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7.</w:t>
        <w:tab/>
        <w:t>Commission and other charges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Before  you begin to trade, you should obtain a clear explanation of all commission, fees and other charges for which you will be liable.  These charges will affect your net profit (if any) or increase your loss.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8.</w:t>
        <w:tab/>
        <w:t>Transactions in other jurisdictions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Transactions on markets in other jurisdictions, including markets formally linked to a domestic market, may expose you to additional risk.  Such markets may be subject to regulation which may offer different or diminished investor protection.  Before you trade you should enquire about any rules relevant to your particular transactions.  Your local regulatory authority will be unable to compel the enforcement of the rules of regulatory authorities or markets in other jurisdictions where your transactions have been affected.  You should ask the firm with which you deal for details about the types of redress available in both your home jurisdiction and other relevant jurisdictions before you start to trade.</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9.</w:t>
        <w:tab/>
        <w:t>Currency risks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The profit or loss in transactions in foreign currency-denominated contracts (whether they are traded in your own or another jurisdiction) will be affected by fluctuations in currency rates where there is a need to convert from the currency denominations of the contract to another currency.</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10.</w:t>
        <w:tab/>
        <w:t>Trading facilities.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Most open-outcry and electronic trading facilities are supported by computer-based component systems for the order-routing, execution, matching, registration or clearing of trades.  As with all facilities and systems, they are vulnerable to temporary disruption or failure.  Your ability to recover certain losses may be subject to limits on liability imposed by the system provider, the market, the clearing house and/or member firms.  Such limits may vary: you should ask the firm with which you deal for details in this respect.</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11.</w:t>
        <w:tab/>
        <w:t>Electronic trading</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Trading on an electronic trading system may differ not only from trading  in an open-outcry market but also from trading on other electronic trading systems.  If you undertake transactions on an electronic trading system, you will be exposed to risks associated with the system including the failure of hardware and software.  The result of any system failure may be that your order is either not executed according to your instructions or is not executed at all.</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12.</w:t>
        <w:tab/>
        <w:t>Off-exchange transactions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t>In some jurisdictions, and only then in restricted circumstances, firms are permitted to effect off-exchange transactions.  The firm with which you deal may be acting as your counterparty to the transaction.  It may be difficult or impossible to liquidate an existing position, to assess the value, to determine a fair price or to assess the exposure to risk.  For these reasons, these transactions may involve increased risks.  Off-exchange transactions may be less regulated or subject to a separate regulatory regime.  Before you undertake such transactions, you should familiarise yourself with applicable rules and attendant risks.</w:t>
      </w:r>
    </w:p>
    <w:p>
      <w:pPr>
        <w:pStyle w:val="Normal"/>
        <w:tabs>
          <w:tab w:val="left" w:pos="720" w:leader="none"/>
          <w:tab w:val="left" w:pos="4230" w:leader="none"/>
          <w:tab w:val="left" w:pos="4410" w:leader="none"/>
        </w:tabs>
        <w:ind w:end="-25"/>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4230" w:leader="none"/>
          <w:tab w:val="left" w:pos="4410" w:leader="none"/>
        </w:tabs>
        <w:ind w:end="-25"/>
        <w:rPr>
          <w:rFonts w:ascii="Times New Roman" w:hAnsi="Times New Roman" w:cs="Times New Roman"/>
          <w:b/>
          <w:sz w:val="20"/>
        </w:rPr>
      </w:pPr>
      <w:r>
        <w:rPr>
          <w:rFonts w:cs="Times New Roman" w:ascii="Times New Roman" w:hAnsi="Times New Roman"/>
          <w:b/>
          <w:sz w:val="20"/>
        </w:rPr>
        <w:t xml:space="preserve">Please note that the firm is regulated in the United Kingdom by the Securities and Futures Authority and consequently: </w:t>
      </w:r>
    </w:p>
    <w:p>
      <w:pPr>
        <w:pStyle w:val="Normal"/>
        <w:tabs>
          <w:tab w:val="left" w:pos="720" w:leader="none"/>
          <w:tab w:val="left" w:pos="4230" w:leader="none"/>
          <w:tab w:val="left" w:pos="4410" w:leader="none"/>
        </w:tabs>
        <w:ind w:end="-25"/>
        <w:rPr>
          <w:rFonts w:ascii="Times New Roman" w:hAnsi="Times New Roman" w:cs="Times New Roman"/>
          <w:b/>
          <w:sz w:val="20"/>
        </w:rPr>
      </w:pPr>
      <w:r>
        <w:rPr>
          <w:rFonts w:cs="Times New Roman" w:ascii="Times New Roman" w:hAnsi="Times New Roman"/>
          <w:b/>
          <w:sz w:val="20"/>
        </w:rPr>
      </w:r>
    </w:p>
    <w:p>
      <w:pPr>
        <w:pStyle w:val="Normal"/>
        <w:tabs>
          <w:tab w:val="left" w:pos="720" w:leader="none"/>
          <w:tab w:val="left" w:pos="4230" w:leader="none"/>
          <w:tab w:val="left" w:pos="4410" w:leader="none"/>
        </w:tabs>
        <w:ind w:hanging="720" w:start="720" w:end="-25"/>
        <w:rPr/>
      </w:pPr>
      <w:r>
        <w:rPr>
          <w:rFonts w:cs="Times New Roman" w:ascii="Times New Roman" w:hAnsi="Times New Roman"/>
          <w:b/>
          <w:sz w:val="20"/>
        </w:rPr>
        <w:t>(a)</w:t>
        <w:tab/>
        <w:t xml:space="preserve">the marketing activities and the business arising from the marketing activities (which will be carried on through the UK office of the </w:t>
      </w:r>
      <w:r>
        <w:rPr>
          <w:rFonts w:cs="Times New Roman" w:ascii="Times New Roman" w:hAnsi="Times New Roman"/>
          <w:b/>
          <w:i/>
          <w:sz w:val="20"/>
        </w:rPr>
        <w:t>firm</w:t>
      </w:r>
      <w:r>
        <w:rPr>
          <w:rFonts w:cs="Times New Roman" w:ascii="Times New Roman" w:hAnsi="Times New Roman"/>
          <w:b/>
          <w:sz w:val="20"/>
        </w:rPr>
        <w:t>) will be subject to SFA’s rules;</w:t>
      </w:r>
    </w:p>
    <w:p>
      <w:pPr>
        <w:pStyle w:val="Normal"/>
        <w:tabs>
          <w:tab w:val="left" w:pos="720" w:leader="none"/>
          <w:tab w:val="left" w:pos="4230" w:leader="none"/>
          <w:tab w:val="left" w:pos="4410" w:leader="none"/>
        </w:tabs>
        <w:ind w:end="-25"/>
        <w:rPr>
          <w:rFonts w:ascii="Times New Roman" w:hAnsi="Times New Roman" w:cs="Times New Roman"/>
          <w:b/>
          <w:sz w:val="20"/>
        </w:rPr>
      </w:pPr>
      <w:r>
        <w:rPr>
          <w:rFonts w:cs="Times New Roman" w:ascii="Times New Roman" w:hAnsi="Times New Roman"/>
          <w:b/>
          <w:sz w:val="20"/>
        </w:rPr>
      </w:r>
    </w:p>
    <w:p>
      <w:pPr>
        <w:pStyle w:val="Normal"/>
        <w:tabs>
          <w:tab w:val="left" w:pos="720" w:leader="none"/>
          <w:tab w:val="left" w:pos="4230" w:leader="none"/>
          <w:tab w:val="left" w:pos="4410" w:leader="none"/>
        </w:tabs>
        <w:ind w:hanging="720" w:start="720" w:end="-25"/>
        <w:rPr/>
      </w:pPr>
      <w:r>
        <w:rPr>
          <w:rFonts w:cs="Times New Roman" w:ascii="Times New Roman" w:hAnsi="Times New Roman"/>
          <w:b/>
          <w:sz w:val="20"/>
        </w:rPr>
        <w:t>(b)</w:t>
        <w:tab/>
        <w:t xml:space="preserve">only SFA’s rules applicable to </w:t>
      </w:r>
      <w:r>
        <w:rPr>
          <w:rFonts w:cs="Times New Roman" w:ascii="Times New Roman" w:hAnsi="Times New Roman"/>
          <w:b/>
          <w:i/>
          <w:sz w:val="20"/>
        </w:rPr>
        <w:t>non-private customers</w:t>
      </w:r>
      <w:r>
        <w:rPr>
          <w:rFonts w:cs="Times New Roman" w:ascii="Times New Roman" w:hAnsi="Times New Roman"/>
          <w:b/>
          <w:sz w:val="20"/>
        </w:rPr>
        <w:t xml:space="preserve"> will apply to the business conducted on behalf of the </w:t>
      </w:r>
      <w:r>
        <w:rPr>
          <w:rFonts w:cs="Times New Roman" w:ascii="Times New Roman" w:hAnsi="Times New Roman"/>
          <w:b/>
          <w:i/>
          <w:sz w:val="20"/>
        </w:rPr>
        <w:t xml:space="preserve">customer </w:t>
      </w:r>
      <w:r>
        <w:rPr>
          <w:rFonts w:cs="Times New Roman" w:ascii="Times New Roman" w:hAnsi="Times New Roman"/>
          <w:b/>
          <w:sz w:val="20"/>
        </w:rPr>
        <w:t>(although segregation of client money will continue to apply);</w:t>
      </w:r>
    </w:p>
    <w:p>
      <w:pPr>
        <w:pStyle w:val="Normal"/>
        <w:tabs>
          <w:tab w:val="left" w:pos="720" w:leader="none"/>
          <w:tab w:val="left" w:pos="4230" w:leader="none"/>
          <w:tab w:val="left" w:pos="4410" w:leader="none"/>
        </w:tabs>
        <w:ind w:end="-25"/>
        <w:rPr>
          <w:rFonts w:ascii="Times New Roman" w:hAnsi="Times New Roman" w:cs="Times New Roman"/>
          <w:b/>
          <w:sz w:val="20"/>
        </w:rPr>
      </w:pPr>
      <w:r>
        <w:rPr>
          <w:rFonts w:cs="Times New Roman" w:ascii="Times New Roman" w:hAnsi="Times New Roman"/>
          <w:b/>
          <w:sz w:val="20"/>
        </w:rPr>
      </w:r>
    </w:p>
    <w:p>
      <w:pPr>
        <w:pStyle w:val="Normal"/>
        <w:tabs>
          <w:tab w:val="left" w:pos="720" w:leader="none"/>
          <w:tab w:val="left" w:pos="4230" w:leader="none"/>
          <w:tab w:val="left" w:pos="4410" w:leader="none"/>
        </w:tabs>
        <w:ind w:hanging="720" w:start="720" w:end="-25"/>
        <w:rPr/>
      </w:pPr>
      <w:r>
        <w:rPr>
          <w:rFonts w:cs="Times New Roman" w:ascii="Times New Roman" w:hAnsi="Times New Roman"/>
          <w:b/>
          <w:sz w:val="20"/>
        </w:rPr>
        <w:t>(c)</w:t>
        <w:tab/>
        <w:t xml:space="preserve">complaints as to the </w:t>
      </w:r>
      <w:r>
        <w:rPr>
          <w:rFonts w:cs="Times New Roman" w:ascii="Times New Roman" w:hAnsi="Times New Roman"/>
          <w:b/>
          <w:i/>
          <w:sz w:val="20"/>
        </w:rPr>
        <w:t>firm’s</w:t>
      </w:r>
      <w:r>
        <w:rPr>
          <w:rFonts w:cs="Times New Roman" w:ascii="Times New Roman" w:hAnsi="Times New Roman"/>
          <w:b/>
          <w:sz w:val="20"/>
        </w:rPr>
        <w:t xml:space="preserve"> conduct during its marketing activities in the US may be addressed to either the National Futures Association or SFA.</w:t>
      </w:r>
    </w:p>
    <w:p>
      <w:pPr>
        <w:pStyle w:val="Normal"/>
        <w:tabs>
          <w:tab w:val="left" w:pos="720" w:leader="none"/>
          <w:tab w:val="left" w:pos="4230" w:leader="none"/>
          <w:tab w:val="left" w:pos="4410" w:leader="none"/>
        </w:tabs>
        <w:ind w:hanging="720" w:start="720" w:end="-25"/>
        <w:rPr>
          <w:rFonts w:ascii="Times New Roman" w:hAnsi="Times New Roman" w:cs="Times New Roman"/>
          <w:b/>
          <w:sz w:val="20"/>
        </w:rPr>
      </w:pPr>
      <w:r>
        <w:rPr>
          <w:rFonts w:cs="Times New Roman" w:ascii="Times New Roman" w:hAnsi="Times New Roman"/>
          <w:b/>
          <w:sz w:val="20"/>
        </w:rPr>
      </w:r>
    </w:p>
    <w:tbl>
      <w:tblPr>
        <w:tblW w:w="4448" w:type="dxa"/>
        <w:jc w:val="start"/>
        <w:tblInd w:w="0" w:type="dxa"/>
        <w:tblLayout w:type="fixed"/>
        <w:tblCellMar>
          <w:top w:w="0" w:type="dxa"/>
          <w:start w:w="108" w:type="dxa"/>
          <w:bottom w:w="0" w:type="dxa"/>
          <w:end w:w="108" w:type="dxa"/>
        </w:tblCellMar>
      </w:tblPr>
      <w:tblGrid>
        <w:gridCol w:w="2224"/>
        <w:gridCol w:w="2224"/>
      </w:tblGrid>
      <w:tr>
        <w:trPr/>
        <w:tc>
          <w:tcPr>
            <w:tcW w:w="2224" w:type="dxa"/>
            <w:tcBorders/>
          </w:tcPr>
          <w:p>
            <w:pPr>
              <w:pStyle w:val="Normal"/>
              <w:tabs>
                <w:tab w:val="left" w:pos="720" w:leader="none"/>
                <w:tab w:val="left" w:pos="4230" w:leader="none"/>
                <w:tab w:val="left" w:pos="4410" w:leader="none"/>
              </w:tabs>
              <w:ind w:end="-25"/>
              <w:jc w:val="start"/>
              <w:rPr>
                <w:rFonts w:ascii="Times New Roman" w:hAnsi="Times New Roman" w:cs="Times New Roman"/>
                <w:sz w:val="20"/>
              </w:rPr>
            </w:pPr>
            <w:r>
              <w:rPr>
                <w:rFonts w:cs="Times New Roman" w:ascii="Times New Roman" w:hAnsi="Times New Roman"/>
                <w:sz w:val="20"/>
              </w:rPr>
              <w:t>Signature of Customer</w:t>
            </w:r>
          </w:p>
        </w:tc>
        <w:tc>
          <w:tcPr>
            <w:tcW w:w="2224" w:type="dxa"/>
            <w:tcBorders>
              <w:bottom w:val="single" w:sz="12" w:space="0" w:color="000000"/>
            </w:tcBorders>
          </w:tcPr>
          <w:p>
            <w:pPr>
              <w:pStyle w:val="Normal"/>
              <w:tabs>
                <w:tab w:val="left" w:pos="720" w:leader="none"/>
                <w:tab w:val="left" w:pos="4230" w:leader="none"/>
                <w:tab w:val="left" w:pos="4410" w:leader="none"/>
              </w:tabs>
              <w:snapToGrid w:val="false"/>
              <w:ind w:end="-25"/>
              <w:jc w:val="start"/>
              <w:rPr>
                <w:rFonts w:ascii="Times New Roman" w:hAnsi="Times New Roman" w:cs="Times New Roman"/>
                <w:sz w:val="20"/>
              </w:rPr>
            </w:pPr>
            <w:r>
              <w:rPr>
                <w:rFonts w:cs="Times New Roman" w:ascii="Times New Roman" w:hAnsi="Times New Roman"/>
                <w:sz w:val="20"/>
              </w:rPr>
            </w:r>
          </w:p>
        </w:tc>
      </w:tr>
      <w:tr>
        <w:trPr/>
        <w:tc>
          <w:tcPr>
            <w:tcW w:w="2224" w:type="dxa"/>
            <w:tcBorders/>
          </w:tcPr>
          <w:p>
            <w:pPr>
              <w:pStyle w:val="Normal"/>
              <w:tabs>
                <w:tab w:val="left" w:pos="720" w:leader="none"/>
                <w:tab w:val="left" w:pos="4230" w:leader="none"/>
                <w:tab w:val="left" w:pos="4410" w:leader="none"/>
              </w:tabs>
              <w:snapToGrid w:val="false"/>
              <w:ind w:end="-25"/>
              <w:jc w:val="start"/>
              <w:rPr>
                <w:rFonts w:ascii="Times New Roman" w:hAnsi="Times New Roman" w:cs="Times New Roman"/>
                <w:sz w:val="20"/>
              </w:rPr>
            </w:pPr>
            <w:r>
              <w:rPr>
                <w:rFonts w:cs="Times New Roman" w:ascii="Times New Roman" w:hAnsi="Times New Roman"/>
                <w:sz w:val="20"/>
              </w:rPr>
            </w:r>
          </w:p>
        </w:tc>
        <w:tc>
          <w:tcPr>
            <w:tcW w:w="2224" w:type="dxa"/>
            <w:tcBorders/>
          </w:tcPr>
          <w:p>
            <w:pPr>
              <w:pStyle w:val="Normal"/>
              <w:tabs>
                <w:tab w:val="left" w:pos="720" w:leader="none"/>
                <w:tab w:val="left" w:pos="4230" w:leader="none"/>
                <w:tab w:val="left" w:pos="4410" w:leader="none"/>
              </w:tabs>
              <w:snapToGrid w:val="false"/>
              <w:ind w:end="-25"/>
              <w:jc w:val="start"/>
              <w:rPr>
                <w:rFonts w:ascii="Times New Roman" w:hAnsi="Times New Roman" w:cs="Times New Roman"/>
                <w:sz w:val="20"/>
              </w:rPr>
            </w:pPr>
            <w:r>
              <w:rPr>
                <w:rFonts w:cs="Times New Roman" w:ascii="Times New Roman" w:hAnsi="Times New Roman"/>
                <w:sz w:val="20"/>
              </w:rPr>
            </w:r>
          </w:p>
        </w:tc>
      </w:tr>
      <w:tr>
        <w:trPr/>
        <w:tc>
          <w:tcPr>
            <w:tcW w:w="2224" w:type="dxa"/>
            <w:tcBorders/>
          </w:tcPr>
          <w:p>
            <w:pPr>
              <w:pStyle w:val="Normal"/>
              <w:tabs>
                <w:tab w:val="left" w:pos="720" w:leader="none"/>
                <w:tab w:val="left" w:pos="4230" w:leader="none"/>
                <w:tab w:val="left" w:pos="4410" w:leader="none"/>
              </w:tabs>
              <w:ind w:end="-25"/>
              <w:jc w:val="start"/>
              <w:rPr>
                <w:rFonts w:ascii="Times New Roman" w:hAnsi="Times New Roman" w:cs="Times New Roman"/>
                <w:sz w:val="20"/>
              </w:rPr>
            </w:pPr>
            <w:r>
              <w:rPr>
                <w:rFonts w:cs="Times New Roman" w:ascii="Times New Roman" w:hAnsi="Times New Roman"/>
                <w:sz w:val="20"/>
              </w:rPr>
              <w:t>Date</w:t>
            </w:r>
          </w:p>
        </w:tc>
        <w:tc>
          <w:tcPr>
            <w:tcW w:w="2224" w:type="dxa"/>
            <w:tcBorders>
              <w:bottom w:val="single" w:sz="12" w:space="0" w:color="000000"/>
            </w:tcBorders>
          </w:tcPr>
          <w:p>
            <w:pPr>
              <w:pStyle w:val="Normal"/>
              <w:tabs>
                <w:tab w:val="left" w:pos="720" w:leader="none"/>
                <w:tab w:val="left" w:pos="4230" w:leader="none"/>
                <w:tab w:val="left" w:pos="4410" w:leader="none"/>
              </w:tabs>
              <w:snapToGrid w:val="false"/>
              <w:ind w:end="-25"/>
              <w:jc w:val="start"/>
              <w:rPr>
                <w:rFonts w:ascii="Times New Roman" w:hAnsi="Times New Roman" w:cs="Times New Roman"/>
                <w:sz w:val="20"/>
              </w:rPr>
            </w:pPr>
            <w:r>
              <w:rPr>
                <w:rFonts w:cs="Times New Roman" w:ascii="Times New Roman" w:hAnsi="Times New Roman"/>
                <w:sz w:val="20"/>
              </w:rPr>
            </w:r>
          </w:p>
        </w:tc>
      </w:tr>
    </w:tbl>
    <w:p>
      <w:pPr>
        <w:sectPr>
          <w:type w:val="continuous"/>
          <w:pgSz w:w="11906" w:h="16838"/>
          <w:pgMar w:left="1008" w:right="1296" w:gutter="0" w:header="706" w:top="1440" w:footer="432" w:bottom="720"/>
          <w:cols w:num="2" w:space="706" w:equalWidth="true" w:sep="false"/>
          <w:formProt w:val="false"/>
          <w:titlePg/>
          <w:textDirection w:val="lrTb"/>
          <w:docGrid w:type="default" w:linePitch="360" w:charSpace="0"/>
        </w:sectPr>
      </w:pPr>
    </w:p>
    <w:p>
      <w:pPr>
        <w:pStyle w:val="Normal"/>
        <w:tabs>
          <w:tab w:val="left" w:pos="720" w:leader="none"/>
          <w:tab w:val="left" w:pos="4230" w:leader="none"/>
          <w:tab w:val="left" w:pos="4410" w:leader="none"/>
        </w:tabs>
        <w:ind w:end="-25"/>
        <w:jc w:val="end"/>
        <w:rPr>
          <w:rFonts w:ascii="Times New Roman" w:hAnsi="Times New Roman" w:cs="Times New Roman"/>
          <w:b/>
        </w:rPr>
      </w:pPr>
      <w:r>
        <w:rPr>
          <w:rFonts w:cs="Times New Roman" w:ascii="Times New Roman" w:hAnsi="Times New Roman"/>
        </w:rPr>
        <w:t>(8)</w:t>
      </w:r>
    </w:p>
    <w:p>
      <w:pPr>
        <w:pStyle w:val="Normal"/>
        <w:tabs>
          <w:tab w:val="left" w:pos="720" w:leader="none"/>
          <w:tab w:val="left" w:pos="4230" w:leader="none"/>
          <w:tab w:val="left" w:pos="4410" w:leader="none"/>
        </w:tabs>
        <w:ind w:end="-25"/>
        <w:jc w:val="center"/>
        <w:rPr>
          <w:rFonts w:ascii="Times New Roman" w:hAnsi="Times New Roman" w:cs="Times New Roman"/>
          <w:b/>
          <w:sz w:val="32"/>
          <w:u w:val="single"/>
        </w:rPr>
      </w:pPr>
      <w:r>
        <w:rPr>
          <w:rFonts w:cs="Times New Roman" w:ascii="Times New Roman" w:hAnsi="Times New Roman"/>
          <w:b/>
          <w:sz w:val="32"/>
          <w:u w:val="single"/>
        </w:rPr>
      </w:r>
    </w:p>
    <w:p>
      <w:pPr>
        <w:pStyle w:val="Normal"/>
        <w:tabs>
          <w:tab w:val="left" w:pos="720" w:leader="none"/>
          <w:tab w:val="left" w:pos="4230" w:leader="none"/>
          <w:tab w:val="left" w:pos="4410" w:leader="none"/>
        </w:tabs>
        <w:spacing w:lineRule="atLeast" w:line="360"/>
        <w:ind w:end="-25"/>
        <w:jc w:val="center"/>
        <w:rPr>
          <w:rFonts w:ascii="Times New Roman" w:hAnsi="Times New Roman" w:cs="Times New Roman"/>
          <w:b/>
          <w:sz w:val="32"/>
          <w:u w:val="single"/>
        </w:rPr>
      </w:pPr>
      <w:r>
        <w:rPr>
          <w:rFonts w:cs="Times New Roman" w:ascii="Times New Roman" w:hAnsi="Times New Roman"/>
          <w:b/>
          <w:sz w:val="32"/>
          <w:u w:val="single"/>
        </w:rPr>
        <w:t>RISK DISCLOSURE STATEMENT FOR UNITED STATES CUSTOMERS WHOSE FUNDS ARE NOT SEGREGATED AT THE LONDON METAL EXCHANGE</w:t>
      </w:r>
    </w:p>
    <w:p>
      <w:pPr>
        <w:pStyle w:val="Normal"/>
        <w:tabs>
          <w:tab w:val="left" w:pos="720" w:leader="none"/>
          <w:tab w:val="left" w:pos="4230" w:leader="none"/>
          <w:tab w:val="left" w:pos="4410" w:leader="none"/>
        </w:tabs>
        <w:ind w:end="-25"/>
        <w:rPr>
          <w:rFonts w:ascii="Times New Roman" w:hAnsi="Times New Roman" w:cs="Times New Roman"/>
          <w:b/>
          <w:sz w:val="32"/>
          <w:u w:val="single"/>
        </w:rPr>
      </w:pPr>
      <w:r>
        <w:rPr>
          <w:rFonts w:cs="Times New Roman" w:ascii="Times New Roman" w:hAnsi="Times New Roman"/>
          <w:b/>
          <w:sz w:val="32"/>
          <w:u w:val="single"/>
        </w:rPr>
      </w:r>
    </w:p>
    <w:p>
      <w:pPr>
        <w:pStyle w:val="Normal"/>
        <w:tabs>
          <w:tab w:val="left" w:pos="72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t>This firm offers United States customers for whom United Kingdom segregation is not required an alternative to United Kingdom segregation.  You should inquire as to the difference in the treatment of your account in the event of a firm insolvency under this alternative and under United Kingdom segregation.  Such information will be provided upon request.</w:t>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t>In particular, you should be aware that the alternative arrangement provides for the use of a bank bond in support of this firm's obligations to you, in lieu of actual segregation [and that the arrangements provide for payment in pounds sterling (rather than U.S. dollars)]*.</w:t>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t>*</w:t>
        <w:tab/>
        <w:t>omit if bond provides for payment in U.S. dollars.</w:t>
      </w:r>
    </w:p>
    <w:p>
      <w:pPr>
        <w:pStyle w:val="Normal"/>
        <w:tabs>
          <w:tab w:val="left" w:pos="720" w:leader="none"/>
          <w:tab w:val="left" w:pos="4230" w:leader="none"/>
          <w:tab w:val="left" w:pos="4410" w:leader="none"/>
        </w:tabs>
        <w:ind w:end="-25"/>
        <w:rPr>
          <w:rFonts w:ascii="Times New Roman" w:hAnsi="Times New Roman" w:cs="Times New Roman"/>
          <w:sz w:val="26"/>
        </w:rPr>
      </w:pPr>
      <w:r>
        <w:rPr>
          <w:rFonts w:cs="Times New Roman" w:ascii="Times New Roman" w:hAnsi="Times New Roman"/>
          <w:sz w:val="26"/>
        </w:rPr>
      </w:r>
      <w:r>
        <w:br w:type="page"/>
      </w:r>
    </w:p>
    <w:p>
      <w:pPr>
        <w:pStyle w:val="Normal"/>
        <w:tabs>
          <w:tab w:val="left" w:pos="720" w:leader="none"/>
          <w:tab w:val="left" w:pos="4230" w:leader="none"/>
          <w:tab w:val="left" w:pos="4410" w:leader="none"/>
        </w:tabs>
        <w:ind w:end="-25"/>
        <w:jc w:val="end"/>
        <w:rPr>
          <w:rFonts w:ascii="Times New Roman" w:hAnsi="Times New Roman" w:cs="Times New Roman"/>
        </w:rPr>
      </w:pPr>
      <w:r>
        <w:rPr>
          <w:rFonts w:cs="Times New Roman" w:ascii="Times New Roman" w:hAnsi="Times New Roman"/>
        </w:rPr>
        <w:t>(9)</w:t>
      </w:r>
    </w:p>
    <w:p>
      <w:pPr>
        <w:pStyle w:val="Normal"/>
        <w:tabs>
          <w:tab w:val="left" w:pos="720" w:leader="none"/>
          <w:tab w:val="left" w:pos="4230" w:leader="none"/>
          <w:tab w:val="left" w:pos="4410" w:leader="none"/>
        </w:tabs>
        <w:ind w:end="-25"/>
        <w:jc w:val="center"/>
        <w:rPr>
          <w:rFonts w:ascii="Times New Roman" w:hAnsi="Times New Roman" w:cs="Times New Roman"/>
          <w:b/>
          <w:u w:val="single"/>
        </w:rPr>
      </w:pPr>
      <w:r>
        <w:rPr>
          <w:rFonts w:cs="Times New Roman" w:ascii="Times New Roman" w:hAnsi="Times New Roman"/>
          <w:b/>
          <w:u w:val="single"/>
        </w:rPr>
        <w:t>EXPLANATORY STATEMENT FOR UNITED STATES</w:t>
      </w:r>
    </w:p>
    <w:p>
      <w:pPr>
        <w:pStyle w:val="Normal"/>
        <w:tabs>
          <w:tab w:val="left" w:pos="720" w:leader="none"/>
          <w:tab w:val="left" w:pos="4230" w:leader="none"/>
          <w:tab w:val="left" w:pos="4410" w:leader="none"/>
        </w:tabs>
        <w:ind w:end="-25"/>
        <w:jc w:val="center"/>
        <w:rPr>
          <w:rFonts w:ascii="Times New Roman" w:hAnsi="Times New Roman" w:cs="Times New Roman"/>
          <w:b/>
          <w:u w:val="single"/>
        </w:rPr>
      </w:pPr>
      <w:r>
        <w:rPr>
          <w:rFonts w:cs="Times New Roman" w:ascii="Times New Roman" w:hAnsi="Times New Roman"/>
          <w:b/>
          <w:u w:val="single"/>
        </w:rPr>
        <w:t>CUSTOMERS WHOSE FUNDS ARE NOT SEGREGATED IN</w:t>
      </w:r>
    </w:p>
    <w:p>
      <w:pPr>
        <w:pStyle w:val="Normal"/>
        <w:tabs>
          <w:tab w:val="left" w:pos="720" w:leader="none"/>
          <w:tab w:val="left" w:pos="4230" w:leader="none"/>
          <w:tab w:val="left" w:pos="4410" w:leader="none"/>
        </w:tabs>
        <w:ind w:end="-25"/>
        <w:jc w:val="center"/>
        <w:rPr>
          <w:rFonts w:ascii="Times New Roman" w:hAnsi="Times New Roman" w:cs="Times New Roman"/>
          <w:b/>
          <w:u w:val="single"/>
        </w:rPr>
      </w:pPr>
      <w:r>
        <w:rPr>
          <w:rFonts w:cs="Times New Roman" w:ascii="Times New Roman" w:hAnsi="Times New Roman"/>
          <w:b/>
          <w:u w:val="single"/>
        </w:rPr>
        <w:t>RESPECT OF LONDON METAL EXCHANGE TRANSACTIONS</w:t>
      </w:r>
    </w:p>
    <w:p>
      <w:pPr>
        <w:pStyle w:val="Normal"/>
        <w:tabs>
          <w:tab w:val="left" w:pos="720" w:leader="none"/>
          <w:tab w:val="left" w:pos="4230" w:leader="none"/>
          <w:tab w:val="left" w:pos="4410" w:leader="none"/>
        </w:tabs>
        <w:ind w:end="-25"/>
        <w:jc w:val="center"/>
        <w:rPr>
          <w:rFonts w:ascii="Times New Roman" w:hAnsi="Times New Roman" w:cs="Times New Roman"/>
          <w:b/>
          <w:u w:val="single"/>
        </w:rPr>
      </w:pPr>
      <w:r>
        <w:rPr>
          <w:rFonts w:cs="Times New Roman" w:ascii="Times New Roman" w:hAnsi="Times New Roman"/>
          <w:b/>
          <w:u w:val="single"/>
        </w:rPr>
      </w:r>
    </w:p>
    <w:p>
      <w:pPr>
        <w:pStyle w:val="Normal"/>
        <w:tabs>
          <w:tab w:val="left" w:pos="72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t>1.</w:t>
        <w:tab/>
        <w:t>This firm offers an alternative to United Kingdom segregation to those non-private customers who opt out of segregation (Client Money Rules) in respect of London Metal Exchange transactions.</w:t>
      </w:r>
    </w:p>
    <w:p>
      <w:pPr>
        <w:pStyle w:val="Normal"/>
        <w:tabs>
          <w:tab w:val="left" w:pos="72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r>
    </w:p>
    <w:p>
      <w:pPr>
        <w:pStyle w:val="Normal"/>
        <w:tabs>
          <w:tab w:val="left" w:pos="72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t>2.</w:t>
        <w:tab/>
        <w:t>This statement contains a brief description of the difference between this alternative treatment and United Kingdom segregation (Client Money Rules).</w:t>
      </w:r>
    </w:p>
    <w:p>
      <w:pPr>
        <w:pStyle w:val="Normal"/>
        <w:tabs>
          <w:tab w:val="left" w:pos="72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r>
    </w:p>
    <w:p>
      <w:pPr>
        <w:pStyle w:val="Normal"/>
        <w:tabs>
          <w:tab w:val="left" w:pos="72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t>3.</w:t>
        <w:tab/>
        <w:t>Under United Kingdom segregation (Client Money Rules):-</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(a)</w:t>
        <w:tab/>
        <w:t>Client money is held on trust and must be placed in a client bank account or a client transaction account with the clearing house or relevant intermediate broker.  (Thus, on a liquidation, this trust property should be available for return to customers whose funds are segregated and will not form part of the assets of the firm which can fall into the hands of a liquidator for distribution to the general body of creditors).</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(b)</w:t>
        <w:tab/>
        <w:t>Collateral must be held in safe custody, separate and distinct from the firm's own collateral and identifiable at all times.</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(c)</w:t>
        <w:tab/>
        <w:t>A firm is required to ensure that the aggregate of the balance on its client bank accounts, its client transaction accounts with the clearing house (and intermediate brokers) and the value of collateral held by it is not less than the aggregate of all segregated customers' equity balances and the value of collateral deposited.  If necessary, it must do this by using its own funds to cover shortfalls of margin not covered by its customers.</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 xml:space="preserve">(d) </w:t>
        <w:tab/>
        <w:t>In the event of the firm's insolvency and there is a shortfall in the amount of client money available for distribution to segregated customers, certain of the segregated customers may be allowed to claim on the central compensation fund ("Investors Compensation Scheme") established under the Financial Services Act up to a maximum entitlement of £48,000 per customer.</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t>4.</w:t>
        <w:tab/>
        <w:t>United States non-private customers who opt-out of United Kingdom segregation will be given the following alternative treatment:-</w:t>
      </w:r>
    </w:p>
    <w:p>
      <w:pPr>
        <w:pStyle w:val="Normal"/>
        <w:tabs>
          <w:tab w:val="left" w:pos="720" w:leader="none"/>
          <w:tab w:val="left" w:pos="144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(a)</w:t>
        <w:tab/>
        <w:t>The firm will maintain in respect of them a bank bond in an amount equivalent to the aggregate of the amount of net unrealised profit on forward positions in respect of London Metal Exchange transactions.</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(b)</w:t>
        <w:tab/>
        <w:t>A bank bond may be for an individual customer of the firm or for the firm's United States non-segregated customers generally.</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(c)</w:t>
        <w:tab/>
        <w:t>Where a bank bond is for the benefit of the firm's United States non-segregated customers generally, it will be in favour of a trustee for such customers under a trust constituted by a Trust Deed.  The bond may be for U.S. Dollars or for Sterling or such other currency as the trustee may approve with the consent of SFA.  If you would like a copy of the Trust Deed, to which a specimen bond is attached, you should ask the firm for one.</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(d)</w:t>
        <w:tab/>
        <w:t>There may be an upper limit upon the level of cover which a firm is required to provide by way of bank bonds.  The firm can advise you if there is such a limit and tell you what level of cover it actually provides.</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(e)</w:t>
        <w:tab/>
        <w:t>The bank bond(s) for the benefit of the firm's United States non-segregated customers generally may only be enforced by the trustee.  Furthermore, the bank bond(s) may in certain circumstances be replaced (possibly by bank bonds of lesser value) and will be capable of being terminated on notice or on a fixed date (whereupon the firm would be obliged to obtain a replacement bank bond or make alternative arrangements, e.g. segregate).</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(f)</w:t>
        <w:tab/>
        <w:t>Once recovered, the proceeds of a bank bond in favour of trustee are to be distributed in accordance with the trust deed.  This provides, after deduction of costs, for rateable payments to United States customers who have opted out of segregation and are not beneficiaries under another bank bond or similar guarantee taken out pursuant to these alternative arrangements.  Any excess funds are to be returned to the relevant bank(s).</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(g)</w:t>
        <w:tab/>
        <w:t>Customers who opt-out of segregation are not entitled to claim on the central compensation funds established under the Financial Services Act of the United Kingdom.</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t>5.</w:t>
        <w:tab/>
        <w:t>This brief statement cannot disclose all the differences between United Kingdom segregation (Client Money Rules) and the alternative arrangement.  You should consider your position carefully under the bank bond arrangement, and if necessary consult your professional advisers.</w:t>
      </w:r>
    </w:p>
    <w:p>
      <w:pPr>
        <w:pStyle w:val="Normal"/>
        <w:tabs>
          <w:tab w:val="left" w:pos="720" w:leader="none"/>
          <w:tab w:val="left" w:pos="1440" w:leader="none"/>
          <w:tab w:val="left" w:pos="4230" w:leader="none"/>
          <w:tab w:val="left" w:pos="4410" w:leader="none"/>
        </w:tabs>
        <w:ind w:hanging="720" w:start="720" w:end="-25"/>
        <w:rPr>
          <w:rFonts w:ascii="Times New Roman" w:hAnsi="Times New Roman" w:cs="Times New Roman"/>
        </w:rPr>
      </w:pPr>
      <w:r>
        <w:rPr>
          <w:rFonts w:cs="Times New Roman" w:ascii="Times New Roman" w:hAnsi="Times New Roman"/>
        </w:rPr>
      </w:r>
      <w:r>
        <w:br w:type="page"/>
      </w:r>
    </w:p>
    <w:p>
      <w:pPr>
        <w:pStyle w:val="Normal"/>
        <w:tabs>
          <w:tab w:val="left" w:pos="720" w:leader="none"/>
          <w:tab w:val="left" w:pos="1440" w:leader="none"/>
          <w:tab w:val="left" w:pos="4230" w:leader="none"/>
          <w:tab w:val="left" w:pos="4410" w:leader="none"/>
        </w:tabs>
        <w:ind w:end="-25"/>
        <w:jc w:val="end"/>
        <w:rPr>
          <w:rFonts w:ascii="Times New Roman" w:hAnsi="Times New Roman" w:cs="Times New Roman"/>
        </w:rPr>
      </w:pPr>
      <w:r>
        <w:rPr>
          <w:rFonts w:cs="Times New Roman" w:ascii="Times New Roman" w:hAnsi="Times New Roman"/>
        </w:rPr>
        <w:t>(10)</w:t>
      </w:r>
    </w:p>
    <w:p>
      <w:pPr>
        <w:pStyle w:val="Normal"/>
        <w:tabs>
          <w:tab w:val="left" w:pos="720" w:leader="none"/>
          <w:tab w:val="left" w:pos="1440" w:leader="none"/>
          <w:tab w:val="left" w:pos="4230" w:leader="none"/>
          <w:tab w:val="left" w:pos="4410" w:leader="none"/>
        </w:tabs>
        <w:ind w:end="-25"/>
        <w:jc w:val="end"/>
        <w:rPr>
          <w:rFonts w:ascii="Times New Roman" w:hAnsi="Times New Roman" w:cs="Times New Roman"/>
        </w:rPr>
      </w:pPr>
      <w:r>
        <w:rPr>
          <w:rFonts w:cs="Times New Roman" w:ascii="Times New Roman" w:hAnsi="Times New Roman"/>
        </w:rPr>
        <w:t>July 21, 1993</w:t>
      </w:r>
    </w:p>
    <w:p>
      <w:pPr>
        <w:pStyle w:val="Normal"/>
        <w:tabs>
          <w:tab w:val="left" w:pos="720" w:leader="none"/>
          <w:tab w:val="left" w:pos="1440" w:leader="none"/>
          <w:tab w:val="left" w:pos="4230" w:leader="none"/>
          <w:tab w:val="left" w:pos="4410" w:leader="none"/>
        </w:tabs>
        <w:ind w:end="-25"/>
        <w:jc w:val="end"/>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jc w:val="center"/>
        <w:rPr>
          <w:rFonts w:ascii="Times New Roman" w:hAnsi="Times New Roman" w:cs="Times New Roman"/>
          <w:b/>
          <w:u w:val="single"/>
        </w:rPr>
      </w:pPr>
      <w:r>
        <w:rPr>
          <w:rFonts w:cs="Times New Roman" w:ascii="Times New Roman" w:hAnsi="Times New Roman"/>
          <w:b/>
          <w:u w:val="single"/>
        </w:rPr>
        <w:t>DIVISION OF TRADING AND MARKETS ADVISORY</w:t>
      </w:r>
    </w:p>
    <w:p>
      <w:pPr>
        <w:pStyle w:val="Normal"/>
        <w:tabs>
          <w:tab w:val="left" w:pos="720" w:leader="none"/>
          <w:tab w:val="left" w:pos="1440" w:leader="none"/>
          <w:tab w:val="left" w:pos="4230" w:leader="none"/>
          <w:tab w:val="left" w:pos="4410" w:leader="none"/>
        </w:tabs>
        <w:ind w:end="-25"/>
        <w:jc w:val="center"/>
        <w:rPr>
          <w:rFonts w:ascii="Times New Roman" w:hAnsi="Times New Roman" w:cs="Times New Roman"/>
          <w:b/>
          <w:u w:val="single"/>
        </w:rPr>
      </w:pPr>
      <w:r>
        <w:rPr>
          <w:rFonts w:cs="Times New Roman" w:ascii="Times New Roman" w:hAnsi="Times New Roman"/>
          <w:b/>
          <w:u w:val="single"/>
        </w:rPr>
      </w:r>
    </w:p>
    <w:p>
      <w:pPr>
        <w:pStyle w:val="Normal"/>
        <w:tabs>
          <w:tab w:val="left" w:pos="720" w:leader="none"/>
          <w:tab w:val="left" w:pos="1440" w:leader="none"/>
          <w:tab w:val="left" w:pos="4230" w:leader="none"/>
          <w:tab w:val="left" w:pos="4410" w:leader="none"/>
        </w:tabs>
        <w:ind w:end="-25"/>
        <w:jc w:val="center"/>
        <w:rPr>
          <w:rFonts w:ascii="Times New Roman" w:hAnsi="Times New Roman" w:cs="Times New Roman"/>
          <w:b/>
        </w:rPr>
      </w:pPr>
      <w:r>
        <w:rPr>
          <w:rFonts w:cs="Times New Roman" w:ascii="Times New Roman" w:hAnsi="Times New Roman"/>
          <w:b/>
        </w:rPr>
        <w:t>PROCEDURES FOR FIRMS APPLYING FOR CONFIRMATION OF EXEMPTIVE</w:t>
      </w:r>
    </w:p>
    <w:p>
      <w:pPr>
        <w:pStyle w:val="Normal"/>
        <w:tabs>
          <w:tab w:val="left" w:pos="720" w:leader="none"/>
          <w:tab w:val="left" w:pos="1440" w:leader="none"/>
          <w:tab w:val="left" w:pos="4230" w:leader="none"/>
          <w:tab w:val="left" w:pos="4410" w:leader="none"/>
        </w:tabs>
        <w:ind w:end="-25"/>
        <w:jc w:val="center"/>
        <w:rPr>
          <w:rFonts w:ascii="Times New Roman" w:hAnsi="Times New Roman" w:cs="Times New Roman"/>
          <w:b/>
        </w:rPr>
      </w:pPr>
      <w:r>
        <w:rPr>
          <w:rFonts w:cs="Times New Roman" w:ascii="Times New Roman" w:hAnsi="Times New Roman"/>
          <w:b/>
        </w:rPr>
        <w:t>RELIEF UNDER COMMODITY FUTURES TRADING COMMISSION RULE 30.10</w:t>
      </w:r>
    </w:p>
    <w:p>
      <w:pPr>
        <w:pStyle w:val="Normal"/>
        <w:tabs>
          <w:tab w:val="left" w:pos="720" w:leader="none"/>
          <w:tab w:val="left" w:pos="1440" w:leader="none"/>
          <w:tab w:val="left" w:pos="4230" w:leader="none"/>
          <w:tab w:val="left" w:pos="4410" w:leader="none"/>
        </w:tabs>
        <w:ind w:end="-25"/>
        <w:jc w:val="center"/>
        <w:rPr>
          <w:rFonts w:ascii="Times New Roman" w:hAnsi="Times New Roman" w:cs="Times New Roman"/>
          <w:b/>
        </w:rPr>
      </w:pPr>
      <w:r>
        <w:rPr>
          <w:rFonts w:cs="Times New Roman" w:ascii="Times New Roman" w:hAnsi="Times New Roman"/>
          <w:b/>
        </w:rPr>
        <w:t>WHICH HAVE AFFILIATES OR SUBSIDIARIES IN THE UNITED STATES</w:t>
      </w:r>
    </w:p>
    <w:p>
      <w:pPr>
        <w:pStyle w:val="Normal"/>
        <w:tabs>
          <w:tab w:val="left" w:pos="720" w:leader="none"/>
          <w:tab w:val="left" w:pos="1440" w:leader="none"/>
          <w:tab w:val="left" w:pos="4230" w:leader="none"/>
          <w:tab w:val="left" w:pos="4410" w:leader="none"/>
        </w:tabs>
        <w:ind w:end="-25"/>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t>Commodity Futures Trading Commission (Commission) rule 30.10 allows the Commission to exempt a foreign firm which solicits or accepts orders for foreign futures and foreign option transactions from customers located in the United States from the application of certain Commission rules and obligations, including registration and financial requirements, based upon substituted compliance by the firm with comparable regulatory requirements imposed by the home-country regulator.</w:t>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t>Rule 30.10 relief is applicable only to firms that are located outside the United States.  In that connection, the Division of Trading and Markets (Division) previously has determined that the existence of, among other things, a U.S. affiliate or subsidiary will not cause firms to be deemed located in the United States for the purposes of Part 30 relief.  However, a foreign firm which has an affiliate or subsidiary in the U.S. which is a bank, broker dealer or a dealer in a cash commodity (</w:t>
      </w:r>
      <w:r>
        <w:rPr>
          <w:rFonts w:cs="Times New Roman" w:ascii="Times New Roman" w:hAnsi="Times New Roman"/>
          <w:u w:val="single"/>
        </w:rPr>
        <w:t>i.e.,</w:t>
      </w:r>
      <w:r>
        <w:rPr>
          <w:rFonts w:cs="Times New Roman" w:ascii="Times New Roman" w:hAnsi="Times New Roman"/>
        </w:rPr>
        <w:t xml:space="preserve"> firms in the U.S. which operate in a related capacity to the applicant and which may be likely to solicit or introduce customers to the applicant) will be eligible for rule 30.10 relief only if certain procedural requirements are complied with.  These procedural requirements were intended to ensure that an affiliate or subsidiary of a rule 30.10 applicant understood that notwithstanding the granting of relief to the foreign firm, such relief did not permit the U.S. affiliate or subsidiary to solicit U.S. customers, and to facilitate the Commission's ability to monitor for compliance with such conditions.  The requirements include the filing of certain representations and undertakings, particularly with regard to access to books and records, by all affiliates acting in a related capacity and, in certain limited circumstances, the registration of affiliated broker-dealers as introducing brokers.</w:t>
      </w:r>
      <w:r>
        <w:rPr>
          <w:rStyle w:val="FootnoteCharacters"/>
          <w:rStyle w:val="FootnoteReference"/>
        </w:rPr>
        <w:footnoteReference w:id="2"/>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pPr>
      <w:r>
        <w:rPr>
          <w:rFonts w:cs="Times New Roman" w:ascii="Times New Roman" w:hAnsi="Times New Roman"/>
        </w:rPr>
        <w:t>In the absence of the no-action relief described above, many firms which had affiliates or subsidiaries in the United States would have been ineligible for rule 30.10 relief, thereby narrowing the class of foreign firms eligible for rule 30.10 relief and negating the benefits envisioned by rule 30.10 (</w:t>
      </w:r>
      <w:r>
        <w:rPr>
          <w:rFonts w:cs="Times New Roman" w:ascii="Times New Roman" w:hAnsi="Times New Roman"/>
          <w:u w:val="single"/>
        </w:rPr>
        <w:t>i.e.,</w:t>
      </w:r>
      <w:r>
        <w:rPr>
          <w:rFonts w:cs="Times New Roman" w:ascii="Times New Roman" w:hAnsi="Times New Roman"/>
        </w:rPr>
        <w:t xml:space="preserve"> facilitating cross-border transactions).  As the part 30 rules were only recently adopted, the Division proceeded cautiously in issuing no-action relief that permitted a broader class of firms to operate under rule 30.10 relief.1</w:t>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Style w:val="FootnoteCharacters"/>
          <w:rStyle w:val="FootnoteReference"/>
        </w:rPr>
        <w:footnoteReference w:id="3"/>
      </w:r>
      <w:r>
        <w:rPr>
          <w:rFonts w:cs="Times New Roman" w:ascii="Times New Roman" w:hAnsi="Times New Roman"/>
        </w:rPr>
        <w:t xml:space="preserve">  </w:t>
      </w:r>
      <w:r>
        <w:rPr>
          <w:rFonts w:cs="Times New Roman" w:ascii="Times New Roman" w:hAnsi="Times New Roman"/>
        </w:rPr>
        <w:t>However, as the Commission has recognised in its order permitting limited marketing activities by rule 30.10 exempt firms in the United States, policies established under one set of circumstances may not necessarily be appropriate in light of a change of circumstances (such as a positive operational history under the rule 30.10 and the absence of any problems with the program.</w:t>
      </w:r>
      <w:r>
        <w:rPr>
          <w:rStyle w:val="FootnoteCharacters"/>
          <w:rStyle w:val="FootnoteReference"/>
        </w:rPr>
        <w:footnoteReference w:id="4"/>
      </w:r>
      <w:r>
        <w:rPr>
          <w:rFonts w:cs="Times New Roman" w:ascii="Times New Roman" w:hAnsi="Times New Roman"/>
        </w:rPr>
        <w:t>)  Accordingly, in view of the more than five years experience with rule 30.10 and the absence of any problems with the program, the development of effective working relationships with relevant foreign regulatory bodies, as well as the Commission's on-going initiative to re-evaluate its programs in order to eliminate burdensome or unnecessary requirements, the Division similarly has reassessed the requirements to be followed by applicants for rule 30.10 relief which have affiliates or subsidiaries in the United States.</w:t>
      </w:r>
      <w:r>
        <w:rPr>
          <w:rStyle w:val="FootnoteCharacters"/>
          <w:rStyle w:val="FootnoteReference"/>
        </w:rPr>
        <w:footnoteReference w:id="5"/>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t>The Division believes that the Commission's customer protection mandate can be effectively maintained by requiring only the applicant foreign firm to make certain representations as set forth below with respect to the operations of its U.S. subsidiaries or affiliates.  Thus, under the new procedures, subsidiaries or affiliates of applicants for rule 30.10 relief will no longer be required to file any documents or register with the Commission (unless, of course, such entities intend to engage in activities requiring registration).</w:t>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t>Accordingly, a foreign firm will be eligible for rule 30.10 relief notwithstanding the existence in the United States of a separately incorporated affiliate or subsidiary of the applicant which engages in a related activity, if the following procedural requirements are met.</w:t>
      </w:r>
      <w:r>
        <w:rPr>
          <w:rStyle w:val="FootnoteCharacters"/>
          <w:rStyle w:val="FootnoteReference"/>
        </w:rPr>
        <w:footnoteReference w:id="6"/>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t>As part of the rule 30.10 application to the Commission, such applicant must:</w:t>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pPr>
      <w:r>
        <w:rPr>
          <w:rFonts w:cs="Times New Roman" w:ascii="Times New Roman" w:hAnsi="Times New Roman"/>
        </w:rPr>
        <w:tab/>
        <w:t>(a)</w:t>
        <w:tab/>
        <w:t>identify the name and location of any affiliate or subsidiary in the United States which acts in a related capacity (</w:t>
      </w:r>
      <w:r>
        <w:rPr>
          <w:rFonts w:cs="Times New Roman" w:ascii="Times New Roman" w:hAnsi="Times New Roman"/>
          <w:u w:val="single"/>
        </w:rPr>
        <w:t>i.e.,</w:t>
      </w:r>
      <w:r>
        <w:rPr>
          <w:rFonts w:cs="Times New Roman" w:ascii="Times New Roman" w:hAnsi="Times New Roman"/>
        </w:rPr>
        <w:t xml:space="preserve"> a bank, broker-dealer, or dealer in a cash commodity).</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(b)</w:t>
        <w:tab/>
        <w:t>represent that the applicant will not accept any futures-related business from any of its affiliates or subsidiaries in the United States (other than a proprietary account of the affiliate or subsidiary), unless such entities are registered in the appropriate capacity; and</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tab/>
        <w:t>(c)</w:t>
        <w:tab/>
        <w:t>represent that it has informed its bank, broker-dealer and dealer in cash commodity affiliates or subsidiaries in writing that they may not introduce to, or solicit futures business on behalf of, the applicant, unless such entities are registered in the appropriate capacity.</w:t>
      </w:r>
    </w:p>
    <w:p>
      <w:pPr>
        <w:pStyle w:val="Normal"/>
        <w:tabs>
          <w:tab w:val="left" w:pos="720" w:leader="none"/>
          <w:tab w:val="left" w:pos="1440" w:leader="none"/>
          <w:tab w:val="left" w:pos="4230" w:leader="none"/>
          <w:tab w:val="left" w:pos="4410" w:leader="none"/>
        </w:tabs>
        <w:ind w:hanging="1440" w:start="1440"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t>In this connection, the Division notes that firms with confirmed rule 30.10 relief are under an existing obligation to co-operate consistent with agreed procedures in connection with any inquiry the Commission may have with respect to transactions subject to Part 30 (which would include dealings between the rule 30.10 firm and any of its U.S. affiliates or subsidiaries).</w:t>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t>These requirements will be effective as of the date of this Advisory to all new applicants for rule 30.10 relief.  Firms with confirmed rule 30.10 relief may elect either to maintain the existing affiliate or subsidiary representations they had submitted or comply with the terms of this Advisory, in which case the representations previously filed by the relevant affiliates or subsidiaries will be deemed withdrawn.  In the case of affiliates or subsidiaries which had been required to register as introductory brokers, such registration (and associated representations) may either be maintained or, subject to compliance with the terms of this Advisory by the firm having confirmed rule 30.10 relief, withdrawn.</w:t>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230" w:leader="none"/>
          <w:tab w:val="left" w:pos="4410" w:leader="none"/>
        </w:tabs>
        <w:ind w:end="-25"/>
        <w:rPr>
          <w:rFonts w:ascii="Times New Roman" w:hAnsi="Times New Roman" w:cs="Times New Roman"/>
        </w:rPr>
      </w:pPr>
      <w:r>
        <w:rPr>
          <w:rFonts w:cs="Times New Roman" w:ascii="Times New Roman" w:hAnsi="Times New Roman"/>
        </w:rPr>
        <w:t>Firms with pending applications may elect to follow the procedures previously in effect, or may file representations pursuant to this Advisory.  All firms with pending applications for confirmation of relief under rule 30.10 must notify the Division within thirty days herein as to their election.</w:t>
      </w:r>
    </w:p>
    <w:sectPr>
      <w:headerReference w:type="even" r:id="rId8"/>
      <w:headerReference w:type="default" r:id="rId9"/>
      <w:footerReference w:type="even" r:id="rId10"/>
      <w:footerReference w:type="default" r:id="rId11"/>
      <w:footnotePr>
        <w:numFmt w:val="decimal"/>
        <w:numRestart w:val="eachSect"/>
      </w:footnotePr>
      <w:type w:val="nextPage"/>
      <w:pgSz w:w="11906" w:h="16838"/>
      <w:pgMar w:left="1008" w:right="1296" w:gutter="0" w:header="706" w:top="762"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i/>
        <w:i/>
        <w:sz w:val="12"/>
      </w:rPr>
    </w:pPr>
    <w:r>
      <w:rPr>
        <w:rFonts w:cs="Times New Roman" w:ascii="Times New Roman" w:hAnsi="Times New Roman"/>
        <w:i/>
        <w:sz w:val="12"/>
      </w:rPr>
      <w:t>s:internat\mp\cftc\30(10)</w:t>
    </w:r>
  </w:p>
  <w:p>
    <w:pPr>
      <w:pStyle w:val="Footer"/>
      <w:rPr>
        <w:rFonts w:ascii="Times New Roman" w:hAnsi="Times New Roman" w:cs="Times New Roman"/>
        <w:i/>
        <w:i/>
        <w:sz w:val="12"/>
      </w:rPr>
    </w:pPr>
    <w:r>
      <w:rPr>
        <w:rFonts w:cs="Times New Roman" w:ascii="Times New Roman" w:hAnsi="Times New Roman"/>
        <w:i/>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i/>
        <w:i/>
        <w:sz w:val="12"/>
      </w:rPr>
    </w:pPr>
    <w:r>
      <w:rPr>
        <w:rFonts w:cs="Times New Roman" w:ascii="Times New Roman" w:hAnsi="Times New Roman"/>
        <w:i/>
        <w:sz w:val="12"/>
      </w:rPr>
      <w:t>s:internat\mp\cftc\30(10)</w:t>
    </w:r>
  </w:p>
  <w:p>
    <w:pPr>
      <w:pStyle w:val="Footer"/>
      <w:rPr>
        <w:rFonts w:ascii="Times New Roman" w:hAnsi="Times New Roman" w:cs="Times New Roman"/>
        <w:i/>
        <w:i/>
        <w:sz w:val="12"/>
      </w:rPr>
    </w:pPr>
    <w:r>
      <w:rPr>
        <w:rFonts w:cs="Times New Roman" w:ascii="Times New Roman" w:hAnsi="Times New Roman"/>
        <w:i/>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i/>
        <w:i/>
        <w:sz w:val="12"/>
      </w:rPr>
    </w:pPr>
    <w:r>
      <w:rPr>
        <w:rFonts w:cs="Times New Roman" w:ascii="Times New Roman" w:hAnsi="Times New Roman"/>
        <w:i/>
        <w:sz w:val="12"/>
      </w:rPr>
      <w:t>s:internat\mp\cftc\30(10)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i/>
        <w:i/>
        <w:sz w:val="12"/>
      </w:rPr>
    </w:pPr>
    <w:r>
      <w:rPr>
        <w:rFonts w:cs="Times New Roman" w:ascii="Times New Roman" w:hAnsi="Times New Roman"/>
        <w:i/>
        <w:sz w:val="12"/>
      </w:rPr>
      <w:t>s:internat\mp\cftc\30(10)</w:t>
    </w:r>
  </w:p>
  <w:p>
    <w:pPr>
      <w:pStyle w:val="Footer"/>
      <w:rPr>
        <w:rFonts w:ascii="Times New Roman" w:hAnsi="Times New Roman" w:cs="Times New Roman"/>
        <w:i/>
        <w:i/>
        <w:sz w:val="12"/>
      </w:rPr>
    </w:pPr>
    <w:r>
      <w:rPr>
        <w:rFonts w:cs="Times New Roman" w:ascii="Times New Roman" w:hAnsi="Times New Roman"/>
        <w:i/>
        <w:sz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i/>
        <w:i/>
        <w:sz w:val="12"/>
      </w:rPr>
    </w:pPr>
    <w:r>
      <w:rPr>
        <w:rFonts w:cs="Times New Roman" w:ascii="Times New Roman" w:hAnsi="Times New Roman"/>
        <w:i/>
        <w:sz w:val="12"/>
      </w:rPr>
      <w:t>s:internat\mp\cftc\30(10)</w:t>
    </w:r>
  </w:p>
  <w:p>
    <w:pPr>
      <w:pStyle w:val="Footer"/>
      <w:rPr>
        <w:rFonts w:ascii="Times New Roman" w:hAnsi="Times New Roman" w:cs="Times New Roman"/>
        <w:i/>
        <w:i/>
        <w:sz w:val="12"/>
      </w:rPr>
    </w:pPr>
    <w:r>
      <w:rPr>
        <w:rFonts w:cs="Times New Roman" w:ascii="Times New Roman" w:hAnsi="Times New Roman"/>
        <w:i/>
        <w:sz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See e.g.,</w:t>
      </w:r>
      <w:r>
        <w:rPr/>
        <w:t xml:space="preserve"> Interpretation Letter No. 88-3 (1987-1990 Transfer Binder) Comm. Fut. L. Rep. (CCH) 24,085 (January 15, 1989); Interpretative Letter No. 89-5 [1987-1990 Transfer Binder] Comm. Fut. L. Rep. 24,471 (December 8, 1988); and Interpretative Letter No. 89-10 [1987-1990 Transfer Binder] Comm. Fut. L. Rep. (CCH) 24,497 (July 27, 1989).</w:t>
      </w:r>
    </w:p>
  </w:footnote>
  <w:footnote w:id="3">
    <w:p>
      <w:pPr>
        <w:pStyle w:val="FootnoteText"/>
        <w:rPr/>
      </w:pPr>
      <w:r>
        <w:rPr>
          <w:rStyle w:val="FootnoteCharacters"/>
        </w:rPr>
        <w:footnoteRef/>
      </w:r>
      <w:r>
        <w:rPr/>
      </w:r>
    </w:p>
    <w:p>
      <w:pPr>
        <w:pStyle w:val="FootnoteText"/>
        <w:rPr/>
      </w:pPr>
      <w:r>
        <w:rPr>
          <w:rStyle w:val="FootnoteCharacters"/>
        </w:rPr>
        <w:t>?</w:t>
      </w:r>
      <w:r>
        <w:rPr/>
        <w:t xml:space="preserve"> The Commission previously has commented that it has proceeded cautiously in the implementation of a new program which could implicate the customer protections accorded United States customers.  </w:t>
      </w:r>
      <w:r>
        <w:rPr>
          <w:u w:val="single"/>
        </w:rPr>
        <w:t>See, e.g.,</w:t>
      </w:r>
      <w:r>
        <w:rPr/>
        <w:t xml:space="preserve"> 57 FR 49644, 49,645  (November 3, 1992).</w:t>
      </w:r>
    </w:p>
  </w:footnote>
  <w:footnote w:id="4">
    <w:p>
      <w:pPr>
        <w:pStyle w:val="FootnoteText"/>
        <w:rPr/>
      </w:pPr>
      <w:r>
        <w:rPr>
          <w:rStyle w:val="FootnoteCharacters"/>
        </w:rPr>
        <w:footnoteRef/>
      </w:r>
      <w:r>
        <w:rPr/>
      </w:r>
    </w:p>
    <w:p>
      <w:pPr>
        <w:pStyle w:val="FootnoteText"/>
        <w:rPr/>
      </w:pPr>
      <w:r>
        <w:rPr>
          <w:rStyle w:val="FootnoteCharacters"/>
        </w:rPr>
        <w:t>?</w:t>
      </w:r>
      <w:r>
        <w:rPr/>
        <w:t xml:space="preserve"> </w:t>
      </w:r>
      <w:r>
        <w:rPr>
          <w:u w:val="single"/>
        </w:rPr>
        <w:t>Id.</w:t>
      </w:r>
    </w:p>
  </w:footnote>
  <w:footnote w:id="5">
    <w:p>
      <w:pPr>
        <w:pStyle w:val="FootnoteText"/>
        <w:rPr/>
      </w:pPr>
      <w:r>
        <w:rPr>
          <w:rStyle w:val="FootnoteCharacters"/>
        </w:rPr>
        <w:footnoteRef/>
      </w:r>
      <w:r>
        <w:rPr/>
      </w:r>
    </w:p>
    <w:p>
      <w:pPr>
        <w:pStyle w:val="FootnoteText"/>
        <w:rPr/>
      </w:pPr>
      <w:r>
        <w:rPr>
          <w:rStyle w:val="FootnoteCharacters"/>
        </w:rPr>
        <w:t>?</w:t>
      </w:r>
      <w:r>
        <w:rPr/>
        <w:t xml:space="preserve"> This reassessment and revision of procedure for rule 30.10 exemption does not in any way affect or limit the Commission's existing enforcement jurisdiction with respect to entities that may be engaging without registration in activities subject to regulation.  The Division further notes that the inability of the Commission to obtain relevant information concerning the activities of a subsidiary or affiliate of a rule 30.10 exempt firm may provide a basis for the Commission to withdraw such exemption.</w:t>
      </w:r>
    </w:p>
  </w:footnote>
  <w:footnote w:id="6">
    <w:p>
      <w:pPr>
        <w:pStyle w:val="FootnoteText"/>
        <w:rPr/>
      </w:pPr>
      <w:r>
        <w:rPr>
          <w:rStyle w:val="FootnoteCharacters"/>
        </w:rPr>
        <w:footnoteRef/>
      </w:r>
      <w:r>
        <w:rPr/>
      </w:r>
    </w:p>
    <w:p>
      <w:pPr>
        <w:pStyle w:val="FootnoteText"/>
        <w:rPr/>
      </w:pPr>
      <w:r>
        <w:rPr>
          <w:rStyle w:val="FootnoteCharacters"/>
        </w:rPr>
        <w:t>?</w:t>
      </w:r>
      <w:r>
        <w:rPr/>
        <w:t xml:space="preserve"> These procedures apply only with respect to affiliates and subsidiaries of an applicant for rule 30.10 relief.  Applicants which have an unincorporated division or branch office in the United States will continue to be required to obtain separate no-action relief from the Division.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rPr>
    </w:pPr>
    <w:r>
      <w:rPr>
        <w:rFonts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100"/>
  <w:defaultTabStop w:val="720"/>
  <w:autoHyphenation w:val="true"/>
  <w:hyphenationZone w:val="0"/>
  <w:evenAndOddHeaders/>
  <w:footnotePr>
    <w:numFmt w:val="decimal"/>
    <w:numRestart w:val="eachSect"/>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jc w:val="both"/>
    </w:pPr>
    <w:rPr>
      <w:rFonts w:ascii="Bookman;Bookman Old Style" w:hAnsi="Bookman;Bookman Old Style" w:eastAsia="Times New Roman" w:cs="Bookman;Bookman Old Style"/>
      <w:color w:val="auto"/>
      <w:sz w:val="24"/>
      <w:szCs w:val="20"/>
      <w:lang w:val="en-GB"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lockText">
    <w:name w:val="Block Text"/>
    <w:basedOn w:val="Normal"/>
    <w:qFormat/>
    <w:pPr>
      <w:tabs>
        <w:tab w:val="clear" w:pos="720"/>
        <w:tab w:val="left" w:pos="576" w:leader="none"/>
        <w:tab w:val="left" w:pos="1170"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ind w:hanging="1728" w:start="1170" w:end="-25"/>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93" w:leader="none"/>
        <w:tab w:val="right" w:pos="938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2000-08-25T11:02:00Z</dcterms:created>
  <dc:creator>Rosie Braybrooks</dc:creator>
  <dc:description/>
  <dc:language>en-CA</dc:language>
  <cp:lastModifiedBy>jmchenry</cp:lastModifiedBy>
  <cp:lastPrinted>1999-05-24T16:34:00Z</cp:lastPrinted>
  <dcterms:modified xsi:type="dcterms:W3CDTF">2000-08-25T11:02:00Z</dcterms:modified>
  <cp:revision>2</cp:revision>
  <dc:subject>plus related documents</dc:subject>
  <dc:title>CFTC Part 30 Exemption Order</dc:title>
</cp:coreProperties>
</file>