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end="-1586"/>
        <w:rPr/>
      </w:pPr>
      <w:r>
        <w:rPr/>
        <w:t>Enron Europe Limited Legal Department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20" w:end="-1586"/>
        <w:jc w:val="center"/>
        <w:rPr>
          <w:b/>
          <w:sz w:val="16"/>
        </w:rPr>
      </w:pPr>
      <w:r>
        <w:rPr>
          <w:b/>
          <w:sz w:val="16"/>
        </w:rPr>
        <w:t xml:space="preserve">Bi-Monthly Update Report 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20" w:end="-1586"/>
        <w:jc w:val="center"/>
        <w:rPr>
          <w:b/>
          <w:sz w:val="16"/>
        </w:rPr>
      </w:pPr>
      <w:r>
        <w:rPr>
          <w:b/>
          <w:sz w:val="16"/>
        </w:rPr>
        <w:t>30 June 1999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20" w:end="-1586"/>
        <w:rPr>
          <w:sz w:val="16"/>
          <w:u w:val="single"/>
        </w:rPr>
      </w:pPr>
      <w:r>
        <w:rPr>
          <w:sz w:val="16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1"/>
        <w:ind w:end="-1586"/>
        <w:rPr/>
      </w:pPr>
      <w:r>
        <w:rPr/>
        <w:t>SIGNIFICANT TRANSACTIONS / MATTERS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20" w:end="-1586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1.</w:t>
        <w:tab/>
        <w:t>Jertovec Power Station Project, Croatia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Dan Badger/Eric Shaw/Scott Sefton/Marcus von Bock/Alan Black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Update:</w:t>
        <w:tab/>
        <w:t>- capacity-tolling agreement signed; site agreement being drafted; permit and concession issues being negotiated; financing commencing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20" w:end="-1586"/>
        <w:rPr>
          <w:sz w:val="15"/>
        </w:rPr>
      </w:pPr>
      <w:r>
        <w:rPr>
          <w:sz w:val="15"/>
        </w:rPr>
        <w:t>2.</w:t>
        <w:tab/>
        <w:t>Arcos de la Frontera power project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20" w:end="-1586"/>
        <w:rPr>
          <w:sz w:val="15"/>
        </w:rPr>
      </w:pPr>
      <w:r>
        <w:rPr>
          <w:sz w:val="15"/>
        </w:rPr>
        <w:tab/>
        <w:t>-  Stewart Seeligson/Dan Badger/John Chappell/Robert Books/Jon Chapman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20" w:end="-1586"/>
        <w:rPr>
          <w:sz w:val="15"/>
        </w:rPr>
      </w:pPr>
      <w:r>
        <w:rPr>
          <w:sz w:val="15"/>
        </w:rPr>
        <w:tab/>
        <w:t>-  Update:</w:t>
        <w:tab/>
        <w:t>- consenting issues being addressed; construction contract being drafted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2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09" w:end="-1586"/>
        <w:rPr>
          <w:sz w:val="15"/>
        </w:rPr>
      </w:pPr>
      <w:r>
        <w:rPr>
          <w:sz w:val="15"/>
        </w:rPr>
        <w:t>3.</w:t>
        <w:tab/>
        <w:t>Combined Energy Companies (400MW gas-fired power project in Romania)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09" w:end="-1586"/>
        <w:rPr>
          <w:sz w:val="15"/>
        </w:rPr>
      </w:pPr>
      <w:r>
        <w:rPr>
          <w:sz w:val="15"/>
        </w:rPr>
        <w:tab/>
        <w:t>-  Eric Shaw/Marcus von Bock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09" w:end="-1586"/>
        <w:rPr>
          <w:sz w:val="15"/>
        </w:rPr>
      </w:pPr>
      <w:r>
        <w:rPr>
          <w:sz w:val="15"/>
        </w:rPr>
        <w:tab/>
        <w:t>-  Update:</w:t>
        <w:tab/>
        <w:t>- due diligence underway; Joint Development Agreement executed; PPA under negotiation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09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4.</w:t>
        <w:tab/>
        <w:t>Watershed Equity Selldown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Robina Barker-Bennett/Mark Evans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Update:</w:t>
        <w:tab/>
        <w:t>- scheduled to close by end July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5.</w:t>
        <w:tab/>
        <w:t>Project Repeat (Sutton Bridge Power sale)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Eric Gadd/Paul Chivers/Anna Briggs/Jon Chapman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Update:</w:t>
        <w:tab/>
        <w:t>- information memorandum being prepared and deal being structured with equity investors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6.</w:t>
        <w:tab/>
        <w:t>Riverside 3 refinancing (Riverside 6)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Treasa Kirby/Mark Evans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/>
      </w:pPr>
      <w:r>
        <w:rPr>
          <w:sz w:val="15"/>
        </w:rPr>
        <w:tab/>
        <w:t>-  Update:</w:t>
        <w:tab/>
        <w:t>- bond terms finalised; closing scheduled for 16</w:t>
      </w:r>
      <w:r>
        <w:rPr>
          <w:sz w:val="15"/>
          <w:vertAlign w:val="superscript"/>
        </w:rPr>
        <w:t>th</w:t>
      </w:r>
      <w:r>
        <w:rPr>
          <w:sz w:val="15"/>
        </w:rPr>
        <w:t xml:space="preserve"> July 1999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7.</w:t>
        <w:tab/>
        <w:t>IPE (possible acquisition of minority interest)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John Sherriff/Michael Brown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Update:</w:t>
        <w:tab/>
        <w:t>- conditional offer submitted and provisionally accepted by IPE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8.</w:t>
        <w:tab/>
        <w:t>Project Neon (new turbine at gas plant)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Matthew Schrimshaw/Ian Clifford/Jon Chapman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Update:</w:t>
        <w:tab/>
        <w:t>- Section 14 consent now received; construction contracts being put in place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9.</w:t>
        <w:tab/>
        <w:t>Project Margaux (European power fund)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Paul Chivers/Mark Evans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Update:</w:t>
        <w:tab/>
        <w:t>- due diligence phase commencing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clear" w:pos="720"/>
          <w:tab w:val="left" w:pos="-360" w:leader="none"/>
          <w:tab w:val="left" w:pos="630" w:leader="none"/>
        </w:tabs>
        <w:ind w:hanging="1350" w:start="720" w:end="-1586"/>
        <w:jc w:val="center"/>
        <w:rPr>
          <w:b/>
          <w:sz w:val="15"/>
        </w:rPr>
      </w:pPr>
      <w:r>
        <w:rPr>
          <w:b/>
          <w:sz w:val="15"/>
        </w:rPr>
        <w:t>OTHER TRANSACTIONS / MATTERS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20" w:end="-1586"/>
        <w:rPr>
          <w:sz w:val="15"/>
        </w:rPr>
      </w:pPr>
      <w:r>
        <w:rPr>
          <w:sz w:val="15"/>
        </w:rPr>
        <w:t>1.</w:t>
        <w:tab/>
        <w:t xml:space="preserve">CATS litigation appeal 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20" w:end="-1586"/>
        <w:rPr>
          <w:sz w:val="15"/>
        </w:rPr>
      </w:pPr>
      <w:r>
        <w:rPr>
          <w:sz w:val="15"/>
        </w:rPr>
        <w:tab/>
        <w:t>- Richard Harper/Mary Nell Browning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2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2.</w:t>
        <w:tab/>
        <w:t>Kent Power Limited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David Lewis/Tani Nath/Andy Foote/Jon Chapman/Alan Black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09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09" w:end="-1586"/>
        <w:rPr>
          <w:sz w:val="15"/>
        </w:rPr>
      </w:pPr>
      <w:r>
        <w:rPr>
          <w:sz w:val="15"/>
        </w:rPr>
        <w:t>3.</w:t>
        <w:tab/>
        <w:t>Foreign Corrupt Practices Act, anti-boycott and export control/sanctions laws (development of compliance programme)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09" w:end="-1586"/>
        <w:rPr>
          <w:sz w:val="15"/>
        </w:rPr>
      </w:pPr>
      <w:r>
        <w:rPr>
          <w:sz w:val="15"/>
        </w:rPr>
        <w:tab/>
        <w:t>-  Mary Nell Browning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start="-709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4.</w:t>
        <w:tab/>
        <w:t>Mersin Power Project (CCGT plant in Turkey)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Mike Austell/Marcus von Bock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5.</w:t>
        <w:tab/>
        <w:t>External agent licence (Spain)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Eric Gonzales/Mark Schroeder/Mark Elliott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6.</w:t>
        <w:tab/>
        <w:t>ISD passport application (Belgium)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Mark Elliott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7.</w:t>
        <w:tab/>
        <w:t>Development of financial swaps on APX and third party physical contracts on APX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Roy Poyntz/Ross Sankey/Reuben Maltby/Mark Elliott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8.</w:t>
        <w:tab/>
        <w:t>Development of physical power GTCs (Spain)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Octavio Soler Bach/Mark Elliott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9.</w:t>
        <w:tab/>
        <w:t>Bandwith Trading due diligence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Harry Collins/Mark Elliott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10.</w:t>
        <w:tab/>
        <w:t>Turkish power plant development (Knightsbrook)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Mike Austell/Mark Evans/Alan Black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11.</w:t>
        <w:tab/>
        <w:t>Saga Petroleum ASA (£40m pre-paid gas swap)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Nigel Friend/Paul Simons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12.</w:t>
        <w:tab/>
        <w:t>ETOL coal sale agreement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Stu Staley/Matthew Scrimshaw/Robert Quick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13.</w:t>
        <w:tab/>
        <w:t>Spanish Storage (Cartagena) (acquisition of long term storage for fuel oil)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Ron Irvine/Robert Quick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14.</w:t>
        <w:tab/>
        <w:t>GM Petroleum (proposed JVs for marketing of physical product in Spain)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Ron Irvine/Ross Koller/Robert Quick/Jon Chapman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15.</w:t>
        <w:tab/>
        <w:t>EnergyDesk.com (marketing of software and click &amp; trade)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Dave Samuels/Marcus von Bock/Alan Black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16.</w:t>
        <w:tab/>
        <w:t>Trading credit derivatives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Eklavya Sareen/Soma Ghosh/Paul Simons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17.</w:t>
        <w:tab/>
        <w:t>Turkmen fuel oil purchase and transportation with the State Trade Corporation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Goran Novakovic/Graham Cane/Paul Simons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18.</w:t>
        <w:tab/>
        <w:t>Enrici Reorganisation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Janine Juggins/Mark Evans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19.</w:t>
        <w:tab/>
        <w:t>Paladin JV (acquisition of gas field from ARCO)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Jay Hellums/Mark Evans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20.</w:t>
        <w:tab/>
        <w:t>ETOL (new gas pipeline and condensing turbine projects)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Andy McLeod/John Bone/Colin Telfer/Paul Verrill/Jon Chapman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21.</w:t>
        <w:tab/>
        <w:t>Internet trading project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Louise Kitchen/Scott Sefton/Justin Boyd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22.</w:t>
        <w:tab/>
        <w:t>Enron Energy Services (Trillium: Goldman Sachs Department of Social Services Properties)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Ron Bertasi/Jimmie Williams/Mary Nell Browning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23.</w:t>
        <w:tab/>
        <w:t>Voimatori Oy (financial power plant project)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 Jukka Hormalouma/Matt Landy/Martin Rosell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24.</w:t>
        <w:tab/>
        <w:t>Torreal (co-operation agreement with Spanish investor)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 Stewart Seeligson/Jon Chapman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25.</w:t>
        <w:tab/>
        <w:t>Energy Plus (end-user gas and power trading arrangements)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Dave Forster/Jon Chapman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/>
      </w:pPr>
      <w:r>
        <w:rPr>
          <w:sz w:val="15"/>
        </w:rPr>
        <w:t>26.</w:t>
        <w:tab/>
        <w:t>Kotkan Energia Oy (long-term volumetric power swap)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Magnus Groth/Jonathan Pietila/Martin Rosell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27.</w:t>
        <w:tab/>
        <w:t>Demirŏren Turkish autogeneration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 Mike Austell/Marcus von Bock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28.</w:t>
        <w:tab/>
        <w:t>Iskenderun Turkish autogeneration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Mike Austell/Marcus von Bock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/>
      </w:pPr>
      <w:r>
        <w:rPr>
          <w:sz w:val="15"/>
        </w:rPr>
        <w:t>29.</w:t>
        <w:tab/>
        <w:t>Enron Energy Services (Torpy: acquisition of minority share)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Mary Nell Browning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30.</w:t>
        <w:tab/>
        <w:t>Sage CHP tender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David Smith/Michael Brown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31.</w:t>
        <w:tab/>
        <w:t>Solvay (Bulgarian power plant tender)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Mike Austell/Michael Brown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32.</w:t>
        <w:tab/>
        <w:t>Developing documentation and infrastructure for Italian power trading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Mariano Gentilini/Fabio Greco/Paul Simons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33.</w:t>
        <w:tab/>
        <w:t>Edison Mission (6 year UK power nominations agreement)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Rob Bayley/Paul Simons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>34.</w:t>
        <w:tab/>
        <w:t>Dutch derivatives exemption filing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  <w:tab/>
        <w:t>-  Paul Simons</w:t>
      </w:r>
    </w:p>
    <w:p>
      <w:pPr>
        <w:pStyle w:val="Normal"/>
        <w:tabs>
          <w:tab w:val="left" w:pos="-360" w:leader="none"/>
          <w:tab w:val="left" w:pos="540" w:leader="none"/>
          <w:tab w:val="left" w:pos="720" w:leader="none"/>
        </w:tabs>
        <w:ind w:hanging="360" w:start="-360" w:end="-1586"/>
        <w:rPr>
          <w:sz w:val="15"/>
        </w:rPr>
      </w:pPr>
      <w:r>
        <w:rPr>
          <w:sz w:val="15"/>
        </w:rPr>
      </w:r>
    </w:p>
    <w:sectPr>
      <w:headerReference w:type="default" r:id="rId2"/>
      <w:footerReference w:type="default" r:id="rId3"/>
      <w:type w:val="nextPage"/>
      <w:pgSz w:w="11906" w:h="16838"/>
      <w:pgMar w:left="1304" w:right="1985" w:gutter="0" w:header="567" w:top="623" w:footer="289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/mnt/main-storage/datasets/enron-docs/doc/30June99.doc</w:t>
    </w:r>
    <w:r>
      <w:rPr>
        <w:sz w:val="14"/>
      </w:rPr>
      <w:fldChar w:fldCharType="end"/>
    </w:r>
    <w:r>
      <w:rPr>
        <w:sz w:val="14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-1445"/>
      <w:jc w:val="end"/>
      <w:rPr>
        <w:b/>
        <w:sz w:val="18"/>
      </w:rPr>
    </w:pPr>
    <w:r>
      <w:rPr>
        <w:b/>
        <w:sz w:val="18"/>
      </w:rPr>
      <w:t>PRIVILEGED &amp; CONFIDENTIAL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 (W1);Times New Roman" w:hAnsi="CG Times (W1);Times New Roman" w:eastAsia="Times New Roman" w:cs="CG Times (W1);Times New Roman"/>
      <w:color w:val="auto"/>
      <w:sz w:val="24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-360" w:leader="none"/>
        <w:tab w:val="left" w:pos="540" w:leader="none"/>
        <w:tab w:val="left" w:pos="720" w:leader="none"/>
      </w:tabs>
      <w:ind w:hanging="0" w:start="-720" w:end="-1445"/>
      <w:jc w:val="center"/>
      <w:outlineLvl w:val="0"/>
    </w:pPr>
    <w:rPr>
      <w:b/>
      <w:sz w:val="16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left" w:pos="-360" w:leader="none"/>
        <w:tab w:val="left" w:pos="360" w:leader="none"/>
        <w:tab w:val="left" w:pos="540" w:leader="none"/>
        <w:tab w:val="left" w:pos="720" w:leader="none"/>
      </w:tabs>
      <w:ind w:hanging="0" w:start="-720" w:end="0"/>
      <w:jc w:val="center"/>
    </w:pPr>
    <w:rPr>
      <w:b/>
      <w:sz w:val="16"/>
    </w:rPr>
  </w:style>
  <w:style w:type="paragraph" w:styleId="BodyText">
    <w:name w:val="Body Text"/>
    <w:basedOn w:val="Normal"/>
    <w:pPr>
      <w:tabs>
        <w:tab w:val="left" w:pos="-426" w:leader="none"/>
        <w:tab w:val="left" w:pos="-360" w:leader="none"/>
        <w:tab w:val="left" w:pos="720" w:leader="none"/>
      </w:tabs>
    </w:pPr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-360" w:leader="none"/>
      </w:tabs>
      <w:ind w:hanging="1" w:start="-284" w:end="0"/>
    </w:pPr>
    <w:rPr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1999-07-02T06:56:00Z</dcterms:created>
  <dc:creator>Unknown</dc:creator>
  <dc:description/>
  <dc:language>en-CA</dc:language>
  <cp:lastModifiedBy>Meagan Brinkworth</cp:lastModifiedBy>
  <cp:lastPrinted>1999-07-02T16:21:00Z</cp:lastPrinted>
  <dcterms:modified xsi:type="dcterms:W3CDTF">1999-07-02T13:19:00Z</dcterms:modified>
  <cp:revision>5</cp:revision>
  <dc:subject/>
  <dc:title>ENRON EUROPE LIMITED</dc:title>
</cp:coreProperties>
</file>