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emf" ContentType="image/x-emf"/>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720" w:after="240"/>
        <w:rPr/>
      </w:pPr>
      <w:bookmarkStart w:id="0" w:name="ReturnHere"/>
      <w:bookmarkEnd w:id="0"/>
      <w:r>
        <w:rPr/>
        <w:fldChar w:fldCharType="begin"/>
      </w:r>
      <w:r>
        <w:rPr/>
        <w:instrText xml:space="preserve"> TITLE </w:instrText>
      </w:r>
      <w:r>
        <w:rPr/>
        <w:fldChar w:fldCharType="separate"/>
      </w:r>
      <w:r>
        <w:rPr/>
        <w:t>Microsoft's Vega Project: Matt MacLellan's Decision</w:t>
      </w:r>
      <w:r>
        <w:rPr/>
        <w:fldChar w:fldCharType="end"/>
      </w:r>
    </w:p>
    <w:p>
      <w:pPr>
        <w:pStyle w:val="Normal"/>
        <w:rPr/>
      </w:pPr>
      <w:r>
        <w:rPr/>
        <w:t>Faced with Matt MacLellan’s lack of personal fulfillment in his management role, coupled with his desire to write software as a developer, Jim Kaplan decided to fully support his protégé’s career transition at Microsoft.  He presented MacLellan with two alternatives:  he could start a new job as a Software Design Engineer (SDE) at Level 33—the same level he was at as program manager for the Vega project—or he could recognize that his software writing skills were less developed and drop down to Level 32.  (He felt a drop of more than one classification would be too demotivating.)</w:t>
      </w:r>
    </w:p>
    <w:p>
      <w:pPr>
        <w:pStyle w:val="Normal"/>
        <w:rPr/>
      </w:pPr>
      <w:r>
        <w:rPr/>
        <w:t>“</w:t>
      </w:r>
      <w:r>
        <w:rPr/>
        <w:t>Dropping a level would allow us to reward his trajectory in engineering as he caught back up in the new discipline,” explained Kaplan.  “He could get two thumbs-up right away at a performance review.”  At Level 32, Kaplan told MacLellan that, while he could hold his salary the same, his stock option eligibility would be significantly less.  Alternatively, if he opted to remain at Level 33, both his salary and stock option grant eligibility would remain the same, but it was very likely that it would take him longer to achieve a desirable performance review rating.</w:t>
      </w:r>
    </w:p>
    <w:p>
      <w:pPr>
        <w:pStyle w:val="Normal"/>
        <w:rPr/>
      </w:pPr>
      <w:r>
        <w:rPr/>
        <w:t>After listening to Kaplan’s warning that opting for the higher level position would almost certainly lead to some early semiannual performance evaluations that were fairly negative, MacLellan decided that he wanted to remain at Level 33.  “It was important to Matt personally to retain his level,” said Kaplan.  “And for him, it was a better growth motivator.”</w:t>
      </w:r>
    </w:p>
    <w:p>
      <w:pPr>
        <w:pStyle w:val="Normal"/>
        <w:rPr/>
      </w:pPr>
      <w:r>
        <w:rPr/>
        <w:t>In March 1998, MacLellan was brought on as a senior SDE on a special project.  In keeping with Microsoft tradition, Kaplan assigned John Weil, an experienced Microsoft veteran, to act as MacLellan’s mentor.  Weil, who was a Level 35 SDE, coached MacLellan on more advanced software development skills.  Predictably, at his first two performance reviews MacLellan received a 3.0 rating, regarded as marginal performance within Microsoft, and far below the 4.0 and even one 4.5 rating he received as a program manager.  But he was climbing the learning curve and, according to Kaplan, his performance was at least “satisfactory” for Level 33.</w:t>
      </w:r>
    </w:p>
    <w:p>
      <w:pPr>
        <w:pStyle w:val="BodyTextIndent"/>
        <w:rPr/>
      </w:pPr>
      <w:r>
        <w:rPr/>
        <w:t>After Weil had retired, MacLellan took on the leadership role for the project’s software development, and was able to leverage his previous management experience to get the group through its first major milestone.  “He’s been very effective in his new role and is doing really well,” said Kaplan.  “After 18 months on the job, he got his first two thumbs-up rating.”</w:t>
      </w:r>
      <w:r>
        <w:br w:type="page"/>
      </w:r>
    </w:p>
    <w:p>
      <w:pPr>
        <w:pStyle w:val="BodyTextIndent"/>
        <w:rPr/>
      </w:pPr>
      <w:r>
        <w:rPr/>
        <w:t>Commented Kaplan:</w:t>
      </w:r>
    </w:p>
    <w:p>
      <w:pPr>
        <w:pStyle w:val="QUOTE"/>
        <w:rPr/>
      </w:pPr>
      <w:r>
        <w:rPr/>
        <w:t>I created a huge development opportunity for an employee who was ready to leave.  My object was to develop the employee, so when he realized he was a carpenter and not a general contractor, I put him on a long-term trajectory that has worked very, very well for him.  And there was no issue with Microsoft.  It took me two cycles as a manager to get him on the right track and ask all of the right questions to put him in that position.  But now he’s a happy guy.  It’s good for him, good for Microsoft.</w:t>
      </w:r>
    </w:p>
    <w:p>
      <w:pPr>
        <w:pStyle w:val="Normal"/>
        <w:rPr/>
      </w:pPr>
      <w:r>
        <w:rPr/>
      </w:r>
    </w:p>
    <w:p>
      <w:pPr>
        <w:pStyle w:val="Normal"/>
        <w:spacing w:before="120" w:after="1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UTHOR"/>
      <w:pBdr>
        <w:top w:val="single" w:sz="6" w:space="4" w:color="000000"/>
      </w:pBdr>
      <w:spacing w:before="120" w:after="0"/>
      <w:ind w:hanging="0" w:start="0" w:end="0"/>
      <w:rPr/>
    </w:pPr>
    <w:r>
      <w:rPr/>
      <w:t>Professor Christopher A. Bartlett and Research Associate Meg Wozny prepared this case as the basis for class discussion rather than to illustrate either effective or ineffective handling of an administrative situation.  It is a supplement to Microsoft’s Vega Project: Developing People and Products, HBS No. 300-004.</w:t>
    </w:r>
  </w:p>
  <w:p>
    <w:pPr>
      <w:pStyle w:val="COPYRIGHT"/>
      <w:rPr/>
    </w:pPr>
    <w:r>
      <w:rPr/>
      <w:t>Copyright © 2000 by the President and Fellows of Harvard College.  To order copies or request permission to reproduce materials, call 1-800-545-7685, write Harvard Business School Publishing, Boston, MA 02163, or go to http://www.hbsp.harvard.edu.  No part of this publication may be reproduced, stored in a retrieval system, used in a spreadsheet, or transmitted in any form or by any means—electronic, mechanical, photocopying, recording, or otherwise—without the permission of Harvard Business School.</w:t>
    </w:r>
  </w:p>
  <w:p>
    <w:pPr>
      <w:pStyle w:val="footerR"/>
      <w:spacing w:before="80" w:after="120"/>
      <w:jc w:val="end"/>
      <w:rPr/>
    </w:pP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301-002</w:t>
    </w:r>
    <w:r>
      <w:rPr/>
      <w:fldChar w:fldCharType="end"/>
    </w:r>
    <w:r>
      <w:rPr/>
      <w:tab/>
    </w:r>
    <w:r>
      <w:rPr/>
      <w:fldChar w:fldCharType="begin"/>
    </w:r>
    <w:r>
      <w:rPr/>
      <w:instrText xml:space="preserve"> TITLE </w:instrText>
    </w:r>
    <w:r>
      <w:rPr/>
      <w:fldChar w:fldCharType="separate"/>
    </w:r>
    <w:r>
      <w:rPr/>
      <w:t>Microsoft's Vega Project: Matt MacLellan's Decision</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Microsoft's Vega Project: Matt MacLellan's Decision</w:t>
    </w:r>
    <w:r>
      <w:rPr/>
      <w:fldChar w:fldCharType="end"/>
    </w:r>
    <w:r>
      <w:rPr/>
      <w:tab/>
    </w:r>
    <w:r>
      <w:rPr/>
      <w:fldChar w:fldCharType="begin"/>
    </w:r>
    <w:r>
      <w:rPr/>
      <w:instrText xml:space="preserve"> SUBJECT </w:instrText>
    </w:r>
    <w:r>
      <w:rPr/>
      <w:fldChar w:fldCharType="separate"/>
    </w:r>
    <w:r>
      <w:rPr/>
      <w:t>301-002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90" w:type="dxa"/>
      <w:jc w:val="start"/>
      <w:tblInd w:w="0" w:type="dxa"/>
      <w:tblLayout w:type="fixed"/>
      <w:tblCellMar>
        <w:top w:w="0" w:type="dxa"/>
        <w:start w:w="0" w:type="dxa"/>
        <w:bottom w:w="0" w:type="dxa"/>
        <w:end w:w="0" w:type="dxa"/>
      </w:tblCellMar>
    </w:tblPr>
    <w:tblGrid>
      <w:gridCol w:w="1094"/>
      <w:gridCol w:w="3766"/>
      <w:gridCol w:w="4130"/>
    </w:tblGrid>
    <w:tr>
      <w:trPr/>
      <w:tc>
        <w:tcPr>
          <w:tcW w:w="1094" w:type="dxa"/>
          <w:tcBorders>
            <w:top w:val="single" w:sz="18" w:space="0" w:color="000000"/>
          </w:tcBorders>
        </w:tcPr>
        <w:p>
          <w:pPr>
            <w:pStyle w:val="Shield"/>
            <w:spacing w:before="120" w:after="0"/>
            <w:rPr/>
          </w:pPr>
          <w:r>
            <w:rPr/>
            <w:drawing>
              <wp:inline distT="0" distB="0" distL="0" distR="0">
                <wp:extent cx="542925" cy="6623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542925" cy="662305"/>
                        </a:xfrm>
                        <a:prstGeom prst="rect">
                          <a:avLst/>
                        </a:prstGeom>
                        <a:noFill/>
                      </pic:spPr>
                    </pic:pic>
                  </a:graphicData>
                </a:graphic>
              </wp:inline>
            </w:drawing>
          </w:r>
        </w:p>
      </w:tc>
      <w:tc>
        <w:tcPr>
          <w:tcW w:w="3766" w:type="dxa"/>
          <w:tcBorders>
            <w:top w:val="single" w:sz="18" w:space="0" w:color="000000"/>
          </w:tcBorders>
        </w:tcPr>
        <w:p>
          <w:pPr>
            <w:pStyle w:val="Header"/>
            <w:spacing w:before="40" w:after="0"/>
            <w:jc w:val="start"/>
            <w:rPr/>
          </w:pPr>
          <w:r>
            <w:rPr/>
            <w:t>Harvard Business School</w:t>
          </w:r>
        </w:p>
      </w:tc>
      <w:tc>
        <w:tcPr>
          <w:tcW w:w="4130" w:type="dxa"/>
          <w:tcBorders>
            <w:top w:val="single" w:sz="18" w:space="0" w:color="000000"/>
          </w:tcBorders>
        </w:tcPr>
        <w:p>
          <w:pPr>
            <w:pStyle w:val="controlnumber"/>
            <w:numPr>
              <w:ilvl w:val="0"/>
              <w:numId w:val="0"/>
            </w:numPr>
            <w:spacing w:before="40" w:after="0"/>
            <w:jc w:val="end"/>
            <w:rPr/>
          </w:pPr>
          <w:r>
            <w:rPr/>
            <w:fldChar w:fldCharType="begin"/>
          </w:r>
          <w:r>
            <w:rPr/>
            <w:instrText xml:space="preserve"> KEYWORDS </w:instrText>
          </w:r>
          <w:r>
            <w:rPr/>
            <w:fldChar w:fldCharType="separate"/>
          </w:r>
          <w:r>
            <w:rPr/>
            <w:t>N9-</w:t>
          </w:r>
          <w:r>
            <w:rPr/>
            <w:fldChar w:fldCharType="end"/>
          </w:r>
          <w:r>
            <w:rPr/>
            <w:fldChar w:fldCharType="begin"/>
          </w:r>
          <w:r>
            <w:rPr/>
            <w:instrText xml:space="preserve"> SUBJECT </w:instrText>
          </w:r>
          <w:r>
            <w:rPr/>
            <w:fldChar w:fldCharType="separate"/>
          </w:r>
          <w:r>
            <w:rPr/>
            <w:t>301-002</w:t>
          </w:r>
          <w:r>
            <w:rPr/>
            <w:fldChar w:fldCharType="end"/>
          </w:r>
        </w:p>
        <w:p>
          <w:pPr>
            <w:pStyle w:val="date"/>
            <w:rPr/>
          </w:pPr>
          <w:r>
            <w:rPr/>
            <w:t>June 29, 2000</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Helvetica" w:hAnsi="Helvetica" w:cs="Helvetica" w:hint="default"/>
        <w:sz w:val="22"/>
        <w:i w:val="false"/>
        <w:b w:val="false"/>
      </w:rPr>
    </w:lvl>
  </w:abstractNum>
  <w:abstractNum w:abstractNumId="3">
    <w:lvl w:ilvl="0">
      <w:start w:val="1"/>
      <w:numFmt w:val="decimal"/>
      <w:lvlText w:val="%1."/>
      <w:lvlJc w:val="end"/>
      <w:pPr>
        <w:tabs>
          <w:tab w:val="num" w:pos="1080"/>
        </w:tabs>
        <w:ind w:start="1080" w:hanging="120"/>
      </w:pPr>
    </w:lvl>
  </w:abstractNum>
  <w:abstractNum w:abstractNumId="4">
    <w:lvl w:ilvl="0">
      <w:start w:val="1"/>
      <w:numFmt w:val="bullet"/>
      <w:lvlText w:val=""/>
      <w:lvlJc w:val="start"/>
      <w:pPr>
        <w:tabs>
          <w:tab w:val="num" w:pos="360"/>
        </w:tabs>
        <w:ind w:start="180" w:hanging="180"/>
      </w:pPr>
      <w:rPr>
        <w:rFonts w:ascii="Helvetica" w:hAnsi="Helvetica" w:cs="Helvetica" w:hint="default"/>
        <w:sz w:val="18"/>
        <w:i w:val="false"/>
        <w:b w:val="false"/>
      </w:rPr>
    </w:lvl>
  </w:abstractNum>
  <w:abstractNum w:abstractNumId="5">
    <w:lvl w:ilvl="0">
      <w:start w:val="1"/>
      <w:numFmt w:val="decimal"/>
      <w:lvlText w:val="%1."/>
      <w:lvlJc w:val="start"/>
      <w:pPr>
        <w:tabs>
          <w:tab w:val="num" w:pos="300"/>
        </w:tabs>
        <w:ind w:start="300" w:hanging="3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720"/>
  <w:autoHyphenation w:val="true"/>
  <w:hyphenationZone w:val="0"/>
  <w:evenAndOddHeaders/>
  <w:compat>
    <w:doNotExpandShiftReturn/>
    <w:compatSetting w:name="compatibilityMode" w:uri="http://schemas.microsoft.com/office/word" w:val="11"/>
  </w:compat>
  <w:docVars>
    <w:docVar w:name="DOCAuthor" w:val="Author"/>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ind w:firstLine="720" w:start="0" w:end="0"/>
      <w:jc w:val="both"/>
    </w:pPr>
    <w:rPr>
      <w:rFonts w:ascii="Palatino" w:hAnsi="Palatino" w:eastAsia="Times New Roman" w:cs="Palatino"/>
      <w:color w:val="000000"/>
      <w:sz w:val="20"/>
      <w:szCs w:val="20"/>
      <w:lang w:val="en-US" w:eastAsia="zh-CN" w:bidi="hi-IN"/>
    </w:rPr>
  </w:style>
  <w:style w:type="paragraph" w:styleId="Heading1">
    <w:name w:val="heading 1"/>
    <w:next w:val="Normal"/>
    <w:qFormat/>
    <w:pPr>
      <w:keepNext w:val="true"/>
      <w:widowControl/>
      <w:numPr>
        <w:ilvl w:val="0"/>
        <w:numId w:val="1"/>
      </w:numPr>
      <w:bidi w:val="0"/>
      <w:spacing w:before="560" w:after="200"/>
      <w:jc w:val="center"/>
      <w:outlineLvl w:val="0"/>
    </w:pPr>
    <w:rPr>
      <w:rFonts w:ascii="Helvetica" w:hAnsi="Helvetica" w:eastAsia="Times New Roman" w:cs="Helvetica"/>
      <w:b/>
      <w:color w:val="000000"/>
      <w:sz w:val="24"/>
      <w:szCs w:val="20"/>
      <w:lang w:val="en-US" w:eastAsia="zh-CN" w:bidi="hi-IN"/>
    </w:rPr>
  </w:style>
  <w:style w:type="paragraph" w:styleId="Heading2">
    <w:name w:val="heading 2"/>
    <w:basedOn w:val="Heading1"/>
    <w:next w:val="Normal"/>
    <w:qFormat/>
    <w:pPr>
      <w:numPr>
        <w:ilvl w:val="1"/>
        <w:numId w:val="1"/>
      </w:numPr>
      <w:spacing w:before="200" w:after="200"/>
      <w:jc w:val="start"/>
      <w:outlineLvl w:val="1"/>
    </w:pPr>
    <w:rPr>
      <w:sz w:val="22"/>
    </w:rPr>
  </w:style>
  <w:style w:type="paragraph" w:styleId="Heading3">
    <w:name w:val="heading 3"/>
    <w:basedOn w:val="Normal"/>
    <w:next w:val="Normal"/>
    <w:qFormat/>
    <w:pPr>
      <w:numPr>
        <w:ilvl w:val="2"/>
        <w:numId w:val="1"/>
      </w:numPr>
      <w:ind w:hanging="0" w:start="0" w:end="0"/>
      <w:outlineLvl w:val="2"/>
    </w:pPr>
    <w:rPr/>
  </w:style>
  <w:style w:type="character" w:styleId="WW8Num3z0">
    <w:name w:val="WW8Num3z0"/>
    <w:qFormat/>
    <w:rPr>
      <w:rFonts w:ascii="Helvetica" w:hAnsi="Helvetica" w:cs="Helvetica"/>
      <w:b w:val="false"/>
      <w:i w:val="false"/>
      <w:sz w:val="22"/>
    </w:rPr>
  </w:style>
  <w:style w:type="character" w:styleId="WW8Num6z0">
    <w:name w:val="WW8Num6z0"/>
    <w:qFormat/>
    <w:rPr>
      <w:rFonts w:ascii="Helvetica" w:hAnsi="Helvetica" w:cs="Helvetica"/>
      <w:b w:val="false"/>
      <w:i w:val="false"/>
      <w:sz w:val="18"/>
    </w:rPr>
  </w:style>
  <w:style w:type="character" w:styleId="WW8NumSt1z0">
    <w:name w:val="WW8NumSt1z0"/>
    <w:qFormat/>
    <w:rPr>
      <w:rFonts w:ascii="Times" w:hAnsi="Times" w:cs="Times"/>
    </w:rPr>
  </w:style>
  <w:style w:type="character" w:styleId="WW8NumSt7z0">
    <w:name w:val="WW8NumSt7z0"/>
    <w:qFormat/>
    <w:rPr>
      <w:rFonts w:ascii="Courier" w:hAnsi="Courier" w:cs="Courie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ractions">
    <w:name w:val="Fraction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UTHOR">
    <w:name w:val="AUTHOR"/>
    <w:basedOn w:val="Normal"/>
    <w:qFormat/>
    <w:pPr>
      <w:pBdr>
        <w:top w:val="single" w:sz="6" w:space="4" w:color="000000"/>
      </w:pBdr>
      <w:spacing w:before="120" w:after="0"/>
      <w:ind w:hanging="0" w:start="0" w:end="0"/>
    </w:pPr>
    <w:rPr>
      <w:i/>
      <w:sz w:val="18"/>
    </w:rPr>
  </w:style>
  <w:style w:type="paragraph" w:styleId="BIB">
    <w:name w:val="BIB"/>
    <w:basedOn w:val="Normal"/>
    <w:qFormat/>
    <w:pPr>
      <w:ind w:hanging="720" w:start="720" w:end="0"/>
    </w:pPr>
    <w:rPr/>
  </w:style>
  <w:style w:type="paragraph" w:styleId="BulletList">
    <w:name w:val="Bullet List"/>
    <w:basedOn w:val="Normal"/>
    <w:qFormat/>
    <w:pPr>
      <w:numPr>
        <w:ilvl w:val="0"/>
        <w:numId w:val="2"/>
      </w:numPr>
      <w:ind w:firstLine="720" w:start="1080" w:end="720"/>
    </w:pPr>
    <w:rPr/>
  </w:style>
  <w:style w:type="paragraph" w:styleId="controlnumber">
    <w:name w:val="control number"/>
    <w:basedOn w:val="Heading1"/>
    <w:qFormat/>
    <w:pPr>
      <w:numPr>
        <w:ilvl w:val="0"/>
        <w:numId w:val="0"/>
      </w:numPr>
      <w:spacing w:before="40" w:after="0"/>
      <w:jc w:val="end"/>
      <w:outlineLvl w:val="9"/>
    </w:pPr>
    <w:rPr>
      <w:sz w:val="28"/>
    </w:rPr>
  </w:style>
  <w:style w:type="paragraph" w:styleId="COPYRIGHT">
    <w:name w:val="COPYRIGHT"/>
    <w:basedOn w:val="Normal"/>
    <w:qFormat/>
    <w:pPr>
      <w:pBdr>
        <w:top w:val="single" w:sz="6" w:space="4" w:color="000000"/>
      </w:pBdr>
      <w:ind w:hanging="0" w:start="0" w:end="0"/>
    </w:pPr>
    <w:rPr>
      <w:sz w:val="18"/>
    </w:rPr>
  </w:style>
  <w:style w:type="paragraph" w:styleId="date">
    <w:name w:val="date"/>
    <w:basedOn w:val="Normal"/>
    <w:qFormat/>
    <w:pPr>
      <w:spacing w:before="0" w:after="0"/>
      <w:ind w:hanging="0" w:start="0" w:end="0"/>
      <w:jc w:val="end"/>
    </w:pPr>
    <w:rPr>
      <w:sz w:val="16"/>
    </w:rPr>
  </w:style>
  <w:style w:type="paragraph" w:styleId="PicR">
    <w:name w:val="PicR"/>
    <w:basedOn w:val="Normal"/>
    <w:qFormat/>
    <w:pPr>
      <w:keepNext w:val="true"/>
    </w:pPr>
    <w:rPr/>
  </w:style>
  <w:style w:type="paragraph" w:styleId="PicC">
    <w:name w:val="PicC"/>
    <w:basedOn w:val="PicR"/>
    <w:qFormat/>
    <w:pPr/>
    <w:rPr/>
  </w:style>
  <w:style w:type="paragraph" w:styleId="DescC">
    <w:name w:val="DescC"/>
    <w:basedOn w:val="PicC"/>
    <w:next w:val="Normal"/>
    <w:qFormat/>
    <w:pPr>
      <w:keepNext w:val="false"/>
      <w:jc w:val="center"/>
    </w:pPr>
    <w:rPr/>
  </w:style>
  <w:style w:type="paragraph" w:styleId="PicL">
    <w:name w:val="PicL"/>
    <w:basedOn w:val="PicR"/>
    <w:qFormat/>
    <w:pPr/>
    <w:rPr/>
  </w:style>
  <w:style w:type="paragraph" w:styleId="DescL">
    <w:name w:val="DescL"/>
    <w:basedOn w:val="PicL"/>
    <w:next w:val="Normal"/>
    <w:qFormat/>
    <w:pPr>
      <w:keepNext w:val="false"/>
      <w:jc w:val="center"/>
    </w:pPr>
    <w:rPr/>
  </w:style>
  <w:style w:type="paragraph" w:styleId="DescR">
    <w:name w:val="DescR"/>
    <w:basedOn w:val="PicR"/>
    <w:next w:val="Normal"/>
    <w:qFormat/>
    <w:pPr>
      <w:keepNext w:val="false"/>
      <w:jc w:val="center"/>
    </w:pPr>
    <w:rPr/>
  </w:style>
  <w:style w:type="paragraph" w:styleId="Dialogue">
    <w:name w:val="Dialogue"/>
    <w:basedOn w:val="Normal"/>
    <w:qFormat/>
    <w:pPr>
      <w:ind w:hanging="360" w:start="360" w:end="0"/>
    </w:pPr>
    <w:rPr/>
  </w:style>
  <w:style w:type="paragraph" w:styleId="EXHIBITTITLE">
    <w:name w:val="EXHIBITTITLE"/>
    <w:next w:val="Normal"/>
    <w:qFormat/>
    <w:pPr>
      <w:widowControl/>
      <w:bidi w:val="0"/>
      <w:spacing w:before="240" w:after="120"/>
    </w:pPr>
    <w:rPr>
      <w:rFonts w:ascii="Palatino" w:hAnsi="Palatino" w:eastAsia="Times New Roman" w:cs="Palatino"/>
      <w:color w:val="000000"/>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12" w:space="1" w:color="000000"/>
      </w:pBdr>
      <w:tabs>
        <w:tab w:val="clear" w:pos="720"/>
        <w:tab w:val="center" w:pos="4320" w:leader="none"/>
        <w:tab w:val="right" w:pos="8640" w:leader="none"/>
      </w:tabs>
    </w:pPr>
    <w:rPr>
      <w:rFonts w:ascii="Helvetica" w:hAnsi="Helvetica" w:cs="Helvetica"/>
      <w:b/>
      <w:sz w:val="18"/>
    </w:rPr>
  </w:style>
  <w:style w:type="paragraph" w:styleId="footerL">
    <w:name w:val="footerL"/>
    <w:basedOn w:val="Footer"/>
    <w:qFormat/>
    <w:pPr>
      <w:spacing w:before="80" w:after="120"/>
      <w:ind w:hanging="0" w:start="0" w:end="0"/>
    </w:pPr>
    <w:rPr/>
  </w:style>
  <w:style w:type="paragraph" w:styleId="footerR">
    <w:name w:val="footerR"/>
    <w:basedOn w:val="Footer"/>
    <w:qFormat/>
    <w:pPr>
      <w:spacing w:before="80" w:after="120"/>
      <w:jc w:val="end"/>
    </w:pPr>
    <w:rPr/>
  </w:style>
  <w:style w:type="paragraph" w:styleId="FootnoteText">
    <w:name w:val="footnote text"/>
    <w:basedOn w:val="Normal"/>
    <w:pPr>
      <w:tabs>
        <w:tab w:val="clear" w:pos="720"/>
        <w:tab w:val="left" w:pos="360" w:leader="none"/>
      </w:tabs>
      <w:spacing w:before="0" w:after="0"/>
      <w:ind w:hanging="0" w:start="0" w:end="0"/>
    </w:pPr>
    <w:rPr>
      <w:sz w:val="18"/>
    </w:rPr>
  </w:style>
  <w:style w:type="paragraph" w:styleId="Header">
    <w:name w:val="header"/>
    <w:basedOn w:val="controlnumber"/>
    <w:pPr>
      <w:jc w:val="start"/>
    </w:pPr>
    <w:rPr/>
  </w:style>
  <w:style w:type="paragraph" w:styleId="oddevenhead">
    <w:name w:val="oddevenhead"/>
    <w:qFormat/>
    <w:pPr>
      <w:widowControl/>
      <w:tabs>
        <w:tab w:val="clear" w:pos="720"/>
        <w:tab w:val="right" w:pos="9000" w:leader="none"/>
      </w:tabs>
      <w:bidi w:val="0"/>
      <w:spacing w:before="0" w:after="480"/>
    </w:pPr>
    <w:rPr>
      <w:rFonts w:ascii="Helvetica" w:hAnsi="Helvetica" w:eastAsia="Times New Roman" w:cs="Helvetica"/>
      <w:b/>
      <w:color w:val="auto"/>
      <w:sz w:val="16"/>
      <w:szCs w:val="20"/>
      <w:lang w:val="en-US" w:eastAsia="zh-CN" w:bidi="hi-IN"/>
    </w:rPr>
  </w:style>
  <w:style w:type="paragraph" w:styleId="landhead">
    <w:name w:val="landhead"/>
    <w:basedOn w:val="oddevenhead"/>
    <w:qFormat/>
    <w:pPr>
      <w:tabs>
        <w:tab w:val="right" w:pos="9000" w:leader="none"/>
        <w:tab w:val="right" w:pos="12600" w:leader="none"/>
      </w:tabs>
      <w:spacing w:before="0" w:after="240"/>
      <w:jc w:val="end"/>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w:hAnsi="Courier" w:eastAsia="Times New Roman" w:cs="Courier"/>
      <w:color w:val="auto"/>
      <w:sz w:val="20"/>
      <w:szCs w:val="20"/>
      <w:lang w:val="en-US" w:eastAsia="zh-CN" w:bidi="hi-IN"/>
    </w:rPr>
  </w:style>
  <w:style w:type="paragraph" w:styleId="NormalLeft">
    <w:name w:val="NormalLeft"/>
    <w:basedOn w:val="Normal"/>
    <w:next w:val="Normal"/>
    <w:qFormat/>
    <w:pPr>
      <w:ind w:hanging="0" w:start="0" w:end="0"/>
    </w:pPr>
    <w:rPr/>
  </w:style>
  <w:style w:type="paragraph" w:styleId="NormalLeftNoSpace">
    <w:name w:val="NormalLeftNoSpace"/>
    <w:basedOn w:val="NormalLeft"/>
    <w:qFormat/>
    <w:pPr>
      <w:spacing w:before="0" w:after="0"/>
    </w:pPr>
    <w:rPr/>
  </w:style>
  <w:style w:type="paragraph" w:styleId="NumberedList">
    <w:name w:val="Numbered List"/>
    <w:basedOn w:val="Normal"/>
    <w:qFormat/>
    <w:pPr>
      <w:numPr>
        <w:ilvl w:val="0"/>
        <w:numId w:val="3"/>
      </w:numPr>
      <w:ind w:firstLine="720" w:start="0" w:end="720"/>
    </w:pPr>
    <w:rPr/>
  </w:style>
  <w:style w:type="paragraph" w:styleId="opening">
    <w:name w:val="opening"/>
    <w:basedOn w:val="Normal"/>
    <w:next w:val="Normal"/>
    <w:qFormat/>
    <w:pPr>
      <w:spacing w:before="240" w:after="120"/>
      <w:ind w:firstLine="720" w:start="720" w:end="720"/>
    </w:pPr>
    <w:rPr>
      <w:i/>
    </w:rPr>
  </w:style>
  <w:style w:type="paragraph" w:styleId="QUOTE">
    <w:name w:val="QUOTE"/>
    <w:basedOn w:val="Normal"/>
    <w:next w:val="Normal"/>
    <w:qFormat/>
    <w:pPr>
      <w:ind w:firstLine="720" w:start="720" w:end="720"/>
    </w:pPr>
    <w:rPr/>
  </w:style>
  <w:style w:type="paragraph" w:styleId="QUOTEFL">
    <w:name w:val="QUOTE_FL"/>
    <w:basedOn w:val="QUOTE"/>
    <w:next w:val="Normal"/>
    <w:qFormat/>
    <w:pPr>
      <w:ind w:hanging="0" w:start="720" w:end="720"/>
    </w:pPr>
    <w:rPr/>
  </w:style>
  <w:style w:type="paragraph" w:styleId="Shield">
    <w:name w:val="Shield"/>
    <w:basedOn w:val="Header"/>
    <w:qFormat/>
    <w:pPr>
      <w:spacing w:before="120" w:after="0"/>
    </w:pPr>
    <w:rPr/>
  </w:style>
  <w:style w:type="paragraph" w:styleId="TBFL">
    <w:name w:val="TB_FL"/>
    <w:basedOn w:val="Normal"/>
    <w:qFormat/>
    <w:pPr>
      <w:spacing w:lineRule="exact" w:line="220" w:before="40" w:after="40"/>
      <w:ind w:hanging="0" w:start="0" w:end="0"/>
      <w:jc w:val="start"/>
    </w:pPr>
    <w:rPr>
      <w:rFonts w:ascii="Helvetica" w:hAnsi="Helvetica" w:cs="Helvetica"/>
      <w:sz w:val="18"/>
    </w:rPr>
  </w:style>
  <w:style w:type="paragraph" w:styleId="TFN">
    <w:name w:val="TFN"/>
    <w:basedOn w:val="TBFL"/>
    <w:qFormat/>
    <w:pPr>
      <w:suppressAutoHyphens w:val="true"/>
      <w:spacing w:before="40" w:after="0"/>
    </w:pPr>
    <w:rPr>
      <w:spacing w:val="-2"/>
      <w:sz w:val="16"/>
    </w:rPr>
  </w:style>
  <w:style w:type="paragraph" w:styleId="SOURCE">
    <w:name w:val="SOURCE"/>
    <w:basedOn w:val="TFN"/>
    <w:qFormat/>
    <w:pPr/>
    <w:rPr/>
  </w:style>
  <w:style w:type="paragraph" w:styleId="TBBULLET">
    <w:name w:val="TB_BULLET"/>
    <w:basedOn w:val="TBFL"/>
    <w:qFormat/>
    <w:pPr>
      <w:numPr>
        <w:ilvl w:val="0"/>
        <w:numId w:val="4"/>
      </w:numPr>
      <w:tabs>
        <w:tab w:val="clear" w:pos="720"/>
        <w:tab w:val="left" w:pos="180" w:leader="none"/>
      </w:tabs>
      <w:spacing w:before="0" w:after="0"/>
    </w:pPr>
    <w:rPr/>
  </w:style>
  <w:style w:type="paragraph" w:styleId="TBCTR">
    <w:name w:val="TB_CTR"/>
    <w:basedOn w:val="TBFL"/>
    <w:qFormat/>
    <w:pPr>
      <w:jc w:val="center"/>
    </w:pPr>
    <w:rPr/>
  </w:style>
  <w:style w:type="paragraph" w:styleId="TBDEC">
    <w:name w:val="TB_DEC"/>
    <w:basedOn w:val="TBFL"/>
    <w:qFormat/>
    <w:pPr>
      <w:tabs>
        <w:tab w:val="clear" w:pos="720"/>
        <w:tab w:val="decimal" w:pos="173" w:leader="none"/>
      </w:tabs>
    </w:pPr>
    <w:rPr/>
  </w:style>
  <w:style w:type="paragraph" w:styleId="TBFLHANG">
    <w:name w:val="TB_FL_HANG"/>
    <w:basedOn w:val="TBFL"/>
    <w:qFormat/>
    <w:pPr>
      <w:ind w:hanging="180" w:start="180" w:end="0"/>
    </w:pPr>
    <w:rPr/>
  </w:style>
  <w:style w:type="paragraph" w:styleId="TBFLIND1">
    <w:name w:val="TB_FL_IND1"/>
    <w:basedOn w:val="TBFL"/>
    <w:qFormat/>
    <w:pPr>
      <w:ind w:hanging="180" w:start="360" w:end="0"/>
    </w:pPr>
    <w:rPr/>
  </w:style>
  <w:style w:type="paragraph" w:styleId="TBFLIND2">
    <w:name w:val="TB_FL_IND2"/>
    <w:basedOn w:val="TBFLIND1"/>
    <w:qFormat/>
    <w:pPr>
      <w:ind w:hanging="180" w:start="540" w:end="0"/>
    </w:pPr>
    <w:rPr/>
  </w:style>
  <w:style w:type="paragraph" w:styleId="TBFLIND3">
    <w:name w:val="TB_FL_IND3"/>
    <w:basedOn w:val="TBFLIND2"/>
    <w:qFormat/>
    <w:pPr>
      <w:ind w:hanging="187" w:start="667" w:end="0"/>
    </w:pPr>
    <w:rPr/>
  </w:style>
  <w:style w:type="paragraph" w:styleId="TBFR">
    <w:name w:val="TB_FR"/>
    <w:basedOn w:val="TBFL"/>
    <w:qFormat/>
    <w:pPr>
      <w:jc w:val="end"/>
    </w:pPr>
    <w:rPr/>
  </w:style>
  <w:style w:type="paragraph" w:styleId="TBNumberedList">
    <w:name w:val="TB_NumberedList"/>
    <w:basedOn w:val="TBFL"/>
    <w:qFormat/>
    <w:pPr>
      <w:numPr>
        <w:ilvl w:val="0"/>
        <w:numId w:val="5"/>
      </w:numPr>
      <w:spacing w:before="0" w:after="0"/>
      <w:ind w:hanging="300" w:start="300" w:end="0"/>
    </w:pPr>
    <w:rPr/>
  </w:style>
  <w:style w:type="paragraph" w:styleId="TEACHINGNOTE">
    <w:name w:val="TEACHINGNOTE"/>
    <w:basedOn w:val="Heading1"/>
    <w:next w:val="Normal"/>
    <w:qFormat/>
    <w:pPr>
      <w:keepNext w:val="false"/>
      <w:numPr>
        <w:ilvl w:val="0"/>
        <w:numId w:val="0"/>
      </w:numPr>
      <w:spacing w:before="240" w:after="240"/>
      <w:outlineLvl w:val="9"/>
    </w:pPr>
    <w:rPr>
      <w:sz w:val="28"/>
    </w:rPr>
  </w:style>
  <w:style w:type="paragraph" w:styleId="THFL">
    <w:name w:val="TH_FL"/>
    <w:basedOn w:val="Normal"/>
    <w:qFormat/>
    <w:pPr>
      <w:spacing w:lineRule="exact" w:line="220" w:before="40" w:after="40"/>
      <w:ind w:hanging="0" w:start="0" w:end="0"/>
      <w:jc w:val="start"/>
    </w:pPr>
    <w:rPr>
      <w:rFonts w:ascii="Helvetica" w:hAnsi="Helvetica" w:cs="Helvetica"/>
      <w:b/>
      <w:sz w:val="18"/>
    </w:rPr>
  </w:style>
  <w:style w:type="paragraph" w:styleId="THCTR">
    <w:name w:val="TH_CTR"/>
    <w:basedOn w:val="THFL"/>
    <w:qFormat/>
    <w:pPr>
      <w:jc w:val="center"/>
    </w:pPr>
    <w:rPr/>
  </w:style>
  <w:style w:type="paragraph" w:styleId="THDEC">
    <w:name w:val="TH_DEC"/>
    <w:basedOn w:val="THFL"/>
    <w:qFormat/>
    <w:pPr>
      <w:tabs>
        <w:tab w:val="clear" w:pos="720"/>
        <w:tab w:val="decimal" w:pos="173" w:leader="none"/>
      </w:tabs>
    </w:pPr>
    <w:rPr/>
  </w:style>
  <w:style w:type="paragraph" w:styleId="THFR">
    <w:name w:val="TH_FR"/>
    <w:basedOn w:val="THFL"/>
    <w:qFormat/>
    <w:pPr>
      <w:jc w:val="end"/>
    </w:pPr>
    <w:rPr/>
  </w:style>
  <w:style w:type="paragraph" w:styleId="TITLE">
    <w:name w:val="TITLE"/>
    <w:basedOn w:val="Heading1"/>
    <w:next w:val="Normal"/>
    <w:qFormat/>
    <w:pPr>
      <w:numPr>
        <w:ilvl w:val="0"/>
        <w:numId w:val="0"/>
      </w:numPr>
      <w:spacing w:before="720" w:after="240"/>
      <w:outlineLvl w:val="9"/>
    </w:pPr>
    <w:rPr>
      <w:sz w:val="36"/>
    </w:rPr>
  </w:style>
  <w:style w:type="paragraph" w:styleId="TitleSubHead">
    <w:name w:val="TitleSubHead"/>
    <w:basedOn w:val="TITLE"/>
    <w:next w:val="Normal"/>
    <w:qFormat/>
    <w:pPr>
      <w:spacing w:before="0" w:after="240"/>
    </w:pPr>
    <w:rPr>
      <w:b w:val="false"/>
      <w:sz w:val="28"/>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hbscase.dot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2000-06-19T18:15:00Z</dcterms:created>
  <dc:creator>Author</dc:creator>
  <dc:description/>
  <cp:keywords>N9-</cp:keywords>
  <dc:language>en-CA</dc:language>
  <cp:lastModifiedBy>HBS</cp:lastModifiedBy>
  <cp:lastPrinted>2000-06-29T16:19:00Z</cp:lastPrinted>
  <dcterms:modified xsi:type="dcterms:W3CDTF">2000-06-29T17:52:00Z</dcterms:modified>
  <cp:revision>13</cp:revision>
  <dc:subject>301-002</dc:subject>
  <dc:title>Microsoft's Vega Project: Matt MacLellan's Decision</dc:title>
</cp:coreProperties>
</file>