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Normal"/>
        <w:rPr/>
      </w:pPr>
      <w:r>
        <w:rPr>
          <w:b/>
          <w:sz w:val="24"/>
        </w:rPr>
        <w:t>Date:</w:t>
        <w:tab/>
      </w:r>
      <w:r>
        <w:rPr>
          <w:sz w:val="24"/>
        </w:rPr>
        <w:tab/>
        <w:t>26</w:t>
      </w:r>
      <w:r>
        <w:rPr>
          <w:sz w:val="24"/>
          <w:vertAlign w:val="superscript"/>
        </w:rPr>
        <w:t>th</w:t>
      </w:r>
      <w:r>
        <w:rPr>
          <w:sz w:val="24"/>
        </w:rPr>
        <w:t xml:space="preserve"> January 2001</w:t>
      </w:r>
    </w:p>
    <w:p>
      <w:pPr>
        <w:pStyle w:val="Normal"/>
        <w:rPr>
          <w:b/>
          <w:sz w:val="24"/>
        </w:rPr>
      </w:pPr>
      <w:r>
        <w:rPr>
          <w:b/>
          <w:sz w:val="24"/>
        </w:rPr>
      </w:r>
    </w:p>
    <w:p>
      <w:pPr>
        <w:pStyle w:val="Normal"/>
        <w:rPr>
          <w:sz w:val="24"/>
        </w:rPr>
      </w:pPr>
      <w:r>
        <w:rPr>
          <w:b/>
          <w:sz w:val="24"/>
        </w:rPr>
        <w:t>To:</w:t>
        <w:tab/>
        <w:tab/>
      </w:r>
      <w:r>
        <w:rPr>
          <w:bCs/>
          <w:sz w:val="24"/>
        </w:rPr>
        <w:t>Weekly Report</w:t>
      </w:r>
    </w:p>
    <w:p>
      <w:pPr>
        <w:pStyle w:val="Normal"/>
        <w:rPr>
          <w:b/>
          <w:sz w:val="24"/>
        </w:rPr>
      </w:pPr>
      <w:r>
        <w:rPr>
          <w:b/>
          <w:sz w:val="24"/>
        </w:rPr>
      </w:r>
    </w:p>
    <w:p>
      <w:pPr>
        <w:pStyle w:val="Normal"/>
        <w:rPr/>
      </w:pPr>
      <w:r>
        <w:rPr>
          <w:b/>
          <w:sz w:val="24"/>
        </w:rPr>
        <w:t>From:</w:t>
        <w:tab/>
      </w:r>
      <w:r>
        <w:rPr>
          <w:sz w:val="24"/>
        </w:rPr>
        <w:tab/>
        <w:t>Government and Regulatory Affairs - Enron Europe</w:t>
      </w:r>
    </w:p>
    <w:p>
      <w:pPr>
        <w:pStyle w:val="Normal"/>
        <w:pBdr>
          <w:bottom w:val="single" w:sz="12" w:space="1" w:color="000000"/>
        </w:pBdr>
        <w:rPr>
          <w:b/>
          <w:sz w:val="24"/>
        </w:rPr>
      </w:pPr>
      <w:r>
        <w:rPr>
          <w:b/>
          <w:sz w:val="24"/>
        </w:rPr>
      </w:r>
    </w:p>
    <w:p>
      <w:pPr>
        <w:pStyle w:val="Normal"/>
        <w:pBdr>
          <w:bottom w:val="single" w:sz="12" w:space="1" w:color="000000"/>
        </w:pBdr>
        <w:rPr/>
      </w:pPr>
      <w:r>
        <w:rPr>
          <w:b/>
          <w:sz w:val="24"/>
        </w:rPr>
        <w:t>Subject:</w:t>
        <w:tab/>
      </w:r>
      <w:r>
        <w:rPr>
          <w:sz w:val="24"/>
        </w:rPr>
        <w:t>Weekly Activity Report and Upcoming Schedule</w:t>
      </w:r>
    </w:p>
    <w:p>
      <w:pPr>
        <w:pStyle w:val="Normal"/>
        <w:pBdr>
          <w:bottom w:val="single" w:sz="12" w:space="1" w:color="000000"/>
        </w:pBdr>
        <w:rPr>
          <w:sz w:val="24"/>
        </w:rPr>
      </w:pPr>
      <w:r>
        <w:rPr>
          <w:sz w:val="24"/>
        </w:rPr>
      </w:r>
    </w:p>
    <w:p>
      <w:pPr>
        <w:pStyle w:val="Normal"/>
        <w:rPr>
          <w:sz w:val="24"/>
          <w:lang w:val="en-AU"/>
        </w:rPr>
      </w:pPr>
      <w:r>
        <w:rPr>
          <w:sz w:val="24"/>
          <w:lang w:val="en-AU"/>
        </w:rPr>
      </w:r>
    </w:p>
    <w:p>
      <w:pPr>
        <w:pStyle w:val="Normal"/>
        <w:rPr>
          <w:lang w:val="en-AU"/>
        </w:rPr>
      </w:pPr>
      <w:r>
        <w:rPr>
          <w:lang w:val="en-AU"/>
        </w:rPr>
      </w:r>
    </w:p>
    <w:p>
      <w:pPr>
        <w:pStyle w:val="Heading4"/>
        <w:ind w:hanging="0" w:start="0"/>
        <w:rPr/>
      </w:pPr>
      <w:r>
        <w:rPr/>
        <w:t>EU</w:t>
      </w:r>
    </w:p>
    <w:p>
      <w:pPr>
        <w:pStyle w:val="Normal"/>
        <w:numPr>
          <w:ilvl w:val="0"/>
          <w:numId w:val="2"/>
        </w:numPr>
        <w:jc w:val="both"/>
        <w:rPr>
          <w:sz w:val="24"/>
        </w:rPr>
      </w:pPr>
      <w:r>
        <w:rPr>
          <w:sz w:val="24"/>
        </w:rPr>
        <w:t>On January 15 we submitted our comments to the proposed undertakings in EdF/EnBW case. We argued for:</w:t>
      </w:r>
    </w:p>
    <w:p>
      <w:pPr>
        <w:pStyle w:val="Normal"/>
        <w:ind w:start="720" w:end="0"/>
        <w:jc w:val="both"/>
        <w:rPr>
          <w:sz w:val="24"/>
        </w:rPr>
      </w:pPr>
      <w:r>
        <w:rPr>
          <w:sz w:val="24"/>
        </w:rPr>
        <w:t>more generation capacity to be released in France</w:t>
      </w:r>
    </w:p>
    <w:p>
      <w:pPr>
        <w:pStyle w:val="Normal"/>
        <w:ind w:start="720" w:end="0"/>
        <w:jc w:val="both"/>
        <w:rPr>
          <w:sz w:val="24"/>
        </w:rPr>
      </w:pPr>
      <w:r>
        <w:rPr>
          <w:sz w:val="24"/>
        </w:rPr>
        <w:t>more fair and economically viable conditions for Virtual Independent Power Producer Auction</w:t>
      </w:r>
    </w:p>
    <w:p>
      <w:pPr>
        <w:pStyle w:val="Normal"/>
        <w:ind w:start="720" w:end="0"/>
        <w:jc w:val="both"/>
        <w:rPr>
          <w:sz w:val="24"/>
        </w:rPr>
      </w:pPr>
      <w:r>
        <w:rPr>
          <w:sz w:val="24"/>
        </w:rPr>
        <w:t>transparent and market-based capacity allocation mechanisms at the interconnectors</w:t>
      </w:r>
    </w:p>
    <w:p>
      <w:pPr>
        <w:pStyle w:val="Normal"/>
        <w:ind w:start="720" w:end="0"/>
        <w:jc w:val="both"/>
        <w:rPr>
          <w:sz w:val="24"/>
        </w:rPr>
      </w:pPr>
      <w:r>
        <w:rPr>
          <w:sz w:val="24"/>
        </w:rPr>
        <w:t>ring-fenced independence of WATT.</w:t>
      </w:r>
    </w:p>
    <w:p>
      <w:pPr>
        <w:pStyle w:val="Normal"/>
        <w:jc w:val="both"/>
        <w:rPr>
          <w:sz w:val="24"/>
        </w:rPr>
      </w:pPr>
      <w:r>
        <w:rPr>
          <w:sz w:val="24"/>
        </w:rPr>
      </w:r>
    </w:p>
    <w:p>
      <w:pPr>
        <w:pStyle w:val="Normal"/>
        <w:numPr>
          <w:ilvl w:val="0"/>
          <w:numId w:val="2"/>
        </w:numPr>
        <w:jc w:val="both"/>
        <w:rPr>
          <w:sz w:val="24"/>
        </w:rPr>
      </w:pPr>
      <w:r>
        <w:rPr>
          <w:sz w:val="24"/>
        </w:rPr>
        <w:t xml:space="preserve">On January 17 we chaired the meeting of EFET Electricity Working Group. The work program was agreed for 2001 to include: </w:t>
      </w:r>
    </w:p>
    <w:p>
      <w:pPr>
        <w:pStyle w:val="Normal"/>
        <w:ind w:start="720" w:end="0"/>
        <w:jc w:val="both"/>
        <w:rPr>
          <w:sz w:val="24"/>
        </w:rPr>
      </w:pPr>
      <w:r>
        <w:rPr>
          <w:sz w:val="24"/>
        </w:rPr>
        <w:t>Formulate position on the acceleration directives</w:t>
      </w:r>
    </w:p>
    <w:p>
      <w:pPr>
        <w:pStyle w:val="Normal"/>
        <w:ind w:start="720" w:end="0"/>
        <w:jc w:val="both"/>
        <w:rPr>
          <w:sz w:val="24"/>
        </w:rPr>
      </w:pPr>
      <w:r>
        <w:rPr>
          <w:sz w:val="24"/>
        </w:rPr>
        <w:t>EFET representation in the Florence working group on cross-border capacity allocation</w:t>
      </w:r>
    </w:p>
    <w:p>
      <w:pPr>
        <w:pStyle w:val="Normal"/>
        <w:ind w:start="720" w:end="0"/>
        <w:jc w:val="both"/>
        <w:rPr>
          <w:sz w:val="24"/>
        </w:rPr>
      </w:pPr>
      <w:r>
        <w:rPr>
          <w:sz w:val="24"/>
        </w:rPr>
        <w:t>Wider dissemination of EFET position on cross-border tariffs</w:t>
      </w:r>
    </w:p>
    <w:p>
      <w:pPr>
        <w:pStyle w:val="Normal"/>
        <w:ind w:start="720" w:end="0"/>
        <w:jc w:val="both"/>
        <w:rPr>
          <w:sz w:val="24"/>
        </w:rPr>
      </w:pPr>
      <w:r>
        <w:rPr>
          <w:sz w:val="24"/>
        </w:rPr>
        <w:t>Work on EFET position regarding Security of Supply Green Paper – co-operation with Gas Working Group</w:t>
      </w:r>
    </w:p>
    <w:p>
      <w:pPr>
        <w:pStyle w:val="Normal"/>
        <w:jc w:val="both"/>
        <w:rPr>
          <w:sz w:val="24"/>
        </w:rPr>
      </w:pPr>
      <w:r>
        <w:rPr>
          <w:sz w:val="24"/>
        </w:rPr>
      </w:r>
    </w:p>
    <w:p>
      <w:pPr>
        <w:pStyle w:val="Normal"/>
        <w:rPr>
          <w:sz w:val="24"/>
        </w:rPr>
      </w:pPr>
      <w:r>
        <w:rPr>
          <w:sz w:val="24"/>
        </w:rPr>
      </w:r>
    </w:p>
    <w:p>
      <w:pPr>
        <w:pStyle w:val="Normal"/>
        <w:rPr/>
      </w:pPr>
      <w:r>
        <w:rPr/>
      </w:r>
    </w:p>
    <w:p>
      <w:pPr>
        <w:pStyle w:val="Heading3"/>
        <w:autoSpaceDE w:val="false"/>
        <w:ind w:hanging="0" w:start="0"/>
        <w:rPr>
          <w:bCs/>
          <w:lang w:val="en-US"/>
        </w:rPr>
      </w:pPr>
      <w:r>
        <w:rPr>
          <w:bCs/>
          <w:lang w:val="en-US"/>
        </w:rPr>
        <w:t>France</w:t>
      </w:r>
    </w:p>
    <w:p>
      <w:pPr>
        <w:pStyle w:val="Normal"/>
        <w:autoSpaceDE w:val="false"/>
        <w:spacing w:lineRule="atLeast" w:line="240"/>
        <w:ind w:firstLine="360" w:end="0"/>
        <w:jc w:val="both"/>
        <w:rPr>
          <w:b/>
          <w:bCs/>
          <w:color w:val="000000"/>
          <w:sz w:val="24"/>
          <w:lang w:val="en-US"/>
        </w:rPr>
      </w:pPr>
      <w:r>
        <w:rPr>
          <w:b/>
          <w:bCs/>
          <w:color w:val="000000"/>
          <w:sz w:val="24"/>
          <w:lang w:val="en-US"/>
        </w:rPr>
        <w:t xml:space="preserve">Electric  </w:t>
      </w:r>
    </w:p>
    <w:p>
      <w:pPr>
        <w:pStyle w:val="Normal"/>
        <w:numPr>
          <w:ilvl w:val="0"/>
          <w:numId w:val="2"/>
        </w:numPr>
        <w:autoSpaceDE w:val="false"/>
        <w:spacing w:lineRule="atLeast" w:line="240"/>
        <w:jc w:val="both"/>
        <w:rPr>
          <w:color w:val="000000"/>
          <w:sz w:val="24"/>
          <w:lang w:val="en-US"/>
        </w:rPr>
      </w:pPr>
      <w:r>
        <w:rPr>
          <w:color w:val="000000"/>
          <w:sz w:val="24"/>
          <w:lang w:val="en-US"/>
        </w:rPr>
        <w:t>Enron has sent a complaint letter sent to RTE and copies to the regulator regarding congestion management policy distorting cross border trade. RTE plans to meet Enron in London and discuss the issue on February 9.</w:t>
      </w:r>
    </w:p>
    <w:p>
      <w:pPr>
        <w:pStyle w:val="Normal"/>
        <w:numPr>
          <w:ilvl w:val="0"/>
          <w:numId w:val="2"/>
        </w:numPr>
        <w:autoSpaceDE w:val="false"/>
        <w:spacing w:lineRule="atLeast" w:line="240"/>
        <w:jc w:val="both"/>
        <w:rPr>
          <w:color w:val="000000"/>
          <w:sz w:val="24"/>
          <w:lang w:val="en-US"/>
        </w:rPr>
      </w:pPr>
      <w:r>
        <w:rPr>
          <w:color w:val="000000"/>
          <w:sz w:val="24"/>
          <w:lang w:val="en-US"/>
        </w:rPr>
        <w:t>EFET sent a follow up letter to the French regulator commenting on the current nomination procedure used by RTE and the excessive congestion fees on borders.</w:t>
      </w:r>
    </w:p>
    <w:p>
      <w:pPr>
        <w:pStyle w:val="Normal"/>
        <w:numPr>
          <w:ilvl w:val="0"/>
          <w:numId w:val="2"/>
        </w:numPr>
        <w:autoSpaceDE w:val="false"/>
        <w:spacing w:lineRule="atLeast" w:line="240"/>
        <w:jc w:val="both"/>
        <w:rPr>
          <w:color w:val="000000"/>
          <w:sz w:val="24"/>
          <w:lang w:val="en-US"/>
        </w:rPr>
      </w:pPr>
      <w:r>
        <w:rPr>
          <w:color w:val="000000"/>
          <w:sz w:val="24"/>
          <w:lang w:val="en-US"/>
        </w:rPr>
        <w:t>Capacity allocation requests, on the French/Italian border, have been extended to February 15, 2001. The start date for the use of the capacity has yet to be determined.</w:t>
      </w:r>
    </w:p>
    <w:p>
      <w:pPr>
        <w:pStyle w:val="Normal"/>
        <w:autoSpaceDE w:val="false"/>
        <w:spacing w:lineRule="atLeast" w:line="240"/>
        <w:jc w:val="both"/>
        <w:rPr>
          <w:color w:val="000000"/>
          <w:sz w:val="24"/>
          <w:lang w:val="en-US"/>
        </w:rPr>
      </w:pPr>
      <w:r>
        <w:rPr>
          <w:color w:val="000000"/>
          <w:sz w:val="24"/>
          <w:lang w:val="en-US"/>
        </w:rPr>
      </w:r>
    </w:p>
    <w:p>
      <w:pPr>
        <w:pStyle w:val="Normal"/>
        <w:autoSpaceDE w:val="false"/>
        <w:spacing w:lineRule="atLeast" w:line="240"/>
        <w:jc w:val="both"/>
        <w:rPr>
          <w:color w:val="000000"/>
          <w:sz w:val="24"/>
          <w:lang w:val="en-US"/>
        </w:rPr>
      </w:pPr>
      <w:r>
        <w:rPr>
          <w:color w:val="000000"/>
          <w:sz w:val="24"/>
          <w:lang w:val="en-US"/>
        </w:rPr>
      </w:r>
    </w:p>
    <w:p>
      <w:pPr>
        <w:pStyle w:val="Normal"/>
        <w:autoSpaceDE w:val="false"/>
        <w:spacing w:lineRule="atLeast" w:line="240"/>
        <w:ind w:firstLine="360" w:end="0"/>
        <w:jc w:val="both"/>
        <w:rPr>
          <w:b/>
          <w:bCs/>
          <w:color w:val="000000"/>
          <w:sz w:val="24"/>
          <w:lang w:val="en-US"/>
        </w:rPr>
      </w:pPr>
      <w:r>
        <w:rPr>
          <w:b/>
          <w:bCs/>
          <w:color w:val="000000"/>
          <w:sz w:val="24"/>
          <w:lang w:val="en-US"/>
        </w:rPr>
        <w:t>Gas</w:t>
      </w:r>
    </w:p>
    <w:p>
      <w:pPr>
        <w:pStyle w:val="Normal"/>
        <w:numPr>
          <w:ilvl w:val="0"/>
          <w:numId w:val="6"/>
        </w:numPr>
        <w:autoSpaceDE w:val="false"/>
        <w:spacing w:lineRule="atLeast" w:line="240"/>
        <w:jc w:val="both"/>
        <w:rPr>
          <w:color w:val="000000"/>
          <w:sz w:val="24"/>
          <w:lang w:val="en-US"/>
        </w:rPr>
      </w:pPr>
      <w:r>
        <w:rPr>
          <w:color w:val="000000"/>
          <w:sz w:val="24"/>
          <w:lang w:val="en-US"/>
        </w:rPr>
        <w:t>Gas supply licenses will be required once the new law is published (expected date: Q2 2001) and implemented. At the moment, gas supply licenses are not required.</w:t>
      </w:r>
    </w:p>
    <w:p>
      <w:pPr>
        <w:pStyle w:val="Normal"/>
        <w:autoSpaceDE w:val="false"/>
        <w:spacing w:lineRule="atLeast" w:line="240"/>
        <w:rPr>
          <w:color w:val="000000"/>
          <w:sz w:val="24"/>
          <w:lang w:val="en-US"/>
        </w:rPr>
      </w:pPr>
      <w:r>
        <w:rPr>
          <w:color w:val="000000"/>
          <w:sz w:val="24"/>
          <w:lang w:val="en-US"/>
        </w:rPr>
      </w:r>
    </w:p>
    <w:p>
      <w:pPr>
        <w:pStyle w:val="Normal"/>
        <w:autoSpaceDE w:val="false"/>
        <w:spacing w:lineRule="atLeast" w:line="240"/>
        <w:rPr>
          <w:color w:val="000000"/>
          <w:sz w:val="24"/>
          <w:lang w:val="en-US"/>
        </w:rPr>
      </w:pPr>
      <w:r>
        <w:rPr>
          <w:color w:val="000000"/>
          <w:sz w:val="24"/>
          <w:lang w:val="en-US"/>
        </w:rPr>
      </w:r>
    </w:p>
    <w:p>
      <w:pPr>
        <w:pStyle w:val="Heading3"/>
        <w:ind w:hanging="0" w:start="0"/>
        <w:jc w:val="both"/>
        <w:rPr>
          <w:bCs/>
        </w:rPr>
      </w:pPr>
      <w:r>
        <w:rPr>
          <w:bCs/>
        </w:rPr>
        <w:t>Spain</w:t>
      </w:r>
    </w:p>
    <w:p>
      <w:pPr>
        <w:pStyle w:val="BodyText3"/>
        <w:numPr>
          <w:ilvl w:val="0"/>
          <w:numId w:val="5"/>
        </w:numPr>
        <w:autoSpaceDE w:val="false"/>
        <w:rPr>
          <w:lang w:val="en-US"/>
        </w:rPr>
      </w:pPr>
      <w:r>
        <w:rPr>
          <w:lang w:val="en-US"/>
        </w:rPr>
        <w:t>Participated in the Consultative Committee of the CNE to discuss the new TPA decree (access conditions + tolls setting methodology). We also submitted written allegations to the draft decree in the direction of ensuring a facilitation of customer's ability to switch to market supplies (metering and TPA contract simplification), essential for Enron Directo's growth.</w:t>
      </w:r>
    </w:p>
    <w:p>
      <w:pPr>
        <w:pStyle w:val="Normal"/>
        <w:autoSpaceDE w:val="false"/>
        <w:spacing w:lineRule="atLeast" w:line="240"/>
        <w:rPr>
          <w:rFonts w:ascii="Helv;Arial" w:hAnsi="Helv;Arial" w:cs="Helv;Arial"/>
          <w:color w:val="000000"/>
          <w:lang w:val="en-US"/>
        </w:rPr>
      </w:pPr>
      <w:r>
        <w:rPr>
          <w:rFonts w:cs="Helv;Arial" w:ascii="Helv;Arial" w:hAnsi="Helv;Arial"/>
          <w:color w:val="000000"/>
          <w:lang w:val="en-US"/>
        </w:rPr>
      </w:r>
    </w:p>
    <w:p>
      <w:pPr>
        <w:pStyle w:val="Normal"/>
        <w:autoSpaceDE w:val="false"/>
        <w:spacing w:lineRule="atLeast" w:line="240"/>
        <w:jc w:val="both"/>
        <w:rPr>
          <w:rFonts w:ascii="Helv;Arial" w:hAnsi="Helv;Arial" w:cs="Helv;Arial"/>
          <w:color w:val="000000"/>
          <w:sz w:val="24"/>
          <w:lang w:val="en-US"/>
        </w:rPr>
      </w:pPr>
      <w:r>
        <w:rPr>
          <w:rFonts w:cs="Helv;Arial" w:ascii="Helv;Arial" w:hAnsi="Helv;Arial"/>
          <w:color w:val="000000"/>
          <w:sz w:val="24"/>
          <w:lang w:val="en-US"/>
        </w:rPr>
      </w:r>
    </w:p>
    <w:p>
      <w:pPr>
        <w:pStyle w:val="Heading4"/>
        <w:autoSpaceDE w:val="false"/>
        <w:ind w:hanging="0" w:start="0"/>
        <w:rPr>
          <w:bCs/>
          <w:lang w:val="en-US"/>
        </w:rPr>
      </w:pPr>
      <w:r>
        <w:rPr>
          <w:bCs/>
          <w:lang w:val="en-US"/>
        </w:rPr>
        <w:t>Italy</w:t>
      </w:r>
    </w:p>
    <w:p>
      <w:pPr>
        <w:pStyle w:val="BodyText3"/>
        <w:numPr>
          <w:ilvl w:val="0"/>
          <w:numId w:val="5"/>
        </w:numPr>
        <w:autoSpaceDE w:val="false"/>
        <w:rPr>
          <w:lang w:val="en-US"/>
        </w:rPr>
      </w:pPr>
      <w:r>
        <w:rPr>
          <w:lang w:val="en-US"/>
        </w:rPr>
        <w:t xml:space="preserve">We met with Ing. Fannelli, the new Director of Energy at MICA.  The main reason for the meeting was to establish whether the Ministry favored any particular approach to establishing the discount that cogeneration would obtain from the 2% renewables requirement, imposed to generators by the new Electricity Act.  In addition, we also enquired about the new power station permitting procedures, which will be simplified very soon, and discussed pool arrangements. </w:t>
      </w:r>
    </w:p>
    <w:p>
      <w:pPr>
        <w:pStyle w:val="Normal"/>
        <w:autoSpaceDE w:val="false"/>
        <w:spacing w:lineRule="atLeast" w:line="240"/>
        <w:jc w:val="both"/>
        <w:rPr>
          <w:bCs/>
          <w:color w:val="000000"/>
          <w:sz w:val="24"/>
          <w:lang w:val="en-US"/>
        </w:rPr>
      </w:pPr>
      <w:r>
        <w:rPr>
          <w:bCs/>
          <w:color w:val="000000"/>
          <w:sz w:val="24"/>
          <w:lang w:val="en-US"/>
        </w:rPr>
      </w:r>
    </w:p>
    <w:p>
      <w:pPr>
        <w:pStyle w:val="Normal"/>
        <w:autoSpaceDE w:val="false"/>
        <w:spacing w:lineRule="atLeast" w:line="240"/>
        <w:jc w:val="both"/>
        <w:rPr>
          <w:bCs/>
          <w:color w:val="000000"/>
          <w:sz w:val="24"/>
          <w:lang w:val="en-US"/>
        </w:rPr>
      </w:pPr>
      <w:r>
        <w:rPr>
          <w:bCs/>
          <w:color w:val="000000"/>
          <w:sz w:val="24"/>
          <w:lang w:val="en-US"/>
        </w:rPr>
      </w:r>
    </w:p>
    <w:p>
      <w:pPr>
        <w:pStyle w:val="Heading3"/>
        <w:ind w:hanging="0" w:start="0"/>
        <w:rPr/>
      </w:pPr>
      <w:r>
        <w:rPr/>
        <w:t>Greece</w:t>
      </w:r>
    </w:p>
    <w:p>
      <w:pPr>
        <w:pStyle w:val="BodyText3"/>
        <w:numPr>
          <w:ilvl w:val="0"/>
          <w:numId w:val="5"/>
        </w:numPr>
        <w:autoSpaceDE w:val="false"/>
        <w:rPr>
          <w:lang w:val="en-US"/>
        </w:rPr>
      </w:pPr>
      <w:r>
        <w:rPr>
          <w:lang w:val="en-US"/>
        </w:rPr>
        <w:t>Electricity supply license application in progress; letter prepared for regulator on why their license regulations are inconsistent with EU Directive, but keeping this in reserve unless necessary; attempting to seek agreement first.</w:t>
      </w:r>
    </w:p>
    <w:p>
      <w:pPr>
        <w:pStyle w:val="Heading8"/>
        <w:numPr>
          <w:ilvl w:val="0"/>
          <w:numId w:val="5"/>
        </w:numPr>
        <w:rPr/>
      </w:pPr>
      <w:r>
        <w:rPr/>
        <w:t>Meeting with RAE planned for end of February.</w:t>
      </w:r>
    </w:p>
    <w:p>
      <w:pPr>
        <w:pStyle w:val="Normal"/>
        <w:autoSpaceDE w:val="false"/>
        <w:spacing w:lineRule="atLeast" w:line="240"/>
        <w:jc w:val="both"/>
        <w:rPr>
          <w:color w:val="000000"/>
          <w:sz w:val="24"/>
          <w:lang w:val="en-US"/>
        </w:rPr>
      </w:pPr>
      <w:r>
        <w:rPr>
          <w:color w:val="000000"/>
          <w:sz w:val="24"/>
          <w:lang w:val="en-US"/>
        </w:rPr>
      </w:r>
    </w:p>
    <w:p>
      <w:pPr>
        <w:pStyle w:val="Normal"/>
        <w:autoSpaceDE w:val="false"/>
        <w:spacing w:lineRule="atLeast" w:line="240"/>
        <w:jc w:val="both"/>
        <w:rPr>
          <w:color w:val="000000"/>
          <w:sz w:val="24"/>
          <w:lang w:val="en-US"/>
        </w:rPr>
      </w:pPr>
      <w:r>
        <w:rPr>
          <w:color w:val="000000"/>
          <w:sz w:val="24"/>
          <w:lang w:val="en-US"/>
        </w:rPr>
      </w:r>
    </w:p>
    <w:p>
      <w:pPr>
        <w:pStyle w:val="Heading8"/>
        <w:ind w:hanging="0" w:start="0"/>
        <w:rPr>
          <w:b/>
          <w:bCs/>
        </w:rPr>
      </w:pPr>
      <w:r>
        <w:rPr>
          <w:b/>
          <w:bCs/>
        </w:rPr>
        <w:t>Poland</w:t>
      </w:r>
    </w:p>
    <w:p>
      <w:pPr>
        <w:pStyle w:val="Normal"/>
        <w:numPr>
          <w:ilvl w:val="0"/>
          <w:numId w:val="3"/>
        </w:numPr>
        <w:autoSpaceDE w:val="false"/>
        <w:spacing w:lineRule="atLeast" w:line="240"/>
        <w:jc w:val="both"/>
        <w:rPr>
          <w:color w:val="000000"/>
          <w:sz w:val="24"/>
          <w:lang w:val="en-US"/>
        </w:rPr>
      </w:pPr>
      <w:r>
        <w:rPr>
          <w:color w:val="000000"/>
          <w:sz w:val="24"/>
          <w:lang w:val="en-US"/>
        </w:rPr>
        <w:t>Enron will visit the new UK Ambassador in Warsaw on 21 Feb</w:t>
      </w:r>
    </w:p>
    <w:p>
      <w:pPr>
        <w:pStyle w:val="Normal"/>
        <w:numPr>
          <w:ilvl w:val="0"/>
          <w:numId w:val="3"/>
        </w:numPr>
        <w:autoSpaceDE w:val="false"/>
        <w:spacing w:lineRule="atLeast" w:line="240"/>
        <w:jc w:val="both"/>
        <w:rPr>
          <w:color w:val="000000"/>
          <w:sz w:val="24"/>
          <w:lang w:val="en-US"/>
        </w:rPr>
      </w:pPr>
      <w:r>
        <w:rPr>
          <w:color w:val="000000"/>
          <w:sz w:val="24"/>
          <w:lang w:val="en-US"/>
        </w:rPr>
        <w:t>Gas for Europe conference by deputy PM on 23 Feb; trying to secure invitations</w:t>
      </w:r>
    </w:p>
    <w:p>
      <w:pPr>
        <w:pStyle w:val="Normal"/>
        <w:numPr>
          <w:ilvl w:val="0"/>
          <w:numId w:val="3"/>
        </w:numPr>
        <w:autoSpaceDE w:val="false"/>
        <w:spacing w:lineRule="atLeast" w:line="240"/>
        <w:jc w:val="both"/>
        <w:rPr>
          <w:color w:val="000000"/>
          <w:sz w:val="24"/>
          <w:lang w:val="en-US"/>
        </w:rPr>
      </w:pPr>
      <w:r>
        <w:rPr>
          <w:color w:val="000000"/>
          <w:sz w:val="24"/>
          <w:lang w:val="en-US"/>
        </w:rPr>
        <w:t>Electricity trading tariffs are being resubmitted for approval with additional working as required</w:t>
      </w:r>
    </w:p>
    <w:p>
      <w:pPr>
        <w:pStyle w:val="Normal"/>
        <w:numPr>
          <w:ilvl w:val="0"/>
          <w:numId w:val="3"/>
        </w:numPr>
        <w:autoSpaceDE w:val="false"/>
        <w:spacing w:lineRule="atLeast" w:line="240"/>
        <w:jc w:val="both"/>
        <w:rPr>
          <w:color w:val="000000"/>
          <w:sz w:val="24"/>
          <w:lang w:val="en-US"/>
        </w:rPr>
      </w:pPr>
      <w:r>
        <w:rPr>
          <w:color w:val="000000"/>
          <w:sz w:val="24"/>
          <w:lang w:val="en-US"/>
        </w:rPr>
        <w:t>Enron is seeking to join the Chamber of Commerce for Energy and Environmental protection: terms have been requested for legal review</w:t>
      </w:r>
    </w:p>
    <w:p>
      <w:pPr>
        <w:pStyle w:val="Normal"/>
        <w:numPr>
          <w:ilvl w:val="0"/>
          <w:numId w:val="3"/>
        </w:numPr>
        <w:autoSpaceDE w:val="false"/>
        <w:spacing w:lineRule="atLeast" w:line="240"/>
        <w:jc w:val="both"/>
        <w:rPr>
          <w:color w:val="000000"/>
          <w:sz w:val="24"/>
          <w:lang w:val="en-US"/>
        </w:rPr>
      </w:pPr>
      <w:r>
        <w:rPr>
          <w:color w:val="000000"/>
          <w:sz w:val="24"/>
          <w:lang w:val="en-US"/>
        </w:rPr>
        <w:t>URE has requested confirmation of commercial negotiations in order to progress our gas license application</w:t>
      </w:r>
    </w:p>
    <w:p>
      <w:pPr>
        <w:pStyle w:val="Normal"/>
        <w:autoSpaceDE w:val="false"/>
        <w:spacing w:lineRule="atLeast" w:line="240"/>
        <w:jc w:val="both"/>
        <w:rPr>
          <w:b/>
          <w:bCs/>
          <w:color w:val="000000"/>
          <w:sz w:val="24"/>
          <w:lang w:val="en-US"/>
        </w:rPr>
      </w:pPr>
      <w:r>
        <w:rPr>
          <w:b/>
          <w:bCs/>
          <w:color w:val="000000"/>
          <w:sz w:val="24"/>
          <w:lang w:val="en-US"/>
        </w:rPr>
      </w:r>
    </w:p>
    <w:p>
      <w:pPr>
        <w:pStyle w:val="Normal"/>
        <w:autoSpaceDE w:val="false"/>
        <w:spacing w:lineRule="atLeast" w:line="240"/>
        <w:jc w:val="both"/>
        <w:rPr>
          <w:color w:val="000000"/>
          <w:sz w:val="24"/>
          <w:lang w:val="en-US"/>
        </w:rPr>
      </w:pPr>
      <w:r>
        <w:rPr>
          <w:b/>
          <w:bCs/>
          <w:color w:val="000000"/>
          <w:sz w:val="24"/>
          <w:lang w:val="en-US"/>
        </w:rPr>
        <w:t>Russia</w:t>
      </w:r>
    </w:p>
    <w:p>
      <w:pPr>
        <w:pStyle w:val="Normal"/>
        <w:numPr>
          <w:ilvl w:val="0"/>
          <w:numId w:val="4"/>
        </w:numPr>
        <w:autoSpaceDE w:val="false"/>
        <w:spacing w:lineRule="atLeast" w:line="240"/>
        <w:jc w:val="both"/>
        <w:rPr>
          <w:color w:val="000000"/>
          <w:sz w:val="24"/>
          <w:lang w:val="en-US"/>
        </w:rPr>
      </w:pPr>
      <w:r>
        <w:rPr>
          <w:color w:val="000000"/>
          <w:sz w:val="24"/>
          <w:lang w:val="en-US"/>
        </w:rPr>
        <w:t>UK DTI is seeking views on how to open up trade in services in Russia under accession negotiations to WTO.  Points on energy services are included (signing Energy Charter Treaty, establishment of independent regulator etc)</w:t>
      </w:r>
    </w:p>
    <w:p>
      <w:pPr>
        <w:pStyle w:val="Normal"/>
        <w:autoSpaceDE w:val="false"/>
        <w:spacing w:lineRule="atLeast" w:line="240"/>
        <w:jc w:val="both"/>
        <w:rPr>
          <w:rFonts w:ascii="Helv;Arial" w:hAnsi="Helv;Arial" w:cs="Helv;Arial"/>
          <w:b/>
          <w:bCs/>
          <w:color w:val="000000"/>
          <w:sz w:val="24"/>
          <w:lang w:val="en-US"/>
        </w:rPr>
      </w:pPr>
      <w:r>
        <w:rPr>
          <w:rFonts w:cs="Helv;Arial" w:ascii="Helv;Arial" w:hAnsi="Helv;Arial"/>
          <w:b/>
          <w:bCs/>
          <w:color w:val="000000"/>
          <w:sz w:val="24"/>
          <w:lang w:val="en-US"/>
        </w:rPr>
      </w:r>
    </w:p>
    <w:p>
      <w:pPr>
        <w:pStyle w:val="Heading4"/>
        <w:autoSpaceDE w:val="false"/>
        <w:ind w:hanging="0" w:start="0"/>
        <w:rPr>
          <w:bCs/>
          <w:lang w:val="en-US"/>
        </w:rPr>
      </w:pPr>
      <w:r>
        <w:rPr>
          <w:bCs/>
          <w:lang w:val="en-US"/>
        </w:rPr>
        <w:t>Sweden</w:t>
      </w:r>
    </w:p>
    <w:p>
      <w:pPr>
        <w:pStyle w:val="Normal"/>
        <w:numPr>
          <w:ilvl w:val="0"/>
          <w:numId w:val="4"/>
        </w:numPr>
        <w:autoSpaceDE w:val="false"/>
        <w:spacing w:lineRule="atLeast" w:line="240"/>
        <w:jc w:val="both"/>
        <w:rPr>
          <w:color w:val="000000"/>
          <w:sz w:val="24"/>
          <w:lang w:val="en-US"/>
        </w:rPr>
      </w:pPr>
      <w:r>
        <w:rPr>
          <w:color w:val="000000"/>
          <w:sz w:val="24"/>
          <w:lang w:val="en-US"/>
        </w:rPr>
        <w:t xml:space="preserve">On 24 January we received a response to our 13 December request from Baltic Cable on third party access conditions to the cable. They say they cannot get back to us until early March. This is unsatisfactory since under the Swedish Electricity Act, they would be obliged to provide this information "without delay". We have sent a complaint to them on 25 January with a copy to the Swedish regulator. </w:t>
      </w:r>
    </w:p>
    <w:p>
      <w:pPr>
        <w:pStyle w:val="Normal"/>
        <w:autoSpaceDE w:val="false"/>
        <w:spacing w:lineRule="atLeast" w:line="240"/>
        <w:rPr>
          <w:color w:val="000000"/>
          <w:sz w:val="24"/>
          <w:lang w:val="en-US"/>
        </w:rPr>
      </w:pPr>
      <w:r>
        <w:rPr>
          <w:color w:val="000000"/>
          <w:sz w:val="24"/>
          <w:lang w:val="en-US"/>
        </w:rPr>
      </w:r>
    </w:p>
    <w:p>
      <w:pPr>
        <w:pStyle w:val="Normal"/>
        <w:autoSpaceDE w:val="false"/>
        <w:spacing w:lineRule="atLeast" w:line="240"/>
        <w:jc w:val="both"/>
        <w:rPr/>
      </w:pPr>
      <w:r>
        <w:rPr>
          <w:color w:val="000000"/>
          <w:sz w:val="24"/>
          <w:lang w:val="en-US"/>
        </w:rPr>
        <w:t>A new feature of this report, per customer input, will be to highlight a significant new development.   In this week’s report, we highlight the current status of the upcoming acceleration directives:-</w:t>
      </w:r>
      <w:r>
        <w:rPr>
          <w:rFonts w:cs="Helv;Arial" w:ascii="Helv;Arial" w:hAnsi="Helv;Arial"/>
          <w:color w:val="000000"/>
          <w:lang w:val="en-US"/>
        </w:rPr>
        <w:t xml:space="preserve"> </w:t>
      </w:r>
    </w:p>
    <w:p>
      <w:pPr>
        <w:pStyle w:val="Normal"/>
        <w:autoSpaceDE w:val="false"/>
        <w:spacing w:lineRule="atLeast" w:line="240"/>
        <w:jc w:val="both"/>
        <w:rPr>
          <w:rFonts w:ascii="Helv;Arial" w:hAnsi="Helv;Arial" w:cs="Helv;Arial"/>
          <w:color w:val="000000"/>
          <w:lang w:val="en-US"/>
        </w:rPr>
      </w:pPr>
      <w:r>
        <w:rPr>
          <w:rFonts w:cs="Helv;Arial" w:ascii="Helv;Arial" w:hAnsi="Helv;Arial"/>
          <w:color w:val="000000"/>
          <w:lang w:val="en-US"/>
        </w:rPr>
      </w:r>
    </w:p>
    <w:p>
      <w:pPr>
        <w:pStyle w:val="Normal"/>
        <w:autoSpaceDE w:val="false"/>
        <w:spacing w:lineRule="atLeast" w:line="240"/>
        <w:jc w:val="both"/>
        <w:rPr/>
      </w:pPr>
      <w:r>
        <w:rPr>
          <w:color w:val="000000"/>
          <w:sz w:val="24"/>
          <w:lang w:val="en-US"/>
        </w:rPr>
        <w:t>At meetings we attended on the 24th and 25th of January, we learnt</w:t>
      </w:r>
      <w:r>
        <w:rPr>
          <w:sz w:val="24"/>
        </w:rPr>
        <w:t xml:space="preserve"> that the forthcoming proposal for the amendments to the Electricity and Gas Directives will include the following:</w:t>
      </w:r>
    </w:p>
    <w:p>
      <w:pPr>
        <w:pStyle w:val="BodyTextIndent"/>
        <w:rPr>
          <w:sz w:val="24"/>
        </w:rPr>
      </w:pPr>
      <w:r>
        <w:rPr>
          <w:sz w:val="24"/>
        </w:rPr>
      </w:r>
    </w:p>
    <w:p>
      <w:pPr>
        <w:pStyle w:val="BodyTextIndent"/>
        <w:numPr>
          <w:ilvl w:val="0"/>
          <w:numId w:val="4"/>
        </w:numPr>
        <w:rPr/>
      </w:pPr>
      <w:r>
        <w:rPr/>
        <w:t>Market opening: all non-domestic electricity customers to become eligible in 2003, gas in 2004. All customers (100% market opening) to become eligible 2005.</w:t>
      </w:r>
    </w:p>
    <w:p>
      <w:pPr>
        <w:pStyle w:val="Normal"/>
        <w:ind w:start="720" w:end="0"/>
        <w:jc w:val="both"/>
        <w:rPr>
          <w:sz w:val="24"/>
        </w:rPr>
      </w:pPr>
      <w:r>
        <w:rPr>
          <w:sz w:val="24"/>
        </w:rPr>
        <w:t xml:space="preserve">Regulated third party access </w:t>
      </w:r>
    </w:p>
    <w:p>
      <w:pPr>
        <w:pStyle w:val="Normal"/>
        <w:ind w:start="720" w:end="0"/>
        <w:jc w:val="both"/>
        <w:rPr>
          <w:sz w:val="24"/>
        </w:rPr>
      </w:pPr>
      <w:r>
        <w:rPr>
          <w:sz w:val="24"/>
        </w:rPr>
        <w:t>A minimum of legal unbundling plus a number of structural measures to ensure that the subsidiary acts independently.</w:t>
      </w:r>
    </w:p>
    <w:p>
      <w:pPr>
        <w:pStyle w:val="Normal"/>
        <w:ind w:start="720" w:end="0"/>
        <w:jc w:val="both"/>
        <w:rPr>
          <w:sz w:val="24"/>
        </w:rPr>
      </w:pPr>
      <w:r>
        <w:rPr>
          <w:sz w:val="24"/>
        </w:rPr>
        <w:t xml:space="preserve">Requirement to establish an independent regulator </w:t>
      </w:r>
    </w:p>
    <w:p>
      <w:pPr>
        <w:pStyle w:val="Normal"/>
        <w:ind w:start="720" w:end="0"/>
        <w:jc w:val="both"/>
        <w:rPr>
          <w:sz w:val="24"/>
        </w:rPr>
      </w:pPr>
      <w:r>
        <w:rPr>
          <w:sz w:val="24"/>
        </w:rPr>
        <w:t xml:space="preserve">Removal of redundant provisions, such as single buyer and the tendering procedure </w:t>
      </w:r>
    </w:p>
    <w:p>
      <w:pPr>
        <w:pStyle w:val="Normal"/>
        <w:ind w:start="720" w:end="0"/>
        <w:jc w:val="both"/>
        <w:rPr>
          <w:sz w:val="24"/>
        </w:rPr>
      </w:pPr>
      <w:r>
        <w:rPr>
          <w:sz w:val="24"/>
        </w:rPr>
      </w:r>
    </w:p>
    <w:p>
      <w:pPr>
        <w:pStyle w:val="Normal"/>
        <w:ind w:start="720" w:end="0"/>
        <w:jc w:val="both"/>
        <w:rPr>
          <w:sz w:val="24"/>
        </w:rPr>
      </w:pPr>
      <w:r>
        <w:rPr>
          <w:sz w:val="24"/>
        </w:rPr>
        <w:t>We learnt that a separate piece of legislation on cross-border issues in electricity will be proposed by the Commission parallel to the amendments to the Directives. This will come in a form of Regulation, which means that unlike the Directive it will be directly applicable without having to be implemented into national legislation by Member States. The Regulation will provide general guidelines on cross-border tariffication, capacity allocation and congestion management, the areas previously excluded from the Community legislation and left to the process of voluntary negotiations within the framework of the Florence process.</w:t>
      </w:r>
    </w:p>
    <w:p>
      <w:pPr>
        <w:pStyle w:val="Heading4"/>
        <w:ind w:hanging="0" w:start="0"/>
        <w:rPr>
          <w:sz w:val="24"/>
        </w:rPr>
      </w:pPr>
      <w:r>
        <w:rPr>
          <w:sz w:val="24"/>
        </w:rPr>
      </w:r>
    </w:p>
    <w:p>
      <w:pPr>
        <w:pStyle w:val="Normal"/>
        <w:spacing w:lineRule="atLeast" w:line="240"/>
        <w:jc w:val="both"/>
        <w:rPr>
          <w:b/>
          <w:color w:val="000000"/>
          <w:sz w:val="24"/>
          <w:lang w:val="en-AU"/>
        </w:rPr>
      </w:pPr>
      <w:r>
        <w:rPr>
          <w:b/>
          <w:color w:val="000000"/>
          <w:sz w:val="24"/>
          <w:lang w:val="en-AU"/>
        </w:rPr>
      </w:r>
    </w:p>
    <w:p>
      <w:pPr>
        <w:pStyle w:val="Normal"/>
        <w:spacing w:lineRule="atLeast" w:line="240"/>
        <w:jc w:val="both"/>
        <w:rPr>
          <w:b/>
          <w:color w:val="000000"/>
          <w:sz w:val="24"/>
          <w:lang w:val="en-AU"/>
        </w:rPr>
      </w:pPr>
      <w:r>
        <w:rPr>
          <w:b/>
          <w:color w:val="000000"/>
          <w:sz w:val="24"/>
          <w:lang w:val="en-AU"/>
        </w:rPr>
        <w:t>Distribution</w:t>
      </w:r>
    </w:p>
    <w:p>
      <w:pPr>
        <w:pStyle w:val="Normal"/>
        <w:spacing w:lineRule="atLeast" w:line="240"/>
        <w:jc w:val="both"/>
        <w:rPr>
          <w:b/>
          <w:color w:val="000000"/>
          <w:sz w:val="24"/>
          <w:lang w:val="en-AU"/>
        </w:rPr>
      </w:pPr>
      <w:r>
        <w:rPr>
          <w:b/>
          <w:color w:val="000000"/>
          <w:sz w:val="24"/>
          <w:lang w:val="en-AU"/>
        </w:rPr>
      </w:r>
    </w:p>
    <w:tbl>
      <w:tblPr>
        <w:tblW w:w="8520" w:type="dxa"/>
        <w:jc w:val="start"/>
        <w:tblInd w:w="0" w:type="dxa"/>
        <w:tblLayout w:type="fixed"/>
        <w:tblCellMar>
          <w:top w:w="0" w:type="dxa"/>
          <w:start w:w="108" w:type="dxa"/>
          <w:bottom w:w="0" w:type="dxa"/>
          <w:end w:w="108" w:type="dxa"/>
        </w:tblCellMar>
      </w:tblPr>
      <w:tblGrid>
        <w:gridCol w:w="2840"/>
        <w:gridCol w:w="2840"/>
        <w:gridCol w:w="2840"/>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Govt Affairs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Jarek Astramowicz</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 Bortolotti</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Dan Badger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Justin Boyd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Michael R Brown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Alan Black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Jon Chapman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Chivers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Mary Nell Browning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Evans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Andreas Wagner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Elliott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Frevert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Eric Gadd</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Viviana Florio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Joe Gold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Haedicke</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Jackie Gentle</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Joe Hillings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Steven J Kean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Richard Harper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TLien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Elizabeth Linnell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Tom Kearney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 Long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Christopher McKey</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Katie Lomax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Keith Miller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Muller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Mead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Lindolfo Ernesto Paixao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Roy Poyntz</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Earlene O'Connell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Robert Quick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Martin Rosell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 Presiaux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Matthew Scrimshaw</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Simons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Robert Saltiel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Stuart Staley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Bruce Stram</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John Sherriff</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Marcus Von Bock Und Polach</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Christoph Waltenspuel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Tim Underdown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Charmaine McGill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John Oliver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color w:val="000000"/>
                <w:sz w:val="24"/>
                <w:lang w:val="en-AU"/>
              </w:rPr>
              <w:t>Jane Wilson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Bob Manasse</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Paul Turner</w:t>
            </w:r>
          </w:p>
        </w:tc>
      </w:tr>
    </w:tbl>
    <w:p>
      <w:pPr>
        <w:pStyle w:val="Normal"/>
        <w:jc w:val="both"/>
        <w:rPr/>
      </w:pPr>
      <w:r>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Helv;Arial" w:hAnsi="Helv;Arial" w:cs="Helv;Arial"/>
      <w:b/>
      <w:color w:val="000000"/>
      <w:sz w:val="22"/>
      <w:lang w:val="en-AU"/>
    </w:rPr>
  </w:style>
  <w:style w:type="paragraph" w:styleId="Heading2">
    <w:name w:val="heading 2"/>
    <w:basedOn w:val="Normal"/>
    <w:next w:val="Normal"/>
    <w:qFormat/>
    <w:pPr>
      <w:keepNext w:val="true"/>
      <w:numPr>
        <w:ilvl w:val="1"/>
        <w:numId w:val="1"/>
      </w:numPr>
      <w:spacing w:lineRule="atLeast" w:line="240"/>
      <w:outlineLvl w:val="1"/>
    </w:pPr>
    <w:rPr>
      <w:color w:val="000000"/>
      <w:sz w:val="24"/>
      <w:lang w:val="en-AU"/>
    </w:rPr>
  </w:style>
  <w:style w:type="paragraph" w:styleId="Heading3">
    <w:name w:val="heading 3"/>
    <w:basedOn w:val="Normal"/>
    <w:next w:val="Normal"/>
    <w:qFormat/>
    <w:pPr>
      <w:keepNext w:val="true"/>
      <w:numPr>
        <w:ilvl w:val="2"/>
        <w:numId w:val="1"/>
      </w:numPr>
      <w:spacing w:lineRule="atLeast" w:line="240"/>
      <w:outlineLvl w:val="2"/>
    </w:pPr>
    <w:rPr>
      <w:b/>
      <w:color w:val="000000"/>
      <w:sz w:val="24"/>
      <w:lang w:val="en-AU"/>
    </w:rPr>
  </w:style>
  <w:style w:type="paragraph" w:styleId="Heading4">
    <w:name w:val="heading 4"/>
    <w:basedOn w:val="Normal"/>
    <w:next w:val="Normal"/>
    <w:qFormat/>
    <w:pPr>
      <w:keepNext w:val="true"/>
      <w:numPr>
        <w:ilvl w:val="3"/>
        <w:numId w:val="1"/>
      </w:numPr>
      <w:spacing w:lineRule="atLeast" w:line="240"/>
      <w:jc w:val="both"/>
      <w:outlineLvl w:val="3"/>
    </w:pPr>
    <w:rPr>
      <w:b/>
      <w:color w:val="000000"/>
      <w:sz w:val="24"/>
      <w:lang w:val="en-AU"/>
    </w:rPr>
  </w:style>
  <w:style w:type="paragraph" w:styleId="Heading5">
    <w:name w:val="heading 5"/>
    <w:basedOn w:val="Normal"/>
    <w:next w:val="Normal"/>
    <w:qFormat/>
    <w:pPr>
      <w:keepNext w:val="true"/>
      <w:numPr>
        <w:ilvl w:val="4"/>
        <w:numId w:val="1"/>
      </w:numPr>
      <w:jc w:val="both"/>
      <w:outlineLvl w:val="4"/>
    </w:pPr>
    <w:rPr>
      <w:b/>
      <w:sz w:val="24"/>
    </w:rPr>
  </w:style>
  <w:style w:type="paragraph" w:styleId="Heading6">
    <w:name w:val="heading 6"/>
    <w:basedOn w:val="Normal"/>
    <w:next w:val="Normal"/>
    <w:qFormat/>
    <w:pPr>
      <w:keepNext w:val="true"/>
      <w:numPr>
        <w:ilvl w:val="5"/>
        <w:numId w:val="1"/>
      </w:numPr>
      <w:spacing w:lineRule="atLeast" w:line="240"/>
      <w:outlineLvl w:val="5"/>
    </w:pPr>
    <w:rPr>
      <w:rFonts w:ascii="Helv;Arial" w:hAnsi="Helv;Arial" w:cs="Helv;Arial"/>
      <w:b/>
      <w:color w:val="000000"/>
      <w:lang w:val="en-AU"/>
    </w:rPr>
  </w:style>
  <w:style w:type="paragraph" w:styleId="Heading7">
    <w:name w:val="heading 7"/>
    <w:basedOn w:val="Normal"/>
    <w:next w:val="Normal"/>
    <w:qFormat/>
    <w:pPr>
      <w:keepNext w:val="true"/>
      <w:numPr>
        <w:ilvl w:val="6"/>
        <w:numId w:val="1"/>
      </w:numPr>
      <w:autoSpaceDE w:val="false"/>
      <w:spacing w:lineRule="atLeast" w:line="240"/>
      <w:outlineLvl w:val="6"/>
    </w:pPr>
    <w:rPr>
      <w:b/>
      <w:bCs/>
      <w:color w:val="000000"/>
      <w:sz w:val="24"/>
      <w:u w:val="single"/>
      <w:lang w:val="en-US"/>
    </w:rPr>
  </w:style>
  <w:style w:type="paragraph" w:styleId="Heading8">
    <w:name w:val="heading 8"/>
    <w:basedOn w:val="Normal"/>
    <w:next w:val="Normal"/>
    <w:qFormat/>
    <w:pPr>
      <w:keepNext w:val="true"/>
      <w:numPr>
        <w:ilvl w:val="7"/>
        <w:numId w:val="1"/>
      </w:numPr>
      <w:autoSpaceDE w:val="false"/>
      <w:spacing w:lineRule="atLeast" w:line="240"/>
      <w:jc w:val="both"/>
      <w:outlineLvl w:val="7"/>
    </w:pPr>
    <w:rPr>
      <w:color w:val="000000"/>
      <w:sz w:val="24"/>
      <w:lang w:val="en-US"/>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Times New Roman" w:hAnsi="Times New Roman" w:eastAsia="Times New Roman" w:cs="Times New Roman"/>
    </w:rPr>
  </w:style>
  <w:style w:type="character" w:styleId="WW8Num10z2">
    <w:name w:val="WW8Num10z2"/>
    <w:qFormat/>
    <w:rPr>
      <w:rFonts w:ascii="Wingdings" w:hAnsi="Wingdings" w:cs="Wingdings"/>
    </w:rPr>
  </w:style>
  <w:style w:type="character" w:styleId="WW8Num10z4">
    <w:name w:val="WW8Num10z4"/>
    <w:qFormat/>
    <w:rPr>
      <w:rFonts w:ascii="Courier New" w:hAnsi="Courier New" w:cs="Courier New"/>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Times New Roman" w:hAnsi="Times New Roman" w:cs="Times New Roman"/>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Wingdings" w:hAnsi="Wingdings" w:cs="Wingdings"/>
    </w:rPr>
  </w:style>
  <w:style w:type="character" w:styleId="WW8Num49z0">
    <w:name w:val="WW8Num49z0"/>
    <w:qFormat/>
    <w:rPr>
      <w:rFonts w:ascii="Symbol" w:hAnsi="Symbol" w:cs="Symbol"/>
    </w:rPr>
  </w:style>
  <w:style w:type="character" w:styleId="WW8Num50z0">
    <w:name w:val="WW8Num50z0"/>
    <w:qFormat/>
    <w:rPr>
      <w:rFonts w:ascii="Wingdings" w:hAnsi="Wingdings" w:cs="Wingdings"/>
    </w:rPr>
  </w:style>
  <w:style w:type="character" w:styleId="WW8Num51z0">
    <w:name w:val="WW8Num51z0"/>
    <w:qFormat/>
    <w:rPr>
      <w:rFonts w:ascii="Wingdings" w:hAnsi="Wingdings" w:cs="Wingdings"/>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Times New Roman" w:hAnsi="Times New Roman" w:cs="Times New Roman"/>
    </w:rPr>
  </w:style>
  <w:style w:type="character" w:styleId="WW8Num60z0">
    <w:name w:val="WW8Num60z0"/>
    <w:qFormat/>
    <w:rPr>
      <w:rFonts w:ascii="Symbol" w:hAnsi="Symbol" w:cs="Symbol"/>
    </w:rPr>
  </w:style>
  <w:style w:type="character" w:styleId="WW8Num61z0">
    <w:name w:val="WW8Num61z0"/>
    <w:qFormat/>
    <w:rPr>
      <w:rFonts w:ascii="Wingdings" w:hAnsi="Wingdings" w:cs="Wingdings"/>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pPr>
    <w:rPr>
      <w:color w:val="000000"/>
      <w:sz w:val="22"/>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color w:val="000000"/>
      <w:sz w:val="24"/>
      <w:lang w:val="en-AU"/>
    </w:rPr>
  </w:style>
  <w:style w:type="paragraph" w:styleId="BodyText3">
    <w:name w:val="Body Text 3"/>
    <w:basedOn w:val="Normal"/>
    <w:qFormat/>
    <w:pPr>
      <w:spacing w:lineRule="atLeast" w:line="240"/>
      <w:jc w:val="both"/>
    </w:pPr>
    <w:rPr>
      <w:color w:val="000000"/>
      <w:sz w:val="24"/>
      <w:lang w:val="en-AU"/>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2001-01-25T15:19:00Z</dcterms:created>
  <dc:creator>SEvans2</dc:creator>
  <dc:description/>
  <dc:language>en-CA</dc:language>
  <cp:lastModifiedBy>bashcrof</cp:lastModifiedBy>
  <cp:lastPrinted>2001-01-26T14:30:00Z</cp:lastPrinted>
  <dcterms:modified xsi:type="dcterms:W3CDTF">2001-01-26T16:02:00Z</dcterms:modified>
  <cp:revision>7</cp:revision>
  <dc:subject/>
  <dc:title>Weekly Report </dc:title>
</cp:coreProperties>
</file>