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MEDIA 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DRAFT</w:t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Actions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Establish a coalition representing a wide array of stakeholders with an interest in California's electricity market.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Have the coalition work with the media to educate opinion leaders and decision makers on: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events that have led to recent price spikes in California;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best options available to decision makers to address the problem (short term/long term);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best means to implement the short term options immediately.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Timing</w:t>
      </w:r>
      <w:r>
        <w:rPr/>
        <w:t>--Immediately</w:t>
      </w:r>
    </w:p>
    <w:p>
      <w:pPr>
        <w:pStyle w:val="Normal"/>
        <w:bidi w:val="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bidi w:val="0"/>
        <w:jc w:val="start"/>
        <w:rPr>
          <w:b/>
          <w:u w:val="single"/>
        </w:rPr>
      </w:pPr>
      <w:r>
        <w:rPr>
          <w:b/>
          <w:u w:val="single"/>
        </w:rPr>
        <w:t xml:space="preserve">Media Approaches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Editorial board meetings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"Advertorials"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Direct pitches to reporters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Possible Coalition Partners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bidi w:val="0"/>
        <w:jc w:val="start"/>
        <w:rPr/>
      </w:pPr>
      <w:r>
        <w:rPr>
          <w:b/>
          <w:i/>
        </w:rPr>
        <w:t>Consumers</w:t>
      </w:r>
      <w:r>
        <w:rPr/>
        <w:tab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Retail competitors' specific customers (e.g., University of California, Cal State University, etc.); California Manufacturers' Association; California Retailers Association; California Industrial Users; CLECA; SPURR/REMAC (provide power and gas to the K-12 schools in CA)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Generators/Marketers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Independent Energy Producers (IEP); Alliance for Retail Markets (ARM)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Environmentalists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Environmental Defense Fund (EDF)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Others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Infrastructure providers (e.g., competitive meter providers); CalTax (McNally/Temple contact); California Chamber of Commerce (McNally/Temple contact).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Key Message Points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Short term politics lead to long term problems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Blackouts are far more expensive than price volatility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A return to regulation is a return to the regime that brought us shortages and stranded costs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Price caps cause shortages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Think of gas lines in the seventies or bread lines in the Soviet Union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Price caps discourage investment and drive scarce supplies to other markets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Price caps discourage conservation efforts such as DSM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The market has been delivering and continues to deliver solutions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Response to RFPs in San Diego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Retailers have been offering and continue to offer power at fixed prices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Risk management examples (i.e., United Illuminating, Champion Paper, People’s Gas)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Demand-side management; distributed Generation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279</Words>
  <Characters>0</Characters>
  <CharactersWithSpaces>1594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2000-07-18T15:12:00Z</dcterms:created>
  <dc:creator>jdasovic</dc:creator>
  <dc:description/>
  <dc:language>en-US</dc:language>
  <cp:lastModifiedBy/>
  <dcterms:modified xsi:type="dcterms:W3CDTF">2000-07-18T16:35:00Z</dcterms:modified>
  <cp:revision>6</cp:revision>
  <dc:subject/>
  <dc:title>Actions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jdasovic</vt:lpwstr>
  </property>
</Properties>
</file>