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8" w:type="dxa"/>
        <w:jc w:val="start"/>
        <w:tblInd w:w="0" w:type="dxa"/>
        <w:tblLayout w:type="fixed"/>
        <w:tblCellMar>
          <w:top w:w="0" w:type="dxa"/>
          <w:start w:w="108" w:type="dxa"/>
          <w:bottom w:w="0" w:type="dxa"/>
          <w:end w:w="108" w:type="dxa"/>
        </w:tblCellMar>
      </w:tblPr>
      <w:tblGrid>
        <w:gridCol w:w="3516"/>
        <w:gridCol w:w="3516"/>
        <w:gridCol w:w="154"/>
        <w:gridCol w:w="3362"/>
      </w:tblGrid>
      <w:tr>
        <w:trPr>
          <w:trHeight w:val="723" w:hRule="atLeast"/>
        </w:trPr>
        <w:tc>
          <w:tcPr>
            <w:tcW w:w="3516" w:type="dxa"/>
            <w:tcBorders/>
          </w:tcPr>
          <w:p>
            <w:pPr>
              <w:pStyle w:val="Normal"/>
              <w:tabs>
                <w:tab w:val="clear" w:pos="720"/>
              </w:tabs>
              <w:bidi w:val="0"/>
              <w:jc w:val="start"/>
              <w:rPr/>
            </w:pPr>
            <w:r>
              <w:rPr>
                <w:sz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274320</wp:posOffset>
                      </wp:positionV>
                      <wp:extent cx="1626870" cy="558800"/>
                      <wp:effectExtent l="0" t="0" r="0" b="0"/>
                      <wp:wrapNone/>
                      <wp:docPr id="1" name="Shape1"/>
                      <a:graphic xmlns:a="http://schemas.openxmlformats.org/drawingml/2006/main">
                        <a:graphicData uri="http://schemas.openxmlformats.org/drawingml/2006/picture"/>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1" stroked="f" o:allowincell="f" style="position:absolute;margin-left:0pt;margin-top:21.6pt;width:128.05pt;height:43.95pt;mso-wrap-style:none;v-text-anchor:middle" type="_x0000_t75">
                      <v:fill o:detectmouseclick="t" on="false"/>
                      <v:stroke color="black" weight="9360" joinstyle="round" endcap="flat"/>
                      <w10:wrap type="none"/>
                    </v:shape>
                  </w:pict>
                </mc:Fallback>
              </mc:AlternateContent>
              <w:t xml:space="preserve"> </w:t>
            </w:r>
            <w:r>
              <mc:AlternateContent>
                <mc:Choice Requires="wps">
                  <w:drawing>
                    <wp:anchor behindDoc="0" distT="72390" distB="72390" distL="72390" distR="72390" simplePos="0" locked="0" layoutInCell="1" allowOverlap="1" relativeHeight="3">
                      <wp:simplePos x="0" y="0"/>
                      <wp:positionH relativeFrom="column">
                        <wp:posOffset>1920240</wp:posOffset>
                      </wp:positionH>
                      <wp:positionV relativeFrom="paragraph">
                        <wp:posOffset>274320</wp:posOffset>
                      </wp:positionV>
                      <wp:extent cx="2286000" cy="488315"/>
                      <wp:effectExtent l="0" t="0" r="0" b="0"/>
                      <wp:wrapNone/>
                      <wp:docPr id="2" name="Frame1"/>
                      <a:graphic xmlns:a="http://schemas.openxmlformats.org/drawingml/2006/main">
                        <a:graphicData uri="http://schemas.microsoft.com/office/word/2010/wordprocessingShape">
                          <wps:wsp>
                            <wps:cNvSpPr txBox="1"/>
                            <wps:spPr>
                              <a:xfrm>
                                <a:off x="0" y="0"/>
                                <a:ext cx="2286000" cy="488315"/>
                              </a:xfrm>
                              <a:prstGeom prst="rect"/>
                              <a:solidFill>
                                <a:srgbClr val="FFFFFF"/>
                              </a:solidFill>
                            </wps:spPr>
                            <wps:txbx>
                              <w:txbxContent>
                                <w:p>
                                  <w:pPr>
                                    <w:pStyle w:val="Normal"/>
                                    <w:tabs>
                                      <w:tab w:val="clear" w:pos="720"/>
                                    </w:tabs>
                                    <w:bidi w:val="0"/>
                                    <w:jc w:val="start"/>
                                    <w:rPr/>
                                  </w:pPr>
                                  <w:r>
                                    <w:rPr/>
                                  </w:r>
                                </w:p>
                              </w:txbxContent>
                            </wps:txbx>
                            <wps:bodyPr anchor="t" lIns="91440" tIns="45720" rIns="91440" bIns="45720">
                              <a:noAutofit/>
                            </wps:bodyPr>
                          </wps:wsp>
                        </a:graphicData>
                      </a:graphic>
                    </wp:anchor>
                  </w:drawing>
                </mc:Choice>
                <mc:Fallback>
                  <w:pict>
                    <v:rect stroked="f" strokeweight="0pt" style="position:absolute;rotation:-0;width:180pt;height:38.45pt;mso-wrap-distance-left:5.7pt;mso-wrap-distance-right:5.7pt;mso-wrap-distance-top:5.7pt;mso-wrap-distance-bottom:5.7pt;margin-top:21.6pt;mso-position-vertical-relative:text;margin-left:151.2pt;mso-position-horizontal-relative:text">
                      <v:textbox>
                        <w:txbxContent>
                          <w:p>
                            <w:pPr>
                              <w:pStyle w:val="Normal"/>
                              <w:tabs>
                                <w:tab w:val="clear" w:pos="720"/>
                              </w:tabs>
                              <w:bidi w:val="0"/>
                              <w:jc w:val="start"/>
                              <w:rPr/>
                            </w:pPr>
                            <w:r>
                              <w:rPr/>
                            </w:r>
                          </w:p>
                        </w:txbxContent>
                      </v:textbox>
                      <w10:wrap type="none"/>
                    </v:rect>
                  </w:pict>
                </mc:Fallback>
              </mc:AlternateContent>
            </w:r>
          </w:p>
        </w:tc>
        <w:tc>
          <w:tcPr>
            <w:tcW w:w="3516" w:type="dxa"/>
            <w:tcBorders/>
          </w:tcPr>
          <w:p>
            <w:pPr>
              <w:pStyle w:val="Normal"/>
              <w:tabs>
                <w:tab w:val="clear" w:pos="720"/>
              </w:tabs>
              <w:bidi w:val="0"/>
              <w:jc w:val="start"/>
              <w:rPr>
                <w:rFonts w:ascii="Arial" w:hAnsi="Arial"/>
                <w:sz w:val="16"/>
              </w:rPr>
            </w:pPr>
            <w:r>
              <w:rPr>
                <w:rFonts w:ascii="Arial" w:hAnsi="Arial"/>
                <w:sz w:val="16"/>
              </w:rPr>
            </w:r>
          </w:p>
          <w:p>
            <w:pPr>
              <w:pStyle w:val="Normal"/>
              <w:bidi w:val="0"/>
              <w:jc w:val="start"/>
              <w:rPr/>
            </w:pPr>
            <w:bookmarkStart w:id="0" w:name="_DV_M0"/>
            <w:bookmarkEnd w:id="0"/>
            <w:r>
              <w:rPr/>
              <w:br/>
            </w:r>
          </w:p>
        </w:tc>
        <w:tc>
          <w:tcPr>
            <w:tcW w:w="3516" w:type="dxa"/>
            <w:gridSpan w:val="2"/>
            <w:tcBorders/>
          </w:tcPr>
          <w:p>
            <w:pPr>
              <w:pStyle w:val="Normal"/>
              <w:bidi w:val="0"/>
              <w:jc w:val="start"/>
              <w:rPr/>
            </w:pPr>
            <w:r>
              <w:rPr/>
            </w:r>
          </w:p>
        </w:tc>
      </w:tr>
      <w:tr>
        <w:trPr>
          <w:trHeight w:val="723" w:hRule="atLeast"/>
        </w:trPr>
        <w:tc>
          <w:tcPr>
            <w:tcW w:w="7186" w:type="dxa"/>
            <w:gridSpan w:val="3"/>
            <w:tcBorders/>
          </w:tcPr>
          <w:p>
            <w:pPr>
              <w:pStyle w:val="MBPBdSingleSp5Ls2"/>
              <w:tabs>
                <w:tab w:val="clear" w:pos="720"/>
              </w:tabs>
              <w:bidi w:val="0"/>
              <w:spacing w:before="0" w:after="0"/>
              <w:ind w:hanging="0"/>
              <w:jc w:val="center"/>
              <w:rPr>
                <w:rFonts w:ascii="Times New Roman" w:hAnsi="Times New Roman"/>
                <w:b/>
              </w:rPr>
            </w:pPr>
            <w:bookmarkStart w:id="1" w:name="_DV_M1"/>
            <w:bookmarkEnd w:id="1"/>
            <w:r>
              <w:rPr>
                <w:b/>
              </w:rPr>
              <w:t>Privileged &amp; Confidential</w:t>
            </w:r>
          </w:p>
          <w:p>
            <w:pPr>
              <w:pStyle w:val="MBPBdSingleSp5Ls2"/>
              <w:tabs>
                <w:tab w:val="clear" w:pos="720"/>
              </w:tabs>
              <w:bidi w:val="0"/>
              <w:spacing w:before="0" w:after="0"/>
              <w:ind w:hanging="0"/>
              <w:jc w:val="center"/>
              <w:rPr>
                <w:rFonts w:ascii="Times New Roman" w:hAnsi="Times New Roman"/>
                <w:b/>
              </w:rPr>
            </w:pPr>
            <w:bookmarkStart w:id="2" w:name="_DV_M2"/>
            <w:bookmarkEnd w:id="2"/>
            <w:r>
              <w:rPr>
                <w:b/>
              </w:rPr>
              <w:t>Without Prejudice</w:t>
            </w:r>
          </w:p>
          <w:p>
            <w:pPr>
              <w:pStyle w:val="Normal"/>
              <w:tabs>
                <w:tab w:val="clear" w:pos="720"/>
              </w:tabs>
              <w:bidi w:val="0"/>
              <w:jc w:val="start"/>
              <w:rPr>
                <w:b/>
              </w:rPr>
            </w:pPr>
            <w:r>
              <w:rPr>
                <w:b/>
              </w:rPr>
            </w:r>
          </w:p>
        </w:tc>
        <w:tc>
          <w:tcPr>
            <w:tcW w:w="3362" w:type="dxa"/>
            <w:tcBorders/>
          </w:tcPr>
          <w:p>
            <w:pPr>
              <w:pStyle w:val="Normal"/>
              <w:tabs>
                <w:tab w:val="clear" w:pos="720"/>
              </w:tabs>
              <w:bidi w:val="0"/>
              <w:jc w:val="start"/>
              <w:rPr>
                <w:rFonts w:ascii="Frutiger TC Condensed Light" w:hAnsi="Frutiger TC Condensed Light"/>
                <w:sz w:val="18"/>
              </w:rPr>
            </w:pPr>
            <w:bookmarkStart w:id="3" w:name="_DV_M3"/>
            <w:bookmarkEnd w:id="3"/>
            <w:r>
              <w:rPr>
                <w:rFonts w:ascii="Frutiger TC Black" w:hAnsi="Frutiger TC Black"/>
                <w:sz w:val="18"/>
              </w:rPr>
              <w:t>tel</w:t>
            </w:r>
            <w:r>
              <w:rPr>
                <w:rFonts w:ascii="Frutiger TC Condensed Light" w:hAnsi="Frutiger TC Condensed Light"/>
                <w:sz w:val="18"/>
              </w:rPr>
              <w:t xml:space="preserve"> 403.920.2011</w:t>
            </w:r>
          </w:p>
          <w:p>
            <w:pPr>
              <w:pStyle w:val="Normal"/>
              <w:tabs>
                <w:tab w:val="clear" w:pos="720"/>
              </w:tabs>
              <w:bidi w:val="0"/>
              <w:jc w:val="start"/>
              <w:rPr>
                <w:rFonts w:ascii="Frutiger TC Condensed Light" w:hAnsi="Frutiger TC Condensed Light"/>
                <w:sz w:val="18"/>
              </w:rPr>
            </w:pPr>
            <w:bookmarkStart w:id="4" w:name="_DV_M4"/>
            <w:bookmarkEnd w:id="4"/>
            <w:r>
              <w:rPr>
                <w:rFonts w:ascii="Frutiger TC Black" w:hAnsi="Frutiger TC Black"/>
                <w:sz w:val="18"/>
              </w:rPr>
              <w:t>fax</w:t>
            </w:r>
            <w:r>
              <w:rPr>
                <w:rFonts w:ascii="Frutiger TC Condensed Light" w:hAnsi="Frutiger TC Condensed Light"/>
                <w:sz w:val="18"/>
              </w:rPr>
              <w:t xml:space="preserve"> 403.920.2412</w:t>
            </w:r>
          </w:p>
          <w:p>
            <w:pPr>
              <w:pStyle w:val="Normal"/>
              <w:tabs>
                <w:tab w:val="clear" w:pos="720"/>
              </w:tabs>
              <w:bidi w:val="0"/>
              <w:jc w:val="both"/>
              <w:rPr>
                <w:rFonts w:ascii="Frutiger TC Condensed Light" w:hAnsi="Frutiger TC Condensed Light"/>
                <w:color w:val="000000"/>
                <w:sz w:val="18"/>
              </w:rPr>
            </w:pPr>
            <w:bookmarkStart w:id="5" w:name="_DV_M5"/>
            <w:bookmarkEnd w:id="5"/>
            <w:r>
              <w:rPr>
                <w:rFonts w:ascii="Frutiger TC Black" w:hAnsi="Frutiger TC Black"/>
                <w:sz w:val="18"/>
              </w:rPr>
              <w:t>email</w:t>
            </w:r>
            <w:r>
              <w:rPr>
                <w:rFonts w:ascii="Frutiger TC Condensed Light" w:hAnsi="Frutiger TC Condensed Light"/>
                <w:sz w:val="18"/>
              </w:rPr>
              <w:t xml:space="preserve"> </w:t>
            </w:r>
            <w:bookmarkStart w:id="6" w:name="_DV_M6"/>
            <w:bookmarkEnd w:id="6"/>
            <w:r>
              <w:rPr>
                <w:rStyle w:val="Hyperlink"/>
              </w:rPr>
              <w:t>dennis_mcconaghy@transcanada.com</w:t>
            </w:r>
          </w:p>
          <w:p>
            <w:pPr>
              <w:pStyle w:val="Normal"/>
              <w:tabs>
                <w:tab w:val="clear" w:pos="720"/>
              </w:tabs>
              <w:bidi w:val="0"/>
              <w:jc w:val="both"/>
              <w:rPr/>
            </w:pPr>
            <w:bookmarkStart w:id="7" w:name="_DV_M7"/>
            <w:bookmarkEnd w:id="7"/>
            <w:r>
              <w:rPr>
                <w:rFonts w:ascii="Frutiger TC Black" w:hAnsi="Frutiger TC Black"/>
                <w:color w:val="000000"/>
                <w:sz w:val="18"/>
              </w:rPr>
              <w:t>web</w:t>
            </w:r>
            <w:r>
              <w:rPr>
                <w:rFonts w:ascii="Frutiger TC Condensed Light" w:hAnsi="Frutiger TC Condensed Light"/>
                <w:color w:val="000000"/>
                <w:sz w:val="18"/>
              </w:rPr>
              <w:t xml:space="preserve"> </w:t>
            </w:r>
            <w:bookmarkStart w:id="8" w:name="_DV_M8"/>
            <w:bookmarkEnd w:id="8"/>
            <w:r>
              <w:rPr>
                <w:rStyle w:val="Hyperlink"/>
              </w:rPr>
              <w:t>www.transcanada.com</w:t>
            </w:r>
          </w:p>
        </w:tc>
      </w:tr>
    </w:tbl>
    <w:p>
      <w:pPr>
        <w:pStyle w:val="MBPBdSingleSp5Ls2"/>
        <w:bidi w:val="0"/>
        <w:spacing w:before="0" w:after="0"/>
        <w:ind w:hanging="0"/>
        <w:jc w:val="start"/>
        <w:rPr>
          <w:rFonts w:ascii="Times New Roman" w:hAnsi="Times New Roman"/>
        </w:rPr>
      </w:pPr>
      <w:bookmarkStart w:id="9" w:name="_DV_M9"/>
      <w:bookmarkEnd w:id="9"/>
      <w:r>
        <w:rPr/>
        <w:t>Company</w:t>
      </w:r>
    </w:p>
    <w:p>
      <w:pPr>
        <w:pStyle w:val="MBPBdSingleSp5Ls2"/>
        <w:bidi w:val="0"/>
        <w:spacing w:before="0" w:after="0"/>
        <w:ind w:hanging="0"/>
        <w:jc w:val="start"/>
        <w:rPr>
          <w:rFonts w:ascii="Times New Roman" w:hAnsi="Times New Roman"/>
        </w:rPr>
      </w:pPr>
      <w:bookmarkStart w:id="10" w:name="_DV_M10"/>
      <w:bookmarkEnd w:id="10"/>
      <w:r>
        <w:rPr/>
        <w:t>Address</w:t>
      </w:r>
    </w:p>
    <w:p>
      <w:pPr>
        <w:pStyle w:val="MBPBdSingleSp5Ls2"/>
        <w:bidi w:val="0"/>
        <w:spacing w:before="0" w:after="0"/>
        <w:ind w:hanging="0"/>
        <w:jc w:val="start"/>
        <w:rPr>
          <w:rFonts w:ascii="Times New Roman" w:hAnsi="Times New Roman"/>
        </w:rPr>
      </w:pPr>
      <w:r>
        <w:rPr/>
      </w:r>
    </w:p>
    <w:p>
      <w:pPr>
        <w:pStyle w:val="MBPBdSingleSp5Ls2"/>
        <w:numPr>
          <w:ilvl w:val="0"/>
          <w:numId w:val="0"/>
        </w:numPr>
        <w:bidi w:val="0"/>
        <w:spacing w:before="0" w:after="0"/>
        <w:ind w:hanging="0"/>
        <w:jc w:val="start"/>
        <w:outlineLvl w:val="0"/>
        <w:rPr>
          <w:rFonts w:ascii="Times New Roman" w:hAnsi="Times New Roman"/>
          <w:b/>
        </w:rPr>
      </w:pPr>
      <w:bookmarkStart w:id="11" w:name="_DV_M11"/>
      <w:bookmarkEnd w:id="11"/>
      <w:r>
        <w:rPr>
          <w:b/>
        </w:rPr>
        <w:t>Attention:</w:t>
        <w:tab/>
        <w:t>First Name, Last Name</w:t>
      </w:r>
    </w:p>
    <w:p>
      <w:pPr>
        <w:pStyle w:val="MBPBdSingleSp5Ls2"/>
        <w:bidi w:val="0"/>
        <w:spacing w:before="0" w:after="0"/>
        <w:ind w:hanging="0"/>
        <w:jc w:val="start"/>
        <w:rPr>
          <w:rFonts w:ascii="Times New Roman" w:hAnsi="Times New Roman"/>
        </w:rPr>
      </w:pPr>
      <w:bookmarkStart w:id="12" w:name="_DV_M12"/>
      <w:bookmarkEnd w:id="12"/>
      <w:r>
        <w:rPr>
          <w:b/>
        </w:rPr>
        <w:tab/>
        <w:tab/>
        <w:t>Job Title</w:t>
      </w:r>
    </w:p>
    <w:p>
      <w:pPr>
        <w:pStyle w:val="MBPBdSingleSp5Ls2"/>
        <w:bidi w:val="0"/>
        <w:spacing w:before="0" w:after="0"/>
        <w:ind w:hanging="0"/>
        <w:jc w:val="start"/>
        <w:rPr>
          <w:rFonts w:ascii="Times New Roman" w:hAnsi="Times New Roman"/>
        </w:rPr>
      </w:pPr>
      <w:r>
        <w:rPr/>
      </w:r>
    </w:p>
    <w:p>
      <w:pPr>
        <w:pStyle w:val="MBPBdSingleSp5Ls2"/>
        <w:bidi w:val="0"/>
        <w:spacing w:before="0" w:after="0"/>
        <w:ind w:hanging="0"/>
        <w:jc w:val="start"/>
        <w:rPr>
          <w:rFonts w:ascii="Times New Roman" w:hAnsi="Times New Roman"/>
        </w:rPr>
      </w:pPr>
      <w:bookmarkStart w:id="13" w:name="_DV_M13"/>
      <w:bookmarkEnd w:id="13"/>
      <w:r>
        <w:rPr/>
        <w:t>Dear Mr. (Last Name)</w:t>
      </w:r>
    </w:p>
    <w:p>
      <w:pPr>
        <w:pStyle w:val="MBPBdSingleSp5Ls2"/>
        <w:bidi w:val="0"/>
        <w:spacing w:before="0" w:after="0"/>
        <w:ind w:hanging="0"/>
        <w:jc w:val="center"/>
        <w:rPr>
          <w:rFonts w:ascii="Times New Roman" w:hAnsi="Times New Roman"/>
        </w:rPr>
      </w:pPr>
      <w:r>
        <w:rPr/>
      </w:r>
    </w:p>
    <w:p>
      <w:pPr>
        <w:pStyle w:val="MBPBdSingleSp5Ls2"/>
        <w:bidi w:val="0"/>
        <w:spacing w:before="0" w:after="0"/>
        <w:ind w:hanging="0"/>
        <w:jc w:val="start"/>
        <w:rPr>
          <w:rFonts w:ascii="Times New Roman" w:hAnsi="Times New Roman"/>
          <w:b/>
        </w:rPr>
      </w:pPr>
      <w:bookmarkStart w:id="14" w:name="_DV_M14"/>
      <w:bookmarkEnd w:id="14"/>
      <w:r>
        <w:rPr>
          <w:b/>
        </w:rPr>
        <w:t>Re:</w:t>
        <w:tab/>
        <w:t>Alaskan Northwest Natural Gas Transportation Company</w:t>
      </w:r>
    </w:p>
    <w:p>
      <w:pPr>
        <w:pStyle w:val="MBPBdSingleSp5Ls2"/>
        <w:bidi w:val="0"/>
        <w:spacing w:before="0" w:after="0"/>
        <w:ind w:hanging="0"/>
        <w:jc w:val="start"/>
        <w:rPr>
          <w:rFonts w:ascii="Times New Roman" w:hAnsi="Times New Roman"/>
          <w:b/>
        </w:rPr>
      </w:pPr>
      <w:r>
        <w:rPr>
          <w:b/>
        </w:rPr>
      </w:r>
    </w:p>
    <w:p>
      <w:pPr>
        <w:pStyle w:val="MBPBdSingleSp5Ls2"/>
        <w:bidi w:val="0"/>
        <w:jc w:val="start"/>
        <w:rPr>
          <w:rFonts w:ascii="Times New Roman" w:hAnsi="Times New Roman"/>
        </w:rPr>
      </w:pPr>
      <w:bookmarkStart w:id="15" w:name="_DV_M15"/>
      <w:bookmarkEnd w:id="15"/>
      <w:r>
        <w:rPr/>
        <w:t>This Memorandum of Understanding sets forth the principal terms on which TransCanada PipeLines Limited (“TransCanada”), Westcoast Energy Inc. (“Westcoast”) and Foothills Pipe Lines Ltd. (“Foothills”) propose to resolve all outstanding issues between Alaskan Northwest Natural Gas Transportation Company (the “ANNGTC Partnership”) and the parties who have withdrawn from the ANNGTC Partnership (the “Withdrawn Partners”) pursuant to the provisions of Section 15 of the General Partnership Agreement dated January 31, 1978 (as amended, the “Partnership Agreement”).</w:t>
      </w:r>
    </w:p>
    <w:p>
      <w:pPr>
        <w:pStyle w:val="MBPBdSingleSp5Ls2"/>
        <w:bidi w:val="0"/>
        <w:jc w:val="start"/>
        <w:rPr>
          <w:rFonts w:ascii="Times New Roman" w:hAnsi="Times New Roman"/>
        </w:rPr>
      </w:pPr>
      <w:bookmarkStart w:id="16" w:name="_DV_M16"/>
      <w:bookmarkEnd w:id="16"/>
      <w:r>
        <w:rPr/>
        <w:t>1.</w:t>
        <w:tab/>
        <w:t>In exchange for releasing any and all potential claims against the ANNGTC Partnership (both on its own behalf and on behalf of any assignee of its interest in the ANNGTC Partnership)</w:t>
      </w:r>
      <w:bookmarkStart w:id="17" w:name="_DV_M17"/>
      <w:r>
        <w:rPr>
          <w:rStyle w:val="DeltaViewInsertion"/>
          <w:color w:val="000000"/>
        </w:rPr>
        <w:t xml:space="preserve"> arising either under (a) Section 4.4.4 of the Partnership Agreement, or (b) any other provision of the Partnership Agreement with respect to periods prior to the effective time of an amended and restated Partnership Agreement executed in accordance with paragraph 9 hereof</w:t>
      </w:r>
      <w:bookmarkStart w:id="18" w:name="_DV_C1"/>
      <w:bookmarkEnd w:id="17"/>
      <w:bookmarkEnd w:id="18"/>
      <w:r>
        <w:rPr/>
        <w:t xml:space="preserve">, each of the Withdrawn Partners, or a permitted transferee Affiliate pursuant to Section 10.3 of the Partnership Agreement, </w:t>
      </w:r>
      <w:bookmarkStart w:id="19" w:name="_DV_C3"/>
      <w:r>
        <w:rPr>
          <w:rStyle w:val="DeltaViewDeletion"/>
          <w:color w:val="000000"/>
        </w:rPr>
        <w:t>will</w:t>
      </w:r>
      <w:bookmarkStart w:id="20" w:name="_DV_C2"/>
      <w:bookmarkEnd w:id="19"/>
      <w:r>
        <w:rPr>
          <w:rStyle w:val="DeltaViewInsertion"/>
          <w:color w:val="000000"/>
        </w:rPr>
        <w:t>would</w:t>
      </w:r>
      <w:bookmarkStart w:id="21" w:name="_DV_C3_Copy_1"/>
      <w:bookmarkEnd w:id="20"/>
      <w:bookmarkEnd w:id="21"/>
      <w:r>
        <w:rPr/>
        <w:t xml:space="preserve"> be allowed to rejoin the ANNGTC Partnership with the percentage interest outlined in Table 1</w:t>
      </w:r>
      <w:bookmarkStart w:id="22" w:name="_DV_M19"/>
      <w:r>
        <w:rPr>
          <w:rStyle w:val="DeltaViewInsertion"/>
          <w:color w:val="000000"/>
        </w:rPr>
        <w:t xml:space="preserve"> and the Partnership Agreement would be amended to allow each Withdrawn Partner or permitted transferee Affiliate to transfer its interest in the ANNGTC Partnership to a controlled, creditworthy Affiliate</w:t>
      </w:r>
      <w:bookmarkStart w:id="23" w:name="_DV_C4"/>
      <w:bookmarkEnd w:id="22"/>
      <w:bookmarkEnd w:id="23"/>
      <w:r>
        <w:rPr/>
        <w:t xml:space="preserve">; provided, in the event of such a transfer, nothing herein shall relieve the transferor of its obligations under the Partnership Agreement.  </w:t>
      </w:r>
      <w:r>
        <w:rPr>
          <w:lang w:val="en-CA"/>
        </w:rPr>
        <w:fldChar w:fldCharType="begin"/>
      </w:r>
      <w:r>
        <w:rPr>
          <w:lang w:val="en-CA"/>
        </w:rPr>
        <w:instrText xml:space="preserve"> SEQ CHAPTER \* ARABIC </w:instrText>
      </w:r>
      <w:r>
        <w:rPr>
          <w:lang w:val="en-CA"/>
        </w:rPr>
        <w:fldChar w:fldCharType="separate"/>
      </w:r>
      <w:r>
        <w:rPr>
          <w:lang w:val="en-CA"/>
        </w:rPr>
        <w:t>1</w:t>
      </w:r>
      <w:r>
        <w:rPr>
          <w:lang w:val="en-CA"/>
        </w:rPr>
        <w:fldChar w:fldCharType="end"/>
      </w:r>
      <w:bookmarkStart w:id="24" w:name="_DV_M20"/>
      <w:bookmarkEnd w:id="24"/>
      <w:r>
        <w:rPr/>
        <w:t xml:space="preserve">Assuming that each Withdrawn Partner elects to rejoin the ANNGTC Partnership in this manner (each such Withdrawn Partner hereinafter referred to as a “Rejoining Partner”), the percentage interest of TransCanada PipeLine USA Ltd. (“TCPL-USA”), a wholly owned subsidiary of TransCanada, and </w:t>
      </w:r>
      <w:r>
        <w:rPr>
          <w:lang w:val="en-CA"/>
        </w:rPr>
        <w:fldChar w:fldCharType="begin"/>
      </w:r>
      <w:r>
        <w:rPr>
          <w:lang w:val="en-CA"/>
        </w:rPr>
        <w:instrText xml:space="preserve"> SEQ CHAPTER \* ARABIC </w:instrText>
      </w:r>
      <w:r>
        <w:rPr>
          <w:lang w:val="en-CA"/>
        </w:rPr>
        <w:fldChar w:fldCharType="separate"/>
      </w:r>
      <w:r>
        <w:rPr>
          <w:lang w:val="en-CA"/>
        </w:rPr>
        <w:t>1</w:t>
      </w:r>
      <w:r>
        <w:rPr>
          <w:lang w:val="en-CA"/>
        </w:rPr>
        <w:fldChar w:fldCharType="end"/>
      </w:r>
      <w:bookmarkStart w:id="25" w:name="_DV_M21"/>
      <w:bookmarkEnd w:id="25"/>
      <w:r>
        <w:rPr/>
        <w:t xml:space="preserve">United Alaska Fuels Corporation (“UAFC-Foothills”), a wholly owned indirect subsidiary of Foothills, and each Rejoining Partner in the ANNGTC Partnership, giving effect to said exchange  (in each case, the “New Percentage Interest” of TCPL-USA, UAFC-Foothills, or a Rejoining Partner), </w:t>
      </w:r>
      <w:bookmarkStart w:id="26" w:name="_DV_C6"/>
      <w:r>
        <w:rPr>
          <w:rStyle w:val="DeltaViewDeletion"/>
          <w:color w:val="000000"/>
        </w:rPr>
        <w:t>will</w:t>
      </w:r>
      <w:bookmarkStart w:id="27" w:name="_DV_C5"/>
      <w:bookmarkEnd w:id="26"/>
      <w:r>
        <w:rPr>
          <w:rStyle w:val="DeltaViewInsertion"/>
          <w:color w:val="000000"/>
        </w:rPr>
        <w:t>would</w:t>
      </w:r>
      <w:bookmarkStart w:id="28" w:name="_DV_C6_Copy_1"/>
      <w:bookmarkEnd w:id="27"/>
      <w:bookmarkEnd w:id="28"/>
      <w:r>
        <w:rPr/>
        <w:t xml:space="preserve"> be as shown in Table 1 and the accompanying footnotes:</w:t>
      </w:r>
      <w:r>
        <w:br w:type="page"/>
      </w:r>
    </w:p>
    <w:p>
      <w:pPr>
        <w:pStyle w:val="MBPBdSingleSp5Ls2"/>
        <w:bidi w:val="0"/>
        <w:jc w:val="start"/>
        <w:rPr>
          <w:rFonts w:ascii="Times New Roman" w:hAnsi="Times New Roman"/>
        </w:rPr>
      </w:pPr>
      <w:r>
        <w:rPr/>
      </w:r>
      <w:bookmarkStart w:id="29" w:name="_DV_M23"/>
      <w:bookmarkStart w:id="30" w:name="_DV_M23"/>
      <w:bookmarkEnd w:id="30"/>
    </w:p>
    <w:tbl>
      <w:tblPr>
        <w:tblW w:w="7173" w:type="dxa"/>
        <w:jc w:val="center"/>
        <w:tblInd w:w="0" w:type="dxa"/>
        <w:tblLayout w:type="fixed"/>
        <w:tblCellMar>
          <w:top w:w="0" w:type="dxa"/>
          <w:start w:w="108" w:type="dxa"/>
          <w:bottom w:w="0" w:type="dxa"/>
          <w:end w:w="108" w:type="dxa"/>
        </w:tblCellMar>
      </w:tblPr>
      <w:tblGrid>
        <w:gridCol w:w="2326"/>
        <w:gridCol w:w="1441"/>
        <w:gridCol w:w="1799"/>
        <w:gridCol w:w="1606"/>
      </w:tblGrid>
      <w:tr>
        <w:trPr>
          <w:trHeight w:val="540" w:hRule="atLeast"/>
        </w:trPr>
        <w:tc>
          <w:tcPr>
            <w:tcW w:w="7172" w:type="dxa"/>
            <w:gridSpan w:val="4"/>
            <w:tcBorders>
              <w:top w:val="single" w:sz="4" w:space="0" w:color="000000"/>
              <w:start w:val="single" w:sz="4" w:space="0" w:color="000000"/>
              <w:end w:val="single" w:sz="4" w:space="0" w:color="000000"/>
            </w:tcBorders>
          </w:tcPr>
          <w:p>
            <w:pPr>
              <w:pStyle w:val="Normal"/>
              <w:tabs>
                <w:tab w:val="clear" w:pos="720"/>
              </w:tabs>
              <w:bidi w:val="0"/>
              <w:jc w:val="center"/>
              <w:rPr>
                <w:b/>
              </w:rPr>
            </w:pPr>
            <w:r>
              <w:rPr>
                <w:b/>
              </w:rPr>
              <w:t>Table 1</w:t>
            </w:r>
          </w:p>
          <w:p>
            <w:pPr>
              <w:pStyle w:val="Normal"/>
              <w:tabs>
                <w:tab w:val="clear" w:pos="720"/>
              </w:tabs>
              <w:bidi w:val="0"/>
              <w:jc w:val="center"/>
              <w:rPr>
                <w:b/>
              </w:rPr>
            </w:pPr>
            <w:r>
              <w:rPr>
                <w:b/>
              </w:rPr>
              <w:t>Percentage Ownership of the ANNGTC Partnership</w:t>
            </w:r>
          </w:p>
          <w:p>
            <w:pPr>
              <w:pStyle w:val="Normal"/>
              <w:tabs>
                <w:tab w:val="clear" w:pos="720"/>
              </w:tabs>
              <w:bidi w:val="0"/>
              <w:jc w:val="center"/>
              <w:rPr/>
            </w:pPr>
            <w:r>
              <w:rPr>
                <w:b/>
              </w:rPr>
              <w:t>(assuming no ANS Producer ownership)</w:t>
            </w:r>
          </w:p>
        </w:tc>
      </w:tr>
      <w:tr>
        <w:trPr>
          <w:trHeight w:val="540" w:hRule="atLeast"/>
        </w:trPr>
        <w:tc>
          <w:tcPr>
            <w:tcW w:w="2326" w:type="dxa"/>
            <w:tcBorders>
              <w:top w:val="single" w:sz="4" w:space="0" w:color="000000"/>
              <w:start w:val="single" w:sz="4" w:space="0" w:color="000000"/>
            </w:tcBorders>
          </w:tcPr>
          <w:p>
            <w:pPr>
              <w:pStyle w:val="Normal"/>
              <w:tabs>
                <w:tab w:val="clear" w:pos="720"/>
              </w:tabs>
              <w:bidi w:val="0"/>
              <w:jc w:val="center"/>
              <w:rPr>
                <w:b/>
              </w:rPr>
            </w:pPr>
            <w:r>
              <w:rPr>
                <w:b/>
              </w:rPr>
            </w:r>
          </w:p>
          <w:p>
            <w:pPr>
              <w:pStyle w:val="Normal"/>
              <w:tabs>
                <w:tab w:val="clear" w:pos="720"/>
              </w:tabs>
              <w:bidi w:val="0"/>
              <w:jc w:val="center"/>
              <w:rPr>
                <w:b/>
              </w:rPr>
            </w:pPr>
            <w:r>
              <w:rPr>
                <w:b/>
              </w:rPr>
            </w:r>
          </w:p>
          <w:p>
            <w:pPr>
              <w:pStyle w:val="Normal"/>
              <w:tabs>
                <w:tab w:val="clear" w:pos="720"/>
              </w:tabs>
              <w:bidi w:val="0"/>
              <w:jc w:val="center"/>
              <w:rPr/>
            </w:pPr>
            <w:bookmarkStart w:id="31" w:name="_DV_M24"/>
            <w:bookmarkEnd w:id="31"/>
            <w:r>
              <w:rPr>
                <w:b/>
              </w:rPr>
              <w:t>Name of Partner</w:t>
            </w:r>
          </w:p>
        </w:tc>
        <w:tc>
          <w:tcPr>
            <w:tcW w:w="1441" w:type="dxa"/>
            <w:tcBorders>
              <w:top w:val="single" w:sz="4" w:space="0" w:color="000000"/>
            </w:tcBorders>
          </w:tcPr>
          <w:p>
            <w:pPr>
              <w:pStyle w:val="Normal"/>
              <w:tabs>
                <w:tab w:val="clear" w:pos="720"/>
              </w:tabs>
              <w:bidi w:val="0"/>
              <w:jc w:val="center"/>
              <w:rPr>
                <w:b/>
              </w:rPr>
            </w:pPr>
            <w:r>
              <w:rPr>
                <w:b/>
              </w:rPr>
            </w:r>
          </w:p>
          <w:p>
            <w:pPr>
              <w:pStyle w:val="Normal"/>
              <w:tabs>
                <w:tab w:val="clear" w:pos="720"/>
              </w:tabs>
              <w:bidi w:val="0"/>
              <w:jc w:val="center"/>
              <w:rPr/>
            </w:pPr>
            <w:bookmarkStart w:id="32" w:name="_DV_M25"/>
            <w:bookmarkEnd w:id="32"/>
            <w:r>
              <w:rPr>
                <w:b/>
              </w:rPr>
              <w:t>Current Percentage Interest</w:t>
            </w:r>
          </w:p>
        </w:tc>
        <w:tc>
          <w:tcPr>
            <w:tcW w:w="1799" w:type="dxa"/>
            <w:tcBorders>
              <w:top w:val="single" w:sz="4" w:space="0" w:color="000000"/>
            </w:tcBorders>
          </w:tcPr>
          <w:p>
            <w:pPr>
              <w:pStyle w:val="Normal"/>
              <w:tabs>
                <w:tab w:val="clear" w:pos="720"/>
              </w:tabs>
              <w:bidi w:val="0"/>
              <w:jc w:val="center"/>
              <w:rPr>
                <w:b/>
              </w:rPr>
            </w:pPr>
            <w:bookmarkStart w:id="33" w:name="_DV_M26"/>
            <w:bookmarkEnd w:id="33"/>
            <w:r>
              <w:rPr>
                <w:b/>
              </w:rPr>
              <w:t xml:space="preserve">Designated </w:t>
            </w:r>
          </w:p>
          <w:p>
            <w:pPr>
              <w:pStyle w:val="Normal"/>
              <w:tabs>
                <w:tab w:val="clear" w:pos="720"/>
              </w:tabs>
              <w:bidi w:val="0"/>
              <w:jc w:val="center"/>
              <w:rPr/>
            </w:pPr>
            <w:bookmarkStart w:id="34" w:name="_DV_M27"/>
            <w:bookmarkStart w:id="35" w:name="_DV_IPM0"/>
            <w:bookmarkEnd w:id="34"/>
            <w:bookmarkEnd w:id="35"/>
            <w:r>
              <w:rPr>
                <w:b/>
              </w:rPr>
              <w:t>Percentage of Historical Capital Contributions*</w:t>
            </w:r>
          </w:p>
        </w:tc>
        <w:tc>
          <w:tcPr>
            <w:tcW w:w="1606" w:type="dxa"/>
            <w:tcBorders>
              <w:top w:val="single" w:sz="4" w:space="0" w:color="000000"/>
              <w:end w:val="single" w:sz="4" w:space="0" w:color="000000"/>
            </w:tcBorders>
          </w:tcPr>
          <w:p>
            <w:pPr>
              <w:pStyle w:val="Normal"/>
              <w:tabs>
                <w:tab w:val="clear" w:pos="720"/>
              </w:tabs>
              <w:bidi w:val="0"/>
              <w:jc w:val="center"/>
              <w:rPr>
                <w:b/>
              </w:rPr>
            </w:pPr>
            <w:r>
              <w:rPr>
                <w:b/>
              </w:rPr>
            </w:r>
          </w:p>
          <w:p>
            <w:pPr>
              <w:pStyle w:val="Normal"/>
              <w:tabs>
                <w:tab w:val="clear" w:pos="720"/>
              </w:tabs>
              <w:bidi w:val="0"/>
              <w:jc w:val="center"/>
              <w:rPr>
                <w:b/>
              </w:rPr>
            </w:pPr>
            <w:bookmarkStart w:id="36" w:name="_DV_M28"/>
            <w:bookmarkEnd w:id="36"/>
            <w:r>
              <w:rPr>
                <w:b/>
              </w:rPr>
              <w:t>New</w:t>
            </w:r>
          </w:p>
          <w:p>
            <w:pPr>
              <w:pStyle w:val="Normal"/>
              <w:tabs>
                <w:tab w:val="clear" w:pos="720"/>
              </w:tabs>
              <w:bidi w:val="0"/>
              <w:jc w:val="center"/>
              <w:rPr/>
            </w:pPr>
            <w:bookmarkStart w:id="37" w:name="_DV_M29"/>
            <w:bookmarkEnd w:id="37"/>
            <w:r>
              <w:rPr>
                <w:b/>
              </w:rPr>
              <w:t>Percentage Interest**</w:t>
            </w:r>
          </w:p>
        </w:tc>
      </w:tr>
      <w:tr>
        <w:trPr/>
        <w:tc>
          <w:tcPr>
            <w:tcW w:w="2326" w:type="dxa"/>
            <w:tcBorders>
              <w:start w:val="single" w:sz="4" w:space="0" w:color="000000"/>
            </w:tcBorders>
          </w:tcPr>
          <w:p>
            <w:pPr>
              <w:pStyle w:val="Normal"/>
              <w:tabs>
                <w:tab w:val="clear" w:pos="720"/>
              </w:tabs>
              <w:bidi w:val="0"/>
              <w:jc w:val="start"/>
              <w:rPr/>
            </w:pPr>
            <w:bookmarkStart w:id="38" w:name="_DV_M30"/>
            <w:bookmarkEnd w:id="38"/>
            <w:r>
              <w:rPr>
                <w:b/>
              </w:rPr>
              <w:t>Current Partners:</w:t>
            </w:r>
          </w:p>
        </w:tc>
        <w:tc>
          <w:tcPr>
            <w:tcW w:w="1441" w:type="dxa"/>
            <w:tcBorders/>
          </w:tcPr>
          <w:p>
            <w:pPr>
              <w:pStyle w:val="Normal"/>
              <w:tabs>
                <w:tab w:val="clear" w:pos="720"/>
                <w:tab w:val="decimal" w:pos="702" w:leader="none"/>
              </w:tabs>
              <w:bidi w:val="0"/>
              <w:jc w:val="start"/>
              <w:rPr>
                <w:b/>
              </w:rPr>
            </w:pPr>
            <w:r>
              <w:rPr>
                <w:b/>
              </w:rPr>
            </w:r>
          </w:p>
        </w:tc>
        <w:tc>
          <w:tcPr>
            <w:tcW w:w="1799" w:type="dxa"/>
            <w:tcBorders/>
          </w:tcPr>
          <w:p>
            <w:pPr>
              <w:pStyle w:val="Normal"/>
              <w:tabs>
                <w:tab w:val="clear" w:pos="720"/>
                <w:tab w:val="decimal" w:pos="730" w:leader="none"/>
              </w:tabs>
              <w:bidi w:val="0"/>
              <w:jc w:val="start"/>
              <w:rPr/>
            </w:pPr>
            <w:r>
              <w:rPr/>
            </w:r>
          </w:p>
        </w:tc>
        <w:tc>
          <w:tcPr>
            <w:tcW w:w="1606" w:type="dxa"/>
            <w:tcBorders>
              <w:end w:val="single" w:sz="4" w:space="0" w:color="000000"/>
            </w:tcBorders>
          </w:tcPr>
          <w:p>
            <w:pPr>
              <w:pStyle w:val="Normal"/>
              <w:tabs>
                <w:tab w:val="clear" w:pos="720"/>
              </w:tabs>
              <w:bidi w:val="0"/>
              <w:jc w:val="center"/>
              <w:rPr/>
            </w:pPr>
            <w:r>
              <w:rPr/>
            </w:r>
          </w:p>
        </w:tc>
      </w:tr>
      <w:tr>
        <w:trPr/>
        <w:tc>
          <w:tcPr>
            <w:tcW w:w="2326" w:type="dxa"/>
            <w:tcBorders>
              <w:start w:val="single" w:sz="4" w:space="0" w:color="000000"/>
            </w:tcBorders>
          </w:tcPr>
          <w:p>
            <w:pPr>
              <w:pStyle w:val="Normal"/>
              <w:widowControl/>
              <w:suppressAutoHyphens w:val="true"/>
              <w:bidi w:val="0"/>
              <w:jc w:val="start"/>
              <w:rPr/>
            </w:pPr>
            <w:bookmarkStart w:id="39" w:name="_DV_M31"/>
            <w:bookmarkEnd w:id="39"/>
            <w:r>
              <w:rPr/>
              <w:t>UAFC-Foothills</w:t>
            </w:r>
          </w:p>
        </w:tc>
        <w:tc>
          <w:tcPr>
            <w:tcW w:w="1441" w:type="dxa"/>
            <w:tcBorders/>
          </w:tcPr>
          <w:p>
            <w:pPr>
              <w:pStyle w:val="Normal"/>
              <w:tabs>
                <w:tab w:val="clear" w:pos="720"/>
                <w:tab w:val="decimal" w:pos="702" w:leader="none"/>
              </w:tabs>
              <w:bidi w:val="0"/>
              <w:jc w:val="start"/>
              <w:rPr/>
            </w:pPr>
            <w:bookmarkStart w:id="40" w:name="_DV_M32"/>
            <w:bookmarkEnd w:id="40"/>
            <w:r>
              <w:rPr/>
              <w:t>61.6</w:t>
            </w:r>
          </w:p>
        </w:tc>
        <w:tc>
          <w:tcPr>
            <w:tcW w:w="1799" w:type="dxa"/>
            <w:tcBorders/>
          </w:tcPr>
          <w:p>
            <w:pPr>
              <w:pStyle w:val="Normal"/>
              <w:tabs>
                <w:tab w:val="clear" w:pos="720"/>
                <w:tab w:val="decimal" w:pos="730" w:leader="none"/>
              </w:tabs>
              <w:bidi w:val="0"/>
              <w:jc w:val="start"/>
              <w:rPr/>
            </w:pPr>
            <w:bookmarkStart w:id="41" w:name="_DV_M33"/>
            <w:bookmarkEnd w:id="41"/>
            <w:r>
              <w:rPr/>
              <w:t>9.5</w:t>
            </w:r>
          </w:p>
        </w:tc>
        <w:tc>
          <w:tcPr>
            <w:tcW w:w="1606" w:type="dxa"/>
            <w:tcBorders>
              <w:end w:val="single" w:sz="4" w:space="0" w:color="000000"/>
            </w:tcBorders>
          </w:tcPr>
          <w:p>
            <w:pPr>
              <w:pStyle w:val="Normal"/>
              <w:bidi w:val="0"/>
              <w:jc w:val="center"/>
              <w:rPr/>
            </w:pPr>
            <w:bookmarkStart w:id="42" w:name="_DV_M34"/>
            <w:bookmarkEnd w:id="42"/>
            <w:r>
              <w:rPr/>
              <w:t>9.5</w:t>
            </w:r>
          </w:p>
        </w:tc>
      </w:tr>
      <w:tr>
        <w:trPr/>
        <w:tc>
          <w:tcPr>
            <w:tcW w:w="2326" w:type="dxa"/>
            <w:tcBorders>
              <w:start w:val="single" w:sz="4" w:space="0" w:color="000000"/>
            </w:tcBorders>
          </w:tcPr>
          <w:p>
            <w:pPr>
              <w:pStyle w:val="Normal"/>
              <w:widowControl/>
              <w:suppressAutoHyphens w:val="true"/>
              <w:bidi w:val="0"/>
              <w:jc w:val="start"/>
              <w:rPr/>
            </w:pPr>
            <w:bookmarkStart w:id="43" w:name="_DV_M35"/>
            <w:bookmarkEnd w:id="43"/>
            <w:r>
              <w:rPr/>
              <w:t>TCPL-USA</w:t>
            </w:r>
          </w:p>
        </w:tc>
        <w:tc>
          <w:tcPr>
            <w:tcW w:w="1441" w:type="dxa"/>
            <w:tcBorders/>
          </w:tcPr>
          <w:p>
            <w:pPr>
              <w:pStyle w:val="Normal"/>
              <w:tabs>
                <w:tab w:val="clear" w:pos="720"/>
                <w:tab w:val="decimal" w:pos="702" w:leader="none"/>
              </w:tabs>
              <w:bidi w:val="0"/>
              <w:jc w:val="start"/>
              <w:rPr/>
            </w:pPr>
            <w:bookmarkStart w:id="44" w:name="_DV_M36"/>
            <w:bookmarkEnd w:id="44"/>
            <w:r>
              <w:rPr/>
              <w:t>38.4</w:t>
            </w:r>
          </w:p>
        </w:tc>
        <w:tc>
          <w:tcPr>
            <w:tcW w:w="1799" w:type="dxa"/>
            <w:tcBorders/>
          </w:tcPr>
          <w:p>
            <w:pPr>
              <w:pStyle w:val="Normal"/>
              <w:tabs>
                <w:tab w:val="clear" w:pos="720"/>
                <w:tab w:val="decimal" w:pos="730" w:leader="none"/>
              </w:tabs>
              <w:bidi w:val="0"/>
              <w:jc w:val="start"/>
              <w:rPr/>
            </w:pPr>
            <w:bookmarkStart w:id="45" w:name="_DV_M37"/>
            <w:bookmarkEnd w:id="45"/>
            <w:r>
              <w:rPr/>
              <w:t>7.7</w:t>
            </w:r>
          </w:p>
        </w:tc>
        <w:tc>
          <w:tcPr>
            <w:tcW w:w="1606" w:type="dxa"/>
            <w:tcBorders>
              <w:end w:val="single" w:sz="4" w:space="0" w:color="000000"/>
            </w:tcBorders>
          </w:tcPr>
          <w:p>
            <w:pPr>
              <w:pStyle w:val="Normal"/>
              <w:bidi w:val="0"/>
              <w:jc w:val="center"/>
              <w:rPr/>
            </w:pPr>
            <w:bookmarkStart w:id="46" w:name="_DV_M38"/>
            <w:bookmarkEnd w:id="46"/>
            <w:r>
              <w:rPr/>
              <w:t>7.7</w:t>
            </w:r>
          </w:p>
        </w:tc>
      </w:tr>
      <w:tr>
        <w:trPr/>
        <w:tc>
          <w:tcPr>
            <w:tcW w:w="2326" w:type="dxa"/>
            <w:tcBorders>
              <w:start w:val="single" w:sz="4" w:space="0" w:color="000000"/>
            </w:tcBorders>
          </w:tcPr>
          <w:p>
            <w:pPr>
              <w:pStyle w:val="Normal"/>
              <w:widowControl/>
              <w:suppressAutoHyphens w:val="true"/>
              <w:bidi w:val="0"/>
              <w:jc w:val="start"/>
              <w:rPr/>
            </w:pPr>
            <w:bookmarkStart w:id="47" w:name="_DV_M39"/>
            <w:bookmarkEnd w:id="47"/>
            <w:r>
              <w:rPr>
                <w:b/>
              </w:rPr>
              <w:t>Rejoining Partners:</w:t>
            </w:r>
          </w:p>
        </w:tc>
        <w:tc>
          <w:tcPr>
            <w:tcW w:w="1441" w:type="dxa"/>
            <w:tcBorders/>
          </w:tcPr>
          <w:p>
            <w:pPr>
              <w:pStyle w:val="Normal"/>
              <w:tabs>
                <w:tab w:val="clear" w:pos="720"/>
                <w:tab w:val="decimal" w:pos="702" w:leader="none"/>
              </w:tabs>
              <w:bidi w:val="0"/>
              <w:jc w:val="start"/>
              <w:rPr>
                <w:b/>
              </w:rPr>
            </w:pPr>
            <w:r>
              <w:rPr>
                <w:b/>
              </w:rPr>
            </w:r>
          </w:p>
        </w:tc>
        <w:tc>
          <w:tcPr>
            <w:tcW w:w="1799" w:type="dxa"/>
            <w:tcBorders/>
          </w:tcPr>
          <w:p>
            <w:pPr>
              <w:pStyle w:val="Normal"/>
              <w:tabs>
                <w:tab w:val="clear" w:pos="720"/>
                <w:tab w:val="decimal" w:pos="730" w:leader="none"/>
              </w:tabs>
              <w:bidi w:val="0"/>
              <w:jc w:val="start"/>
              <w:rPr/>
            </w:pPr>
            <w:r>
              <w:rPr/>
            </w:r>
          </w:p>
        </w:tc>
        <w:tc>
          <w:tcPr>
            <w:tcW w:w="1606" w:type="dxa"/>
            <w:tcBorders>
              <w:end w:val="single" w:sz="4" w:space="0" w:color="000000"/>
            </w:tcBorders>
          </w:tcPr>
          <w:p>
            <w:pPr>
              <w:pStyle w:val="Normal"/>
              <w:bidi w:val="0"/>
              <w:jc w:val="center"/>
              <w:rPr/>
            </w:pPr>
            <w:r>
              <w:rPr/>
            </w:r>
          </w:p>
        </w:tc>
      </w:tr>
      <w:tr>
        <w:trPr/>
        <w:tc>
          <w:tcPr>
            <w:tcW w:w="2326" w:type="dxa"/>
            <w:tcBorders>
              <w:start w:val="single" w:sz="4" w:space="0" w:color="000000"/>
            </w:tcBorders>
          </w:tcPr>
          <w:p>
            <w:pPr>
              <w:pStyle w:val="Normal"/>
              <w:widowControl/>
              <w:suppressAutoHyphens w:val="true"/>
              <w:bidi w:val="0"/>
              <w:jc w:val="start"/>
              <w:rPr/>
            </w:pPr>
            <w:bookmarkStart w:id="48" w:name="_DV_M40"/>
            <w:bookmarkEnd w:id="48"/>
            <w:r>
              <w:rPr/>
              <w:t>Williams</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49" w:name="_DV_M41"/>
            <w:bookmarkEnd w:id="49"/>
            <w:r>
              <w:rPr/>
              <w:t>20.9</w:t>
            </w:r>
          </w:p>
        </w:tc>
        <w:tc>
          <w:tcPr>
            <w:tcW w:w="1606" w:type="dxa"/>
            <w:tcBorders>
              <w:end w:val="single" w:sz="4" w:space="0" w:color="000000"/>
            </w:tcBorders>
          </w:tcPr>
          <w:p>
            <w:pPr>
              <w:pStyle w:val="Normal"/>
              <w:bidi w:val="0"/>
              <w:jc w:val="center"/>
              <w:rPr/>
            </w:pPr>
            <w:bookmarkStart w:id="50" w:name="_DV_M42"/>
            <w:bookmarkEnd w:id="50"/>
            <w:r>
              <w:rPr/>
              <w:t>20.9</w:t>
            </w:r>
          </w:p>
        </w:tc>
      </w:tr>
      <w:tr>
        <w:trPr/>
        <w:tc>
          <w:tcPr>
            <w:tcW w:w="2326" w:type="dxa"/>
            <w:tcBorders>
              <w:start w:val="single" w:sz="4" w:space="0" w:color="000000"/>
            </w:tcBorders>
          </w:tcPr>
          <w:p>
            <w:pPr>
              <w:pStyle w:val="Normal"/>
              <w:widowControl/>
              <w:suppressAutoHyphens w:val="true"/>
              <w:bidi w:val="0"/>
              <w:jc w:val="start"/>
              <w:rPr/>
            </w:pPr>
            <w:bookmarkStart w:id="51" w:name="_DV_M43"/>
            <w:bookmarkEnd w:id="51"/>
            <w:r>
              <w:rPr/>
              <w:t>Duke</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52" w:name="_DV_M44"/>
            <w:bookmarkEnd w:id="52"/>
            <w:r>
              <w:rPr/>
              <w:t>17.1</w:t>
            </w:r>
          </w:p>
        </w:tc>
        <w:tc>
          <w:tcPr>
            <w:tcW w:w="1606" w:type="dxa"/>
            <w:tcBorders>
              <w:end w:val="single" w:sz="4" w:space="0" w:color="000000"/>
            </w:tcBorders>
          </w:tcPr>
          <w:p>
            <w:pPr>
              <w:pStyle w:val="Normal"/>
              <w:bidi w:val="0"/>
              <w:jc w:val="center"/>
              <w:rPr/>
            </w:pPr>
            <w:bookmarkStart w:id="53" w:name="_DV_M45"/>
            <w:bookmarkEnd w:id="53"/>
            <w:r>
              <w:rPr/>
              <w:t>17.1</w:t>
            </w:r>
          </w:p>
        </w:tc>
      </w:tr>
      <w:tr>
        <w:trPr/>
        <w:tc>
          <w:tcPr>
            <w:tcW w:w="2326" w:type="dxa"/>
            <w:tcBorders>
              <w:start w:val="single" w:sz="4" w:space="0" w:color="000000"/>
            </w:tcBorders>
          </w:tcPr>
          <w:p>
            <w:pPr>
              <w:pStyle w:val="Normal"/>
              <w:widowControl/>
              <w:suppressAutoHyphens w:val="true"/>
              <w:bidi w:val="0"/>
              <w:jc w:val="start"/>
              <w:rPr/>
            </w:pPr>
            <w:bookmarkStart w:id="54" w:name="_DV_M46"/>
            <w:bookmarkEnd w:id="54"/>
            <w:r>
              <w:rPr/>
              <w:t>El Paso</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55" w:name="_DV_M47"/>
            <w:bookmarkEnd w:id="55"/>
            <w:r>
              <w:rPr/>
              <w:t>9.0</w:t>
            </w:r>
          </w:p>
        </w:tc>
        <w:tc>
          <w:tcPr>
            <w:tcW w:w="1606" w:type="dxa"/>
            <w:tcBorders>
              <w:end w:val="single" w:sz="4" w:space="0" w:color="000000"/>
            </w:tcBorders>
          </w:tcPr>
          <w:p>
            <w:pPr>
              <w:pStyle w:val="Normal"/>
              <w:bidi w:val="0"/>
              <w:jc w:val="center"/>
              <w:rPr/>
            </w:pPr>
            <w:bookmarkStart w:id="56" w:name="_DV_M48"/>
            <w:bookmarkEnd w:id="56"/>
            <w:r>
              <w:rPr/>
              <w:t>9.0</w:t>
            </w:r>
          </w:p>
        </w:tc>
      </w:tr>
      <w:tr>
        <w:trPr/>
        <w:tc>
          <w:tcPr>
            <w:tcW w:w="2326" w:type="dxa"/>
            <w:tcBorders>
              <w:start w:val="single" w:sz="4" w:space="0" w:color="000000"/>
            </w:tcBorders>
          </w:tcPr>
          <w:p>
            <w:pPr>
              <w:pStyle w:val="Normal"/>
              <w:widowControl/>
              <w:suppressAutoHyphens w:val="true"/>
              <w:bidi w:val="0"/>
              <w:jc w:val="start"/>
              <w:rPr/>
            </w:pPr>
            <w:bookmarkStart w:id="57" w:name="_DV_M49"/>
            <w:bookmarkEnd w:id="57"/>
            <w:r>
              <w:rPr/>
              <w:t>Enron</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58" w:name="_DV_M50"/>
            <w:bookmarkEnd w:id="58"/>
            <w:r>
              <w:rPr/>
              <w:t>9.4</w:t>
            </w:r>
          </w:p>
        </w:tc>
        <w:tc>
          <w:tcPr>
            <w:tcW w:w="1606" w:type="dxa"/>
            <w:tcBorders>
              <w:end w:val="single" w:sz="4" w:space="0" w:color="000000"/>
            </w:tcBorders>
          </w:tcPr>
          <w:p>
            <w:pPr>
              <w:pStyle w:val="Normal"/>
              <w:bidi w:val="0"/>
              <w:jc w:val="center"/>
              <w:rPr/>
            </w:pPr>
            <w:bookmarkStart w:id="59" w:name="_DV_M51"/>
            <w:bookmarkEnd w:id="59"/>
            <w:r>
              <w:rPr/>
              <w:t>9.4</w:t>
            </w:r>
          </w:p>
        </w:tc>
      </w:tr>
      <w:tr>
        <w:trPr/>
        <w:tc>
          <w:tcPr>
            <w:tcW w:w="2326" w:type="dxa"/>
            <w:tcBorders>
              <w:start w:val="single" w:sz="4" w:space="0" w:color="000000"/>
            </w:tcBorders>
          </w:tcPr>
          <w:p>
            <w:pPr>
              <w:pStyle w:val="Normal"/>
              <w:widowControl/>
              <w:suppressAutoHyphens w:val="true"/>
              <w:bidi w:val="0"/>
              <w:jc w:val="start"/>
              <w:rPr/>
            </w:pPr>
            <w:bookmarkStart w:id="60" w:name="_DV_M52"/>
            <w:bookmarkEnd w:id="60"/>
            <w:r>
              <w:rPr/>
              <w:t>PG&amp;E</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61" w:name="_DV_M53"/>
            <w:bookmarkEnd w:id="61"/>
            <w:r>
              <w:rPr/>
              <w:t>9.4</w:t>
            </w:r>
          </w:p>
        </w:tc>
        <w:tc>
          <w:tcPr>
            <w:tcW w:w="1606" w:type="dxa"/>
            <w:tcBorders>
              <w:end w:val="single" w:sz="4" w:space="0" w:color="000000"/>
            </w:tcBorders>
          </w:tcPr>
          <w:p>
            <w:pPr>
              <w:pStyle w:val="Normal"/>
              <w:bidi w:val="0"/>
              <w:jc w:val="center"/>
              <w:rPr/>
            </w:pPr>
            <w:bookmarkStart w:id="62" w:name="_DV_M54"/>
            <w:bookmarkEnd w:id="62"/>
            <w:r>
              <w:rPr/>
              <w:t>9.4</w:t>
            </w:r>
          </w:p>
        </w:tc>
      </w:tr>
      <w:tr>
        <w:trPr/>
        <w:tc>
          <w:tcPr>
            <w:tcW w:w="2326" w:type="dxa"/>
            <w:tcBorders>
              <w:start w:val="single" w:sz="4" w:space="0" w:color="000000"/>
            </w:tcBorders>
          </w:tcPr>
          <w:p>
            <w:pPr>
              <w:pStyle w:val="Normal"/>
              <w:tabs>
                <w:tab w:val="clear" w:pos="720"/>
              </w:tabs>
              <w:bidi w:val="0"/>
              <w:jc w:val="start"/>
              <w:rPr/>
            </w:pPr>
            <w:bookmarkStart w:id="63" w:name="_DV_M55"/>
            <w:bookmarkEnd w:id="63"/>
            <w:r>
              <w:rPr/>
              <w:t>Sempra</w:t>
            </w:r>
            <w:bookmarkStart w:id="64" w:name="_DV_M56"/>
            <w:r>
              <w:rPr>
                <w:rStyle w:val="DeltaViewDeletion"/>
                <w:color w:val="000000"/>
              </w:rPr>
              <w:t xml:space="preserve"> /CPUC</w:t>
            </w:r>
            <w:bookmarkStart w:id="65" w:name="_DV_C7"/>
            <w:bookmarkEnd w:id="64"/>
            <w:bookmarkEnd w:id="65"/>
            <w:r>
              <w:rPr/>
              <w:t xml:space="preserve"> </w:t>
            </w:r>
          </w:p>
        </w:tc>
        <w:tc>
          <w:tcPr>
            <w:tcW w:w="1441" w:type="dxa"/>
            <w:tcBorders>
              <w:bottom w:val="single" w:sz="4" w:space="0" w:color="000000"/>
            </w:tcBorders>
          </w:tcPr>
          <w:p>
            <w:pPr>
              <w:pStyle w:val="Normal"/>
              <w:tabs>
                <w:tab w:val="clear" w:pos="720"/>
                <w:tab w:val="decimal" w:pos="702" w:leader="none"/>
              </w:tabs>
              <w:bidi w:val="0"/>
              <w:jc w:val="start"/>
              <w:rPr/>
            </w:pPr>
            <w:r>
              <w:rPr/>
            </w:r>
          </w:p>
        </w:tc>
        <w:tc>
          <w:tcPr>
            <w:tcW w:w="1799" w:type="dxa"/>
            <w:tcBorders>
              <w:bottom w:val="single" w:sz="4" w:space="0" w:color="000000"/>
            </w:tcBorders>
          </w:tcPr>
          <w:p>
            <w:pPr>
              <w:pStyle w:val="Normal"/>
              <w:tabs>
                <w:tab w:val="clear" w:pos="720"/>
                <w:tab w:val="decimal" w:pos="730" w:leader="none"/>
              </w:tabs>
              <w:bidi w:val="0"/>
              <w:jc w:val="start"/>
              <w:rPr/>
            </w:pPr>
            <w:bookmarkStart w:id="66" w:name="_DV_M57"/>
            <w:bookmarkEnd w:id="66"/>
            <w:r>
              <w:rPr/>
              <w:t>9.5</w:t>
            </w:r>
          </w:p>
        </w:tc>
        <w:tc>
          <w:tcPr>
            <w:tcW w:w="1606" w:type="dxa"/>
            <w:tcBorders>
              <w:bottom w:val="single" w:sz="4" w:space="0" w:color="000000"/>
              <w:end w:val="single" w:sz="4" w:space="0" w:color="000000"/>
            </w:tcBorders>
          </w:tcPr>
          <w:p>
            <w:pPr>
              <w:pStyle w:val="Normal"/>
              <w:tabs>
                <w:tab w:val="clear" w:pos="720"/>
              </w:tabs>
              <w:bidi w:val="0"/>
              <w:jc w:val="center"/>
              <w:rPr/>
            </w:pPr>
            <w:bookmarkStart w:id="67" w:name="_DV_M58"/>
            <w:bookmarkEnd w:id="67"/>
            <w:r>
              <w:rPr/>
              <w:t>9.5</w:t>
            </w:r>
          </w:p>
        </w:tc>
      </w:tr>
      <w:tr>
        <w:trPr/>
        <w:tc>
          <w:tcPr>
            <w:tcW w:w="2326" w:type="dxa"/>
            <w:tcBorders>
              <w:start w:val="single" w:sz="4" w:space="0" w:color="000000"/>
              <w:bottom w:val="single" w:sz="4" w:space="0" w:color="000000"/>
            </w:tcBorders>
          </w:tcPr>
          <w:p>
            <w:pPr>
              <w:pStyle w:val="Normal"/>
              <w:tabs>
                <w:tab w:val="clear" w:pos="720"/>
              </w:tabs>
              <w:bidi w:val="0"/>
              <w:jc w:val="start"/>
              <w:rPr/>
            </w:pPr>
            <w:bookmarkStart w:id="68" w:name="_DV_M59"/>
            <w:bookmarkEnd w:id="68"/>
            <w:r>
              <w:rPr/>
              <w:t>NiSource</w:t>
            </w:r>
          </w:p>
        </w:tc>
        <w:tc>
          <w:tcPr>
            <w:tcW w:w="1441" w:type="dxa"/>
            <w:tcBorders>
              <w:bottom w:val="single" w:sz="4" w:space="0" w:color="000000"/>
            </w:tcBorders>
          </w:tcPr>
          <w:p>
            <w:pPr>
              <w:pStyle w:val="Normal"/>
              <w:tabs>
                <w:tab w:val="clear" w:pos="720"/>
                <w:tab w:val="decimal" w:pos="702" w:leader="none"/>
              </w:tabs>
              <w:bidi w:val="0"/>
              <w:jc w:val="start"/>
              <w:rPr/>
            </w:pPr>
            <w:r>
              <w:rPr/>
            </w:r>
          </w:p>
        </w:tc>
        <w:tc>
          <w:tcPr>
            <w:tcW w:w="1799" w:type="dxa"/>
            <w:tcBorders>
              <w:bottom w:val="single" w:sz="4" w:space="0" w:color="000000"/>
            </w:tcBorders>
          </w:tcPr>
          <w:p>
            <w:pPr>
              <w:pStyle w:val="Normal"/>
              <w:tabs>
                <w:tab w:val="clear" w:pos="720"/>
                <w:tab w:val="decimal" w:pos="730" w:leader="none"/>
              </w:tabs>
              <w:bidi w:val="0"/>
              <w:jc w:val="start"/>
              <w:rPr/>
            </w:pPr>
            <w:bookmarkStart w:id="69" w:name="_DV_M60"/>
            <w:bookmarkEnd w:id="69"/>
            <w:r>
              <w:rPr/>
              <w:t>7.5</w:t>
            </w:r>
          </w:p>
        </w:tc>
        <w:tc>
          <w:tcPr>
            <w:tcW w:w="1606" w:type="dxa"/>
            <w:tcBorders>
              <w:bottom w:val="single" w:sz="4" w:space="0" w:color="000000"/>
              <w:end w:val="single" w:sz="4" w:space="0" w:color="000000"/>
            </w:tcBorders>
          </w:tcPr>
          <w:p>
            <w:pPr>
              <w:pStyle w:val="Normal"/>
              <w:tabs>
                <w:tab w:val="clear" w:pos="720"/>
              </w:tabs>
              <w:bidi w:val="0"/>
              <w:jc w:val="center"/>
              <w:rPr/>
            </w:pPr>
            <w:bookmarkStart w:id="70" w:name="_DV_M61"/>
            <w:bookmarkEnd w:id="70"/>
            <w:r>
              <w:rPr/>
              <w:t>7.5</w:t>
            </w:r>
          </w:p>
        </w:tc>
      </w:tr>
      <w:tr>
        <w:trPr/>
        <w:tc>
          <w:tcPr>
            <w:tcW w:w="2326" w:type="dxa"/>
            <w:tcBorders>
              <w:start w:val="single" w:sz="4" w:space="0" w:color="000000"/>
              <w:bottom w:val="single" w:sz="4" w:space="0" w:color="000000"/>
            </w:tcBorders>
          </w:tcPr>
          <w:p>
            <w:pPr>
              <w:pStyle w:val="Normal"/>
              <w:tabs>
                <w:tab w:val="clear" w:pos="720"/>
              </w:tabs>
              <w:bidi w:val="0"/>
              <w:jc w:val="start"/>
              <w:rPr/>
            </w:pPr>
            <w:r>
              <w:rPr/>
            </w:r>
          </w:p>
        </w:tc>
        <w:tc>
          <w:tcPr>
            <w:tcW w:w="1441" w:type="dxa"/>
            <w:tcBorders>
              <w:bottom w:val="single" w:sz="4" w:space="0" w:color="000000"/>
            </w:tcBorders>
          </w:tcPr>
          <w:p>
            <w:pPr>
              <w:pStyle w:val="Normal"/>
              <w:tabs>
                <w:tab w:val="clear" w:pos="720"/>
                <w:tab w:val="decimal" w:pos="702" w:leader="none"/>
              </w:tabs>
              <w:bidi w:val="0"/>
              <w:jc w:val="start"/>
              <w:rPr/>
            </w:pPr>
            <w:bookmarkStart w:id="71" w:name="_DV_M62"/>
            <w:bookmarkEnd w:id="71"/>
            <w:r>
              <w:rPr/>
              <w:t>100.0</w:t>
            </w:r>
          </w:p>
        </w:tc>
        <w:tc>
          <w:tcPr>
            <w:tcW w:w="1799" w:type="dxa"/>
            <w:tcBorders>
              <w:bottom w:val="single" w:sz="4" w:space="0" w:color="000000"/>
            </w:tcBorders>
          </w:tcPr>
          <w:p>
            <w:pPr>
              <w:pStyle w:val="Normal"/>
              <w:tabs>
                <w:tab w:val="clear" w:pos="720"/>
                <w:tab w:val="decimal" w:pos="730" w:leader="none"/>
              </w:tabs>
              <w:bidi w:val="0"/>
              <w:jc w:val="start"/>
              <w:rPr/>
            </w:pPr>
            <w:bookmarkStart w:id="72" w:name="_DV_M63"/>
            <w:bookmarkEnd w:id="72"/>
            <w:r>
              <w:rPr/>
              <w:t>100.0</w:t>
            </w:r>
          </w:p>
        </w:tc>
        <w:tc>
          <w:tcPr>
            <w:tcW w:w="1606" w:type="dxa"/>
            <w:tcBorders>
              <w:bottom w:val="single" w:sz="4" w:space="0" w:color="000000"/>
              <w:end w:val="single" w:sz="4" w:space="0" w:color="000000"/>
            </w:tcBorders>
          </w:tcPr>
          <w:p>
            <w:pPr>
              <w:pStyle w:val="Normal"/>
              <w:tabs>
                <w:tab w:val="clear" w:pos="720"/>
              </w:tabs>
              <w:bidi w:val="0"/>
              <w:jc w:val="center"/>
              <w:rPr/>
            </w:pPr>
            <w:bookmarkStart w:id="73" w:name="_DV_M64"/>
            <w:bookmarkEnd w:id="73"/>
            <w:r>
              <w:rPr/>
              <w:t>100</w:t>
            </w:r>
          </w:p>
        </w:tc>
      </w:tr>
    </w:tbl>
    <w:p>
      <w:pPr>
        <w:pStyle w:val="Normal"/>
        <w:widowControl/>
        <w:suppressAutoHyphens w:val="true"/>
        <w:bidi w:val="0"/>
        <w:jc w:val="start"/>
        <w:rPr/>
      </w:pPr>
      <w:r>
        <w:rPr/>
      </w:r>
    </w:p>
    <w:p>
      <w:pPr>
        <w:pStyle w:val="Normal"/>
        <w:bidi w:val="0"/>
        <w:ind w:hanging="720" w:start="720"/>
        <w:jc w:val="start"/>
        <w:rPr/>
      </w:pPr>
      <w:bookmarkStart w:id="74" w:name="_DV_M65"/>
      <w:bookmarkEnd w:id="74"/>
      <w:r>
        <w:rPr/>
        <w:t>*</w:t>
        <w:tab/>
        <w:t xml:space="preserve">Based on capital contributions from the inception of the ANNGTC Partnership in January 1978 through May 2001, without AFUDC. </w:t>
      </w:r>
    </w:p>
    <w:p>
      <w:pPr>
        <w:pStyle w:val="Normal"/>
        <w:bidi w:val="0"/>
        <w:ind w:hanging="720" w:start="720"/>
        <w:jc w:val="start"/>
        <w:rPr/>
      </w:pPr>
      <w:bookmarkStart w:id="75" w:name="_DV_M66"/>
      <w:bookmarkEnd w:id="75"/>
      <w:r>
        <w:rPr/>
        <w:t>**</w:t>
        <w:tab/>
        <w:t xml:space="preserve">Assuming each of the Rejoining Partners has full ownership of, or full authority over, the claims relating to the Designated Percentage of Historical Capital Contributions set forth opposite its name in Table 1.  New Percentage Interests </w:t>
      </w:r>
      <w:bookmarkStart w:id="76" w:name="_DV_C9"/>
      <w:r>
        <w:rPr>
          <w:rStyle w:val="DeltaViewDeletion"/>
          <w:color w:val="000000"/>
        </w:rPr>
        <w:t>will</w:t>
      </w:r>
      <w:bookmarkStart w:id="77" w:name="_DV_C8"/>
      <w:bookmarkEnd w:id="76"/>
      <w:r>
        <w:rPr>
          <w:rStyle w:val="DeltaViewInsertion"/>
          <w:color w:val="000000"/>
        </w:rPr>
        <w:t>would</w:t>
      </w:r>
      <w:bookmarkStart w:id="78" w:name="_DV_C9_Copy_1"/>
      <w:bookmarkEnd w:id="77"/>
      <w:bookmarkEnd w:id="78"/>
      <w:r>
        <w:rPr/>
        <w:t xml:space="preserve"> be increased pro rata for all partners if any Withdrawn Partner does not rejoin.  New Percentage Interests </w:t>
      </w:r>
      <w:bookmarkStart w:id="79" w:name="_DV_C11"/>
      <w:r>
        <w:rPr>
          <w:rStyle w:val="DeltaViewDeletion"/>
          <w:color w:val="000000"/>
        </w:rPr>
        <w:t>will</w:t>
      </w:r>
      <w:bookmarkStart w:id="80" w:name="_DV_C10"/>
      <w:bookmarkEnd w:id="79"/>
      <w:r>
        <w:rPr>
          <w:rStyle w:val="DeltaViewInsertion"/>
          <w:color w:val="000000"/>
        </w:rPr>
        <w:t>would</w:t>
      </w:r>
      <w:bookmarkStart w:id="81" w:name="_DV_C11_Copy_1"/>
      <w:bookmarkEnd w:id="80"/>
      <w:bookmarkEnd w:id="81"/>
      <w:r>
        <w:rPr/>
        <w:t xml:space="preserve"> be revised to reflect any capital contributions through the </w:t>
      </w:r>
      <w:bookmarkStart w:id="82" w:name="_DV_C13"/>
      <w:r>
        <w:rPr>
          <w:rStyle w:val="DeltaViewDeletion"/>
          <w:color w:val="000000"/>
        </w:rPr>
        <w:t>end</w:t>
      </w:r>
      <w:bookmarkStart w:id="83" w:name="_DV_C12"/>
      <w:bookmarkEnd w:id="82"/>
      <w:r>
        <w:rPr>
          <w:rStyle w:val="DeltaViewInsertion"/>
          <w:color w:val="000000"/>
        </w:rPr>
        <w:t>effective time</w:t>
      </w:r>
      <w:bookmarkStart w:id="84" w:name="_DV_C13_Copy_1"/>
      <w:bookmarkEnd w:id="83"/>
      <w:bookmarkEnd w:id="84"/>
      <w:r>
        <w:rPr/>
        <w:t xml:space="preserve"> of </w:t>
      </w:r>
      <w:bookmarkStart w:id="85" w:name="_DV_C15"/>
      <w:r>
        <w:rPr>
          <w:rStyle w:val="DeltaViewDeletion"/>
          <w:color w:val="000000"/>
        </w:rPr>
        <w:t>2001</w:t>
      </w:r>
      <w:bookmarkStart w:id="86" w:name="_DV_C14"/>
      <w:bookmarkEnd w:id="85"/>
      <w:r>
        <w:rPr>
          <w:rStyle w:val="DeltaViewInsertion"/>
          <w:color w:val="000000"/>
        </w:rPr>
        <w:t>an amended and restated Partnership Agreement in accordance with paragraph 9 hereof</w:t>
      </w:r>
      <w:bookmarkStart w:id="87" w:name="_DV_C15_Copy_1"/>
      <w:bookmarkEnd w:id="86"/>
      <w:bookmarkEnd w:id="87"/>
      <w:r>
        <w:rPr/>
        <w:t xml:space="preserve"> and decreased pro rata for all partners in the event that any Alaskan North Slope Producers join the ANNGTC Partnership.</w:t>
      </w:r>
    </w:p>
    <w:p>
      <w:pPr>
        <w:pStyle w:val="Normal"/>
        <w:bidi w:val="0"/>
        <w:ind w:hanging="720" w:start="720"/>
        <w:jc w:val="start"/>
        <w:rPr/>
      </w:pPr>
      <w:r>
        <w:rPr/>
      </w:r>
    </w:p>
    <w:p>
      <w:pPr>
        <w:pStyle w:val="MBPBdDblSp5Ld2"/>
        <w:bidi w:val="0"/>
        <w:spacing w:lineRule="auto" w:line="240"/>
        <w:jc w:val="start"/>
        <w:rPr>
          <w:rFonts w:ascii="Times New Roman" w:hAnsi="Times New Roman"/>
        </w:rPr>
      </w:pPr>
      <w:bookmarkStart w:id="88" w:name="_DV_M71"/>
      <w:bookmarkEnd w:id="88"/>
      <w:r>
        <w:rPr/>
        <w:t>2.</w:t>
        <w:tab/>
        <w:t>Each Rejoining Partner will make the following payments for the ultimate account of TCPL-USA and UAFC-Foothills:</w:t>
      </w:r>
    </w:p>
    <w:p>
      <w:pPr>
        <w:pStyle w:val="Normal"/>
        <w:bidi w:val="0"/>
        <w:ind w:firstLine="720"/>
        <w:jc w:val="start"/>
        <w:rPr/>
      </w:pPr>
      <w:r>
        <w:rPr/>
      </w:r>
    </w:p>
    <w:p>
      <w:pPr>
        <w:pStyle w:val="Normal"/>
        <w:bidi w:val="0"/>
        <w:ind w:firstLine="720" w:start="720"/>
        <w:jc w:val="start"/>
        <w:rPr/>
      </w:pPr>
      <w:bookmarkStart w:id="89" w:name="_DV_M72"/>
      <w:bookmarkEnd w:id="89"/>
      <w:r>
        <w:rPr/>
        <w:t>a.</w:t>
        <w:tab/>
        <w:t xml:space="preserve">A cash payment, payable </w:t>
      </w:r>
      <w:bookmarkStart w:id="90" w:name="_DV_C17"/>
      <w:r>
        <w:rPr>
          <w:rStyle w:val="DeltaViewDeletion"/>
          <w:color w:val="000000"/>
        </w:rPr>
        <w:t>upon</w:t>
      </w:r>
      <w:bookmarkStart w:id="91" w:name="_DV_C16"/>
      <w:bookmarkEnd w:id="90"/>
      <w:r>
        <w:rPr>
          <w:rStyle w:val="DeltaViewInsertion"/>
          <w:color w:val="000000"/>
        </w:rPr>
        <w:t>at</w:t>
      </w:r>
      <w:bookmarkStart w:id="92" w:name="_DV_C17_Copy_1"/>
      <w:bookmarkEnd w:id="91"/>
      <w:bookmarkEnd w:id="92"/>
      <w:r>
        <w:rPr/>
        <w:t xml:space="preserve"> the </w:t>
      </w:r>
      <w:bookmarkStart w:id="93" w:name="_DV_C19"/>
      <w:r>
        <w:rPr>
          <w:rStyle w:val="DeltaViewDeletion"/>
          <w:color w:val="000000"/>
        </w:rPr>
        <w:t>execution</w:t>
      </w:r>
      <w:bookmarkStart w:id="94" w:name="_DV_C18"/>
      <w:bookmarkEnd w:id="93"/>
      <w:r>
        <w:rPr>
          <w:rStyle w:val="DeltaViewInsertion"/>
          <w:color w:val="000000"/>
        </w:rPr>
        <w:t>effective time</w:t>
      </w:r>
      <w:bookmarkStart w:id="95" w:name="_DV_C19_Copy_1"/>
      <w:bookmarkEnd w:id="94"/>
      <w:bookmarkEnd w:id="95"/>
      <w:r>
        <w:rPr/>
        <w:t xml:space="preserve"> of </w:t>
      </w:r>
      <w:bookmarkStart w:id="96" w:name="_DV_C21"/>
      <w:r>
        <w:rPr>
          <w:rStyle w:val="DeltaViewDeletion"/>
          <w:color w:val="000000"/>
        </w:rPr>
        <w:t>the revised</w:t>
      </w:r>
      <w:bookmarkStart w:id="97" w:name="_DV_C20"/>
      <w:bookmarkEnd w:id="96"/>
      <w:r>
        <w:rPr>
          <w:rStyle w:val="DeltaViewInsertion"/>
          <w:color w:val="000000"/>
        </w:rPr>
        <w:t>an amended and restated</w:t>
      </w:r>
      <w:bookmarkStart w:id="98" w:name="_DV_C21_Copy_1"/>
      <w:bookmarkEnd w:id="97"/>
      <w:bookmarkEnd w:id="98"/>
      <w:r>
        <w:rPr/>
        <w:t xml:space="preserve"> Partnership Agreement </w:t>
      </w:r>
      <w:bookmarkStart w:id="99" w:name="_DV_C23"/>
      <w:r>
        <w:rPr>
          <w:rStyle w:val="DeltaViewDeletion"/>
          <w:color w:val="000000"/>
        </w:rPr>
        <w:t>by  TCPL-USA, UAFC-Foothills, and the Rejoining Partners</w:t>
      </w:r>
      <w:bookmarkStart w:id="100" w:name="_DV_C22"/>
      <w:bookmarkEnd w:id="99"/>
      <w:r>
        <w:rPr>
          <w:rStyle w:val="DeltaViewInsertion"/>
          <w:color w:val="000000"/>
        </w:rPr>
        <w:t>executed in accordance with paragraph 9 hereof</w:t>
      </w:r>
      <w:bookmarkStart w:id="101" w:name="_DV_C23_Copy_1"/>
      <w:bookmarkEnd w:id="100"/>
      <w:bookmarkEnd w:id="101"/>
      <w:r>
        <w:rPr/>
        <w:t xml:space="preserve">, in an amount equal to such Rejoining Partner’s </w:t>
      </w:r>
      <w:bookmarkStart w:id="102" w:name="_DV_M77"/>
      <w:r>
        <w:rPr>
          <w:rStyle w:val="DeltaViewDeletion"/>
          <w:color w:val="000000"/>
        </w:rPr>
        <w:t xml:space="preserve">pro rata share (based on its </w:t>
      </w:r>
      <w:bookmarkStart w:id="103" w:name="_DV_C24"/>
      <w:bookmarkEnd w:id="102"/>
      <w:bookmarkEnd w:id="103"/>
      <w:r>
        <w:rPr/>
        <w:t>New Percentage Interest</w:t>
      </w:r>
      <w:bookmarkStart w:id="104" w:name="_DV_M78"/>
      <w:r>
        <w:rPr>
          <w:rStyle w:val="DeltaViewInsertion"/>
          <w:color w:val="000000"/>
        </w:rPr>
        <w:t xml:space="preserve"> multiplied by the sum of (i</w:t>
      </w:r>
      <w:bookmarkStart w:id="105" w:name="_DV_C25"/>
      <w:bookmarkEnd w:id="104"/>
      <w:bookmarkEnd w:id="105"/>
      <w:r>
        <w:rPr/>
        <w:t>)</w:t>
      </w:r>
      <w:bookmarkStart w:id="106" w:name="_DV_M79"/>
      <w:r>
        <w:rPr>
          <w:rStyle w:val="DeltaViewDeletion"/>
          <w:color w:val="000000"/>
        </w:rPr>
        <w:t xml:space="preserve">  of</w:t>
      </w:r>
      <w:bookmarkStart w:id="107" w:name="_DV_C26"/>
      <w:bookmarkEnd w:id="106"/>
      <w:bookmarkEnd w:id="107"/>
      <w:r>
        <w:rPr/>
        <w:t xml:space="preserve"> US$10 million, being the Rejoining Partners’ aggregate share of the costs incurred by TCPL-USA and UAFC-Foothills in connection with the ANNGTC Partnership during the years 2000 and </w:t>
      </w:r>
      <w:bookmarkStart w:id="108" w:name="_DV_C28"/>
      <w:r>
        <w:rPr>
          <w:rStyle w:val="DeltaViewDeletion"/>
          <w:color w:val="000000"/>
        </w:rPr>
        <w:t>2001</w:t>
      </w:r>
      <w:bookmarkStart w:id="109" w:name="_DV_C27"/>
      <w:bookmarkEnd w:id="108"/>
      <w:r>
        <w:rPr>
          <w:rStyle w:val="DeltaViewInsertion"/>
          <w:color w:val="000000"/>
        </w:rPr>
        <w:t>2001, and (ii) such additional sums incurred by TCPL-USA and UAFC-Foothills in connection with the ANNGTC Partnership from January 1, 2002 to such effective time</w:t>
      </w:r>
      <w:bookmarkStart w:id="110" w:name="_DV_C28_Copy_1"/>
      <w:bookmarkEnd w:id="109"/>
      <w:bookmarkEnd w:id="110"/>
      <w:r>
        <w:rPr/>
        <w:t>; and</w:t>
      </w:r>
    </w:p>
    <w:p>
      <w:pPr>
        <w:pStyle w:val="Normal"/>
        <w:bidi w:val="0"/>
        <w:ind w:firstLine="720" w:start="720"/>
        <w:jc w:val="start"/>
        <w:rPr/>
      </w:pPr>
      <w:r>
        <w:rPr/>
      </w:r>
    </w:p>
    <w:p>
      <w:pPr>
        <w:pStyle w:val="Normal"/>
        <w:bidi w:val="0"/>
        <w:ind w:firstLine="720" w:start="720"/>
        <w:jc w:val="start"/>
        <w:rPr/>
      </w:pPr>
      <w:bookmarkStart w:id="111" w:name="_DV_M81"/>
      <w:bookmarkEnd w:id="111"/>
      <w:r>
        <w:rPr/>
        <w:t>b.</w:t>
        <w:tab/>
        <w:t xml:space="preserve">A </w:t>
      </w:r>
      <w:bookmarkStart w:id="112" w:name="_DV_M82"/>
      <w:r>
        <w:rPr>
          <w:rStyle w:val="DeltaViewDeletion"/>
          <w:color w:val="000000"/>
        </w:rPr>
        <w:t xml:space="preserve">success </w:t>
      </w:r>
      <w:bookmarkStart w:id="113" w:name="_DV_C29"/>
      <w:bookmarkEnd w:id="112"/>
      <w:bookmarkEnd w:id="113"/>
      <w:r>
        <w:rPr/>
        <w:t>payment</w:t>
      </w:r>
      <w:bookmarkStart w:id="114" w:name="_DV_M83"/>
      <w:r>
        <w:rPr>
          <w:rStyle w:val="DeltaViewDeletion"/>
          <w:color w:val="000000"/>
        </w:rPr>
        <w:t>/distribution</w:t>
      </w:r>
      <w:bookmarkStart w:id="115" w:name="_DV_C30"/>
      <w:bookmarkEnd w:id="114"/>
      <w:bookmarkEnd w:id="115"/>
      <w:r>
        <w:rPr/>
        <w:t xml:space="preserve"> equal to such Rejoining Partner’s </w:t>
      </w:r>
      <w:bookmarkStart w:id="116" w:name="_DV_M84"/>
      <w:r>
        <w:rPr>
          <w:rStyle w:val="DeltaViewDeletion"/>
          <w:color w:val="000000"/>
        </w:rPr>
        <w:t xml:space="preserve">pro rata share (based on its </w:t>
      </w:r>
      <w:bookmarkStart w:id="117" w:name="_DV_C31"/>
      <w:bookmarkEnd w:id="116"/>
      <w:bookmarkEnd w:id="117"/>
      <w:r>
        <w:rPr/>
        <w:t>New Percentage Interest</w:t>
      </w:r>
      <w:bookmarkStart w:id="118" w:name="_DV_C33"/>
      <w:r>
        <w:rPr>
          <w:rStyle w:val="DeltaViewDeletion"/>
          <w:color w:val="000000"/>
        </w:rPr>
        <w:t>) of</w:t>
      </w:r>
      <w:bookmarkStart w:id="119" w:name="_DV_C32"/>
      <w:bookmarkEnd w:id="118"/>
      <w:r>
        <w:rPr>
          <w:rStyle w:val="DeltaViewInsertion"/>
          <w:color w:val="000000"/>
        </w:rPr>
        <w:t xml:space="preserve"> multiplied by</w:t>
      </w:r>
      <w:bookmarkStart w:id="120" w:name="_DV_C33_Copy_1"/>
      <w:bookmarkEnd w:id="119"/>
      <w:bookmarkEnd w:id="120"/>
      <w:r>
        <w:rPr/>
        <w:t xml:space="preserve"> US$40 million, payable upon the commencement of construction pursuant to a certificate of public convenience and necessity issued by the Federal Energy Regulatory Commission for a pipeline with total volumes equal to or greater than 2.4 Bcf/d.</w:t>
      </w:r>
    </w:p>
    <w:p>
      <w:pPr>
        <w:pStyle w:val="Normal"/>
        <w:bidi w:val="0"/>
        <w:ind w:firstLine="720" w:start="720"/>
        <w:jc w:val="start"/>
        <w:rPr/>
      </w:pPr>
      <w:r>
        <w:rPr/>
      </w:r>
    </w:p>
    <w:p>
      <w:pPr>
        <w:pStyle w:val="Normal"/>
        <w:bidi w:val="0"/>
        <w:ind w:firstLine="720"/>
        <w:jc w:val="start"/>
        <w:rPr/>
      </w:pPr>
      <w:bookmarkStart w:id="121" w:name="_DV_M86"/>
      <w:bookmarkEnd w:id="121"/>
      <w:r>
        <w:rPr/>
        <w:t>3.</w:t>
        <w:tab/>
        <w:t xml:space="preserve">For purposes of </w:t>
      </w:r>
      <w:bookmarkStart w:id="122" w:name="_DV_M87"/>
      <w:r>
        <w:rPr>
          <w:rStyle w:val="DeltaViewDeletion"/>
          <w:color w:val="000000"/>
        </w:rPr>
        <w:t xml:space="preserve">both </w:t>
      </w:r>
      <w:bookmarkStart w:id="123" w:name="_DV_C34"/>
      <w:bookmarkEnd w:id="122"/>
      <w:bookmarkEnd w:id="123"/>
      <w:r>
        <w:rPr/>
        <w:t>the ANNGTC Partnership’s accounts</w:t>
      </w:r>
      <w:bookmarkStart w:id="124" w:name="_DV_C36"/>
      <w:r>
        <w:rPr>
          <w:rStyle w:val="DeltaViewDeletion"/>
          <w:color w:val="000000"/>
        </w:rPr>
        <w:t xml:space="preserve"> and</w:t>
      </w:r>
      <w:bookmarkStart w:id="125" w:name="_DV_C35"/>
      <w:bookmarkEnd w:id="124"/>
      <w:r>
        <w:rPr>
          <w:rStyle w:val="DeltaViewInsertion"/>
          <w:color w:val="000000"/>
        </w:rPr>
        <w:t>,</w:t>
      </w:r>
      <w:bookmarkStart w:id="126" w:name="_DV_C36_Copy_1"/>
      <w:bookmarkEnd w:id="125"/>
      <w:bookmarkEnd w:id="126"/>
      <w:r>
        <w:rPr/>
        <w:t xml:space="preserve"> FERC Form No. </w:t>
      </w:r>
      <w:bookmarkStart w:id="127" w:name="_DV_C38"/>
      <w:r>
        <w:rPr>
          <w:rStyle w:val="DeltaViewDeletion"/>
          <w:color w:val="000000"/>
        </w:rPr>
        <w:t>2,</w:t>
      </w:r>
      <w:bookmarkStart w:id="128" w:name="_DV_C37"/>
      <w:bookmarkEnd w:id="127"/>
      <w:r>
        <w:rPr>
          <w:rStyle w:val="DeltaViewInsertion"/>
          <w:color w:val="000000"/>
        </w:rPr>
        <w:t>2 and</w:t>
      </w:r>
      <w:bookmarkStart w:id="129" w:name="_DV_C38_Copy_1"/>
      <w:bookmarkEnd w:id="128"/>
      <w:bookmarkEnd w:id="129"/>
      <w:r>
        <w:rPr/>
        <w:t xml:space="preserve"> the </w:t>
      </w:r>
      <w:bookmarkStart w:id="130" w:name="_DV_C40"/>
      <w:r>
        <w:rPr>
          <w:rStyle w:val="DeltaViewDeletion"/>
          <w:color w:val="000000"/>
        </w:rPr>
        <w:t>ANNGTC Partnership will</w:t>
      </w:r>
      <w:bookmarkStart w:id="131" w:name="_DV_C39"/>
      <w:bookmarkEnd w:id="130"/>
      <w:r>
        <w:rPr>
          <w:rStyle w:val="DeltaViewInsertion"/>
          <w:color w:val="000000"/>
        </w:rPr>
        <w:t>derivation of initial rates</w:t>
      </w:r>
      <w:bookmarkStart w:id="132" w:name="_DV_C40_Copy_1"/>
      <w:bookmarkEnd w:id="131"/>
      <w:bookmarkEnd w:id="132"/>
      <w:r>
        <w:rPr/>
        <w:t>,</w:t>
      </w:r>
      <w:bookmarkStart w:id="133" w:name="_DV_M91"/>
      <w:r>
        <w:rPr>
          <w:rStyle w:val="DeltaViewInsertion"/>
          <w:color w:val="000000"/>
        </w:rPr>
        <w:t xml:space="preserve"> the ANNGTC Partnership would, as part of a commercial agreement with the initial shippers on the pipeline to be constructed by the ANNGTC Partnership and</w:t>
      </w:r>
      <w:bookmarkStart w:id="134" w:name="_DV_C41"/>
      <w:bookmarkEnd w:id="133"/>
      <w:bookmarkEnd w:id="134"/>
      <w:r>
        <w:rPr/>
        <w:t xml:space="preserve"> subject to acceptable tax treatment which is satisfactory to TCPL-USA, UAFC-Foothills and the Rejoining Partners, write down</w:t>
      </w:r>
      <w:bookmarkStart w:id="135" w:name="_DV_C42"/>
      <w:r>
        <w:rPr>
          <w:rStyle w:val="DeltaViewInsertion"/>
          <w:color w:val="000000"/>
        </w:rPr>
        <w:t>, effective on the in-service date of the pipeline to be constructed by the ANNGTC Partnership,</w:t>
      </w:r>
      <w:bookmarkEnd w:id="135"/>
      <w:r>
        <w:rPr>
          <w:rStyle w:val="FootnoteReference"/>
          <w:color w:val="000000"/>
          <w:vertAlign w:val="superscript"/>
        </w:rPr>
        <w:footnoteReference w:id="2"/>
      </w:r>
      <w:bookmarkStart w:id="136" w:name="_DV_M92"/>
      <w:bookmarkEnd w:id="136"/>
      <w:r>
        <w:rPr/>
        <w:t xml:space="preserve"> all AFUDC and interest on the historical capital contributions made by Rejoining Partners, TCPL-USA and UAFC-Foothills through an agreed  trigger date, currently contemplated to be December 31, </w:t>
      </w:r>
      <w:bookmarkStart w:id="137" w:name="_DV_C45"/>
      <w:r>
        <w:rPr>
          <w:rStyle w:val="DeltaViewDeletion"/>
          <w:color w:val="000000"/>
        </w:rPr>
        <w:t>2001; provided</w:t>
      </w:r>
      <w:bookmarkStart w:id="138" w:name="_DV_C44"/>
      <w:bookmarkEnd w:id="137"/>
      <w:r>
        <w:rPr>
          <w:rStyle w:val="DeltaViewInsertion"/>
          <w:color w:val="000000"/>
        </w:rPr>
        <w:t>2001, with such write down to be effective on the in-service date of the pipeline to be constructed by the ANNGTC Partnership; provided, the ANNGTC Partnership Accounts and the FERC Form No. 2 shall reflect, for each of TCPL-USA, UAFC-Foothills, and each Rejoining Party, a credit for the principal amount of such party’s historical capital contributions through the effective time of an amended and restated Partnership Agreement in accordance with paragraph 9 hereof; provided further</w:t>
      </w:r>
      <w:bookmarkStart w:id="139" w:name="_DV_C45_Copy_1"/>
      <w:bookmarkEnd w:id="138"/>
      <w:bookmarkEnd w:id="139"/>
      <w:r>
        <w:rPr/>
        <w:t xml:space="preserve">, the parties hereto recognize that the recovery of and on any such historical capital contributions </w:t>
      </w:r>
      <w:bookmarkStart w:id="140" w:name="_DV_C47"/>
      <w:r>
        <w:rPr>
          <w:rStyle w:val="DeltaViewDeletion"/>
          <w:color w:val="000000"/>
        </w:rPr>
        <w:t>will</w:t>
      </w:r>
      <w:bookmarkStart w:id="141" w:name="_DV_C46"/>
      <w:bookmarkEnd w:id="140"/>
      <w:r>
        <w:rPr>
          <w:rStyle w:val="DeltaViewInsertion"/>
          <w:color w:val="000000"/>
        </w:rPr>
        <w:t>would</w:t>
      </w:r>
      <w:bookmarkStart w:id="142" w:name="_DV_C47_Copy_1"/>
      <w:bookmarkEnd w:id="141"/>
      <w:bookmarkEnd w:id="142"/>
      <w:r>
        <w:rPr/>
        <w:t xml:space="preserve"> be dependent upon the level of tariffs negotiated with ANS Producers, other future shippers and regulatory approvals.</w:t>
      </w:r>
    </w:p>
    <w:p>
      <w:pPr>
        <w:pStyle w:val="Normal"/>
        <w:bidi w:val="0"/>
        <w:ind w:firstLine="720"/>
        <w:jc w:val="start"/>
        <w:rPr/>
      </w:pPr>
      <w:r>
        <w:rPr/>
      </w:r>
    </w:p>
    <w:p>
      <w:pPr>
        <w:pStyle w:val="Normal"/>
        <w:bidi w:val="0"/>
        <w:ind w:firstLine="720"/>
        <w:jc w:val="start"/>
        <w:rPr/>
      </w:pPr>
      <w:bookmarkStart w:id="143" w:name="_DV_M95"/>
      <w:bookmarkEnd w:id="143"/>
      <w:r>
        <w:rPr/>
        <w:t>4.</w:t>
        <w:tab/>
        <w:t>If TCPL-USA, UAFC-Foothills or any Rejoining Partner subsequently withdraws from the ANNGTC Partnership, it</w:t>
      </w:r>
      <w:bookmarkStart w:id="144" w:name="_DV_C49"/>
      <w:r>
        <w:rPr>
          <w:rStyle w:val="DeltaViewDeletion"/>
          <w:color w:val="000000"/>
        </w:rPr>
        <w:t xml:space="preserve">  will</w:t>
      </w:r>
      <w:bookmarkStart w:id="145" w:name="_DV_C48"/>
      <w:bookmarkEnd w:id="144"/>
      <w:r>
        <w:rPr>
          <w:rStyle w:val="DeltaViewInsertion"/>
          <w:color w:val="000000"/>
        </w:rPr>
        <w:t xml:space="preserve"> would</w:t>
      </w:r>
      <w:bookmarkStart w:id="146" w:name="_DV_C49_Copy_1"/>
      <w:bookmarkEnd w:id="145"/>
      <w:bookmarkEnd w:id="146"/>
      <w:r>
        <w:rPr/>
        <w:t xml:space="preserve"> have no entitlement to reimbursement of any of its capital contributions (or AFUDC or interest thereon) made after the date it rejoined the ANNGTC Partnership, and each then-existing partner </w:t>
      </w:r>
      <w:bookmarkStart w:id="147" w:name="_DV_C51"/>
      <w:r>
        <w:rPr>
          <w:rStyle w:val="DeltaViewDeletion"/>
          <w:color w:val="000000"/>
        </w:rPr>
        <w:t>shall</w:t>
      </w:r>
      <w:bookmarkStart w:id="148" w:name="_DV_C50"/>
      <w:bookmarkEnd w:id="147"/>
      <w:r>
        <w:rPr>
          <w:rStyle w:val="DeltaViewInsertion"/>
          <w:color w:val="000000"/>
        </w:rPr>
        <w:t>would</w:t>
      </w:r>
      <w:bookmarkStart w:id="149" w:name="_DV_C51_Copy_1"/>
      <w:bookmarkEnd w:id="148"/>
      <w:bookmarkEnd w:id="149"/>
      <w:r>
        <w:rPr/>
        <w:t xml:space="preserve"> have the right at its election to purchase its pro rata share of such partner’s New Percentage Interest for $1.00.</w:t>
      </w:r>
    </w:p>
    <w:p>
      <w:pPr>
        <w:pStyle w:val="Normal"/>
        <w:bidi w:val="0"/>
        <w:ind w:firstLine="720"/>
        <w:jc w:val="start"/>
        <w:rPr/>
      </w:pPr>
      <w:r>
        <w:rPr/>
      </w:r>
    </w:p>
    <w:p>
      <w:pPr>
        <w:pStyle w:val="Normal"/>
        <w:bidi w:val="0"/>
        <w:ind w:firstLine="720"/>
        <w:jc w:val="start"/>
        <w:rPr/>
      </w:pPr>
      <w:bookmarkStart w:id="150" w:name="_DV_C52"/>
      <w:r>
        <w:rPr>
          <w:rStyle w:val="DeltaViewDeletion"/>
          <w:color w:val="000000"/>
        </w:rPr>
        <w:t>5.</w:t>
        <w:tab/>
        <w:t>In the event that TCPL-USA, UAFC-Foothills, or a Rejoining Partner wishes to sell its interest to a third party after the date it rejoins the ANNGTC Partnership, the remaining partners will have a right of first refusal to acquire the selling partner’s interest on a pro rata basis at a price equal to any bona fide offer received by such Partner from such third party.</w:t>
      </w:r>
      <w:bookmarkEnd w:id="150"/>
    </w:p>
    <w:p>
      <w:pPr>
        <w:pStyle w:val="Normal"/>
        <w:bidi w:val="0"/>
        <w:ind w:firstLine="720"/>
        <w:jc w:val="start"/>
        <w:rPr/>
      </w:pPr>
      <w:r>
        <w:rPr/>
      </w:r>
    </w:p>
    <w:p>
      <w:pPr>
        <w:pStyle w:val="Normal"/>
        <w:bidi w:val="0"/>
        <w:ind w:firstLine="720"/>
        <w:jc w:val="start"/>
        <w:rPr/>
      </w:pPr>
      <w:bookmarkStart w:id="151" w:name="_DV_C54"/>
      <w:r>
        <w:rPr>
          <w:rStyle w:val="DeltaViewDeletion"/>
          <w:color w:val="000000"/>
        </w:rPr>
        <w:t>6.</w:t>
      </w:r>
      <w:bookmarkStart w:id="152" w:name="_DV_C53"/>
      <w:bookmarkEnd w:id="151"/>
      <w:r>
        <w:rPr>
          <w:rStyle w:val="DeltaViewInsertion"/>
          <w:color w:val="000000"/>
        </w:rPr>
        <w:t>5.</w:t>
      </w:r>
      <w:bookmarkEnd w:id="152"/>
      <w:r>
        <w:rPr/>
        <w:tab/>
        <w:t xml:space="preserve">Section 11.2 of the Partnership Agreement, which currently provides for the nondiscriminatory admission of new partners, </w:t>
      </w:r>
      <w:bookmarkStart w:id="153" w:name="_DV_C56"/>
      <w:r>
        <w:rPr>
          <w:rStyle w:val="DeltaViewDeletion"/>
          <w:color w:val="000000"/>
        </w:rPr>
        <w:t>will</w:t>
      </w:r>
      <w:bookmarkStart w:id="154" w:name="_DV_C55"/>
      <w:bookmarkEnd w:id="153"/>
      <w:r>
        <w:rPr>
          <w:rStyle w:val="DeltaViewInsertion"/>
          <w:color w:val="000000"/>
        </w:rPr>
        <w:t>would</w:t>
      </w:r>
      <w:bookmarkStart w:id="155" w:name="_DV_C56_Copy_1"/>
      <w:bookmarkEnd w:id="154"/>
      <w:bookmarkEnd w:id="155"/>
      <w:r>
        <w:rPr/>
        <w:t xml:space="preserve"> be amended to provide that admission of new partners shall require approval of a specified percentage of partnership interests.</w:t>
      </w:r>
    </w:p>
    <w:p>
      <w:pPr>
        <w:pStyle w:val="Normal"/>
        <w:bidi w:val="0"/>
        <w:ind w:firstLine="720"/>
        <w:jc w:val="start"/>
        <w:rPr/>
      </w:pPr>
      <w:r>
        <w:rPr/>
      </w:r>
    </w:p>
    <w:p>
      <w:pPr>
        <w:pStyle w:val="Normal"/>
        <w:bidi w:val="0"/>
        <w:ind w:firstLine="720"/>
        <w:jc w:val="start"/>
        <w:rPr/>
      </w:pPr>
      <w:bookmarkStart w:id="156" w:name="_DV_C58"/>
      <w:r>
        <w:rPr>
          <w:rStyle w:val="DeltaViewDeletion"/>
          <w:color w:val="000000"/>
        </w:rPr>
        <w:t>7.</w:t>
      </w:r>
      <w:bookmarkStart w:id="157" w:name="_DV_C57"/>
      <w:bookmarkEnd w:id="156"/>
      <w:r>
        <w:rPr>
          <w:rStyle w:val="DeltaViewInsertion"/>
          <w:color w:val="000000"/>
        </w:rPr>
        <w:t>6.</w:t>
      </w:r>
      <w:bookmarkStart w:id="158" w:name="_DV_C58_Copy_1"/>
      <w:bookmarkEnd w:id="157"/>
      <w:bookmarkEnd w:id="158"/>
      <w:r>
        <w:rPr/>
        <w:tab/>
        <w:t xml:space="preserve">The governance provisions of the Partnership Agreement </w:t>
      </w:r>
      <w:bookmarkStart w:id="159" w:name="_DV_C60"/>
      <w:r>
        <w:rPr>
          <w:rStyle w:val="DeltaViewDeletion"/>
          <w:color w:val="000000"/>
        </w:rPr>
        <w:t>will</w:t>
      </w:r>
      <w:bookmarkStart w:id="160" w:name="_DV_C59"/>
      <w:bookmarkEnd w:id="159"/>
      <w:r>
        <w:rPr>
          <w:rStyle w:val="DeltaViewInsertion"/>
          <w:color w:val="000000"/>
        </w:rPr>
        <w:t>would</w:t>
      </w:r>
      <w:bookmarkStart w:id="161" w:name="_DV_C60_Copy_1"/>
      <w:bookmarkEnd w:id="160"/>
      <w:bookmarkEnd w:id="161"/>
      <w:r>
        <w:rPr/>
        <w:t xml:space="preserve"> be amended in order to modernize provisions for the management of the ANNGTC Partnership (including without limitation the provisions relating to the appointment and removal of the Chairman and the Executive Committee of the Board of Partners) and to implement voting rights based on partners’ percentage interests.</w:t>
      </w:r>
    </w:p>
    <w:p>
      <w:pPr>
        <w:pStyle w:val="Normal"/>
        <w:bidi w:val="0"/>
        <w:ind w:firstLine="720"/>
        <w:jc w:val="start"/>
        <w:rPr/>
      </w:pPr>
      <w:r>
        <w:rPr/>
      </w:r>
    </w:p>
    <w:p>
      <w:pPr>
        <w:pStyle w:val="Normal"/>
        <w:bidi w:val="0"/>
        <w:ind w:firstLine="720"/>
        <w:jc w:val="start"/>
        <w:rPr/>
      </w:pPr>
      <w:bookmarkStart w:id="162" w:name="_DV_C62"/>
      <w:r>
        <w:rPr>
          <w:rStyle w:val="DeltaViewDeletion"/>
          <w:color w:val="000000"/>
        </w:rPr>
        <w:t>8.</w:t>
      </w:r>
      <w:bookmarkStart w:id="163" w:name="_DV_C61"/>
      <w:bookmarkEnd w:id="162"/>
      <w:r>
        <w:rPr>
          <w:rStyle w:val="DeltaViewInsertion"/>
          <w:color w:val="000000"/>
        </w:rPr>
        <w:t>7.</w:t>
      </w:r>
      <w:bookmarkStart w:id="164" w:name="_DV_C62_Copy_1"/>
      <w:bookmarkEnd w:id="163"/>
      <w:bookmarkEnd w:id="164"/>
      <w:r>
        <w:rPr/>
        <w:tab/>
        <w:t xml:space="preserve">The capital contribution provisions of the Partnership Agreement </w:t>
      </w:r>
      <w:bookmarkStart w:id="165" w:name="_DV_C64"/>
      <w:r>
        <w:rPr>
          <w:rStyle w:val="DeltaViewDeletion"/>
          <w:color w:val="000000"/>
        </w:rPr>
        <w:t>will</w:t>
      </w:r>
      <w:bookmarkStart w:id="166" w:name="_DV_C63"/>
      <w:bookmarkEnd w:id="165"/>
      <w:r>
        <w:rPr>
          <w:rStyle w:val="DeltaViewInsertion"/>
          <w:color w:val="000000"/>
        </w:rPr>
        <w:t>would</w:t>
      </w:r>
      <w:bookmarkStart w:id="167" w:name="_DV_C64_Copy_1"/>
      <w:bookmarkEnd w:id="166"/>
      <w:bookmarkEnd w:id="167"/>
      <w:r>
        <w:rPr/>
        <w:t xml:space="preserve"> be amended to provide that capital contributions commencing </w:t>
      </w:r>
      <w:bookmarkStart w:id="168" w:name="_DV_C66"/>
      <w:r>
        <w:rPr>
          <w:rStyle w:val="DeltaViewDeletion"/>
          <w:color w:val="000000"/>
        </w:rPr>
        <w:t>January 1, 2002</w:t>
      </w:r>
      <w:bookmarkStart w:id="169" w:name="_DV_C65"/>
      <w:bookmarkEnd w:id="168"/>
      <w:r>
        <w:rPr>
          <w:rStyle w:val="DeltaViewInsertion"/>
          <w:color w:val="000000"/>
        </w:rPr>
        <w:t>the effective time of an amended and restated Partnership Agreement executed in accordance with paragraph 9 hereof</w:t>
      </w:r>
      <w:bookmarkStart w:id="170" w:name="_DV_C66_Copy_1"/>
      <w:bookmarkEnd w:id="169"/>
      <w:bookmarkEnd w:id="170"/>
      <w:r>
        <w:rPr/>
        <w:t xml:space="preserve"> shall be made pro rata in accordance with partners’ New Percentage Interests and to eliminate the obligation of “equalizing partners” to make equalization contributions.</w:t>
      </w:r>
    </w:p>
    <w:p>
      <w:pPr>
        <w:pStyle w:val="Normal"/>
        <w:bidi w:val="0"/>
        <w:ind w:firstLine="720"/>
        <w:jc w:val="start"/>
        <w:rPr/>
      </w:pPr>
      <w:r>
        <w:rPr/>
      </w:r>
      <w:bookmarkStart w:id="171" w:name="_DV_IPM1"/>
      <w:bookmarkStart w:id="172" w:name="_DV_IPM1"/>
      <w:bookmarkEnd w:id="172"/>
    </w:p>
    <w:p>
      <w:pPr>
        <w:pStyle w:val="Normal"/>
        <w:bidi w:val="0"/>
        <w:ind w:firstLine="720"/>
        <w:jc w:val="start"/>
        <w:rPr/>
      </w:pPr>
      <w:bookmarkStart w:id="173" w:name="_DV_IPM2"/>
      <w:bookmarkStart w:id="174" w:name="_DV_C67"/>
      <w:bookmarkEnd w:id="174"/>
      <w:r>
        <w:rPr>
          <w:rStyle w:val="DeltaViewInsertion"/>
          <w:color w:val="000000"/>
        </w:rPr>
        <w:t>8.</w:t>
        <w:tab/>
        <w:t>The parties agree to use commercially reasonable efforts to negotiate and execute by March 31, 2002 such an amended and restated Partnership Agreement with such provisions as would be necessary or appropriate to effect the foregoing changes to the structure of the ANNGTC Partnership.</w:t>
      </w:r>
      <w:bookmarkEnd w:id="173"/>
    </w:p>
    <w:p>
      <w:pPr>
        <w:pStyle w:val="Normal"/>
        <w:bidi w:val="0"/>
        <w:ind w:firstLine="720"/>
        <w:jc w:val="start"/>
        <w:rPr/>
      </w:pPr>
      <w:r>
        <w:rPr/>
      </w:r>
    </w:p>
    <w:p>
      <w:pPr>
        <w:pStyle w:val="Normal"/>
        <w:bidi w:val="0"/>
        <w:ind w:firstLine="720"/>
        <w:jc w:val="start"/>
        <w:rPr/>
      </w:pPr>
      <w:bookmarkStart w:id="175" w:name="_DV_C69"/>
      <w:r>
        <w:rPr>
          <w:rStyle w:val="DeltaViewDeletion"/>
          <w:color w:val="000000"/>
        </w:rPr>
        <w:t>9.</w:t>
      </w:r>
      <w:bookmarkStart w:id="176" w:name="_DV_C68"/>
      <w:bookmarkEnd w:id="175"/>
      <w:r>
        <w:rPr>
          <w:rStyle w:val="DeltaViewInsertion"/>
          <w:color w:val="000000"/>
        </w:rPr>
        <w:t>9.</w:t>
      </w:r>
      <w:bookmarkEnd w:id="176"/>
      <w:r>
        <w:rPr/>
        <w:tab/>
      </w:r>
      <w:bookmarkStart w:id="177" w:name="_DV_C71"/>
      <w:r>
        <w:rPr>
          <w:rStyle w:val="DeltaViewDeletion"/>
          <w:color w:val="000000"/>
        </w:rPr>
        <w:t>The ANNGTC Partnership will execute a</w:t>
      </w:r>
      <w:bookmarkStart w:id="178" w:name="_DV_C70"/>
      <w:bookmarkEnd w:id="177"/>
      <w:r>
        <w:rPr>
          <w:rStyle w:val="DeltaViewInsertion"/>
          <w:color w:val="000000"/>
        </w:rPr>
        <w:t>The parties confirm that the Alaskan portion of the Alaska Natural Gas Transportation System (“ANGTS”), to be constructed by the ANNGTC Partnership, is intended to be part of a single international gas transportation system and to connect with and deliver Alaskan gas to facilities of subsidiaries of Foothills and agree to use commercially reasonable efforts to cause the ANNGTC Partnership to enter into an exclusive</w:t>
      </w:r>
      <w:bookmarkStart w:id="179" w:name="_DV_C71_Copy_1"/>
      <w:bookmarkEnd w:id="178"/>
      <w:bookmarkEnd w:id="179"/>
      <w:r>
        <w:rPr/>
        <w:t xml:space="preserve"> joint development and coordination agreement </w:t>
      </w:r>
      <w:bookmarkStart w:id="180" w:name="_DV_C73"/>
      <w:r>
        <w:rPr>
          <w:rStyle w:val="DeltaViewDeletion"/>
          <w:color w:val="000000"/>
        </w:rPr>
        <w:t>between the ANNGTC Partnership and</w:t>
      </w:r>
      <w:bookmarkStart w:id="181" w:name="_DV_C72"/>
      <w:bookmarkEnd w:id="180"/>
      <w:r>
        <w:rPr>
          <w:rStyle w:val="DeltaViewInsertion"/>
          <w:color w:val="000000"/>
        </w:rPr>
        <w:t>with</w:t>
      </w:r>
      <w:bookmarkStart w:id="182" w:name="_DV_C73_Copy_1"/>
      <w:bookmarkEnd w:id="181"/>
      <w:bookmarkEnd w:id="182"/>
      <w:r>
        <w:rPr/>
        <w:t xml:space="preserve"> Foothills</w:t>
      </w:r>
      <w:bookmarkStart w:id="183" w:name="_DV_M107"/>
      <w:r>
        <w:rPr>
          <w:rStyle w:val="DeltaViewInsertion"/>
          <w:color w:val="000000"/>
        </w:rPr>
        <w:t xml:space="preserve"> by March 31, 2002</w:t>
      </w:r>
      <w:bookmarkStart w:id="184" w:name="_DV_C74"/>
      <w:bookmarkEnd w:id="183"/>
      <w:bookmarkEnd w:id="184"/>
      <w:r>
        <w:rPr/>
        <w:t xml:space="preserve"> to coordinate the development </w:t>
      </w:r>
      <w:bookmarkStart w:id="185" w:name="_DV_M108"/>
      <w:r>
        <w:rPr>
          <w:rStyle w:val="DeltaViewInsertion"/>
          <w:color w:val="000000"/>
        </w:rPr>
        <w:t xml:space="preserve">of ANGTS in Alaska </w:t>
      </w:r>
      <w:bookmarkStart w:id="186" w:name="_DV_C75"/>
      <w:bookmarkEnd w:id="185"/>
      <w:bookmarkEnd w:id="186"/>
      <w:r>
        <w:rPr/>
        <w:t xml:space="preserve">and </w:t>
      </w:r>
      <w:bookmarkStart w:id="187" w:name="_DV_M109"/>
      <w:r>
        <w:rPr>
          <w:rStyle w:val="DeltaViewDeletion"/>
          <w:color w:val="000000"/>
        </w:rPr>
        <w:t xml:space="preserve">project management of the Alaska Northwest Natural Gas Transportation System (“ANGTS”) in Alaska and </w:t>
      </w:r>
      <w:bookmarkStart w:id="188" w:name="_DV_C76"/>
      <w:bookmarkEnd w:id="187"/>
      <w:bookmarkEnd w:id="188"/>
      <w:r>
        <w:rPr/>
        <w:t>Canada</w:t>
      </w:r>
      <w:bookmarkStart w:id="189" w:name="_DV_C78"/>
      <w:r>
        <w:rPr>
          <w:rStyle w:val="DeltaViewDeletion"/>
          <w:color w:val="000000"/>
        </w:rPr>
        <w:t>.</w:t>
      </w:r>
      <w:bookmarkStart w:id="190" w:name="_DV_C77"/>
      <w:bookmarkEnd w:id="189"/>
      <w:r>
        <w:rPr>
          <w:rStyle w:val="DeltaViewDeletion"/>
          <w:color w:val="000000"/>
        </w:rPr>
        <w:t>10.</w:t>
        <w:tab/>
        <w:t>Each of the Rejoining Partners agrees, on behalf of itself and all affiliates (including its parent company) that it will not participate in the construction or use of any gas transportation facilities downstream of the Alaska Northwest Natural Gas Transportation System facilities in Alaska that would bypass the associated facilities of the Foothills project in Canada to be located in the Yukon, northeastern British Columbia, and</w:t>
      </w:r>
      <w:bookmarkStart w:id="191" w:name="_DV_C78_Copy_1"/>
      <w:bookmarkEnd w:id="190"/>
      <w:bookmarkEnd w:id="191"/>
      <w:r>
        <w:rPr/>
        <w:t xml:space="preserve"> north of Boundary Lake</w:t>
      </w:r>
      <w:bookmarkStart w:id="192" w:name="_DV_M111"/>
      <w:r>
        <w:rPr>
          <w:rStyle w:val="DeltaViewDeletion"/>
          <w:color w:val="000000"/>
        </w:rPr>
        <w:t xml:space="preserve"> in Alberta (or any other TransCanada/Westcoast vehicle that may be constructed in lieu of that system) except for volumes in excess of 4 Bcf/d of firm transportation dedicated to such facilities</w:t>
      </w:r>
      <w:bookmarkStart w:id="193" w:name="_DV_C79"/>
      <w:bookmarkEnd w:id="192"/>
      <w:bookmarkEnd w:id="193"/>
      <w:r>
        <w:rPr/>
        <w:t>.</w:t>
      </w:r>
    </w:p>
    <w:p>
      <w:pPr>
        <w:pStyle w:val="Normal"/>
        <w:bidi w:val="0"/>
        <w:ind w:firstLine="720"/>
        <w:jc w:val="start"/>
        <w:rPr/>
      </w:pPr>
      <w:r>
        <w:rPr/>
      </w:r>
    </w:p>
    <w:p>
      <w:pPr>
        <w:pStyle w:val="Normal"/>
        <w:bidi w:val="0"/>
        <w:ind w:firstLine="720"/>
        <w:jc w:val="start"/>
        <w:rPr/>
      </w:pPr>
      <w:bookmarkStart w:id="194" w:name="_DV_C80"/>
      <w:r>
        <w:rPr>
          <w:rStyle w:val="DeltaViewDeletion"/>
          <w:color w:val="000000"/>
        </w:rPr>
        <w:t>11.</w:t>
        <w:tab/>
        <w:t>The Partnership Agreement will be amended as necessary and appropriate to effect the foregoing changes.</w:t>
        <w:br/>
      </w:r>
      <w:bookmarkEnd w:id="194"/>
    </w:p>
    <w:p>
      <w:pPr>
        <w:pStyle w:val="Normal"/>
        <w:bidi w:val="0"/>
        <w:ind w:firstLine="720"/>
        <w:jc w:val="start"/>
        <w:rPr>
          <w:w w:val="100"/>
        </w:rPr>
      </w:pPr>
      <w:bookmarkStart w:id="195" w:name="_DV_C82"/>
      <w:bookmarkStart w:id="196" w:name="_DV_LD0"/>
      <w:r>
        <w:rPr>
          <w:rStyle w:val="DeltaViewDeletion"/>
          <w:color w:val="000000"/>
        </w:rPr>
        <w:t>12.</w:t>
        <w:tab/>
      </w:r>
      <w:bookmarkStart w:id="197" w:name="_DV_C81"/>
      <w:bookmarkEnd w:id="195"/>
      <w:bookmarkEnd w:id="196"/>
      <w:r>
        <w:rPr>
          <w:rStyle w:val="DeltaViewInsertion"/>
          <w:color w:val="000000"/>
          <w:w w:val="100"/>
        </w:rPr>
        <w:t>10.</w:t>
        <w:tab/>
      </w:r>
      <w:bookmarkStart w:id="198" w:name="_DV_C82_Copy_1"/>
      <w:bookmarkEnd w:id="197"/>
      <w:bookmarkEnd w:id="198"/>
      <w:r>
        <w:rPr>
          <w:w w:val="100"/>
        </w:rPr>
        <w:t>Each of the foregoing steps will be structured in a tax-efficient manner.</w:t>
      </w:r>
    </w:p>
    <w:p>
      <w:pPr>
        <w:pStyle w:val="Normal"/>
        <w:bidi w:val="0"/>
        <w:ind w:firstLine="720"/>
        <w:jc w:val="start"/>
        <w:rPr>
          <w:w w:val="100"/>
        </w:rPr>
      </w:pPr>
      <w:r>
        <w:rPr>
          <w:w w:val="100"/>
        </w:rPr>
      </w:r>
    </w:p>
    <w:p>
      <w:pPr>
        <w:pStyle w:val="Normal"/>
        <w:bidi w:val="0"/>
        <w:ind w:firstLine="720"/>
        <w:jc w:val="start"/>
        <w:rPr>
          <w:w w:val="100"/>
        </w:rPr>
      </w:pPr>
      <w:bookmarkStart w:id="199" w:name="_DV_C84"/>
      <w:r>
        <w:rPr>
          <w:rStyle w:val="DeltaViewDeletion"/>
          <w:color w:val="000000"/>
          <w:w w:val="100"/>
        </w:rPr>
        <w:t>13.</w:t>
      </w:r>
      <w:bookmarkStart w:id="200" w:name="_DV_C83"/>
      <w:bookmarkEnd w:id="199"/>
      <w:r>
        <w:rPr>
          <w:rStyle w:val="DeltaViewInsertion"/>
          <w:color w:val="000000"/>
          <w:w w:val="100"/>
        </w:rPr>
        <w:t>11.</w:t>
      </w:r>
      <w:bookmarkStart w:id="201" w:name="_DV_C84_Copy_1"/>
      <w:bookmarkEnd w:id="200"/>
      <w:bookmarkEnd w:id="201"/>
      <w:r>
        <w:rPr>
          <w:w w:val="100"/>
        </w:rPr>
        <w:tab/>
        <w:t>Subject to applicable law and the requirements of any stock exchange, any press release or public announcement relating to the transactions contemplated by this Memorandum of Understanding will be mutually agreed upon and jointly made by TransCanada, Westcoast and the Withdrawn Partners</w:t>
      </w:r>
      <w:bookmarkStart w:id="202" w:name="_DV_M114"/>
      <w:r>
        <w:rPr>
          <w:rStyle w:val="DeltaViewInsertion"/>
          <w:color w:val="000000"/>
          <w:w w:val="100"/>
        </w:rPr>
        <w:t>, and such press or public announcement shall, at the minimum, disclose the fact that this Memorandum of Understanding has been executed and the provisions of paragraphs 1 and 3 hereof</w:t>
      </w:r>
      <w:bookmarkStart w:id="203" w:name="_DV_C85"/>
      <w:bookmarkEnd w:id="202"/>
      <w:bookmarkEnd w:id="203"/>
      <w:r>
        <w:rPr>
          <w:w w:val="100"/>
        </w:rPr>
        <w:t xml:space="preserve">.  The foregoing and the provisions of paragraph </w:t>
      </w:r>
      <w:bookmarkStart w:id="204" w:name="_DV_C87"/>
      <w:r>
        <w:rPr>
          <w:rStyle w:val="DeltaViewDeletion"/>
          <w:color w:val="000000"/>
          <w:w w:val="100"/>
        </w:rPr>
        <w:t>14</w:t>
      </w:r>
      <w:bookmarkStart w:id="205" w:name="_DV_C86"/>
      <w:bookmarkEnd w:id="204"/>
      <w:r>
        <w:rPr>
          <w:rStyle w:val="DeltaViewInsertion"/>
          <w:color w:val="000000"/>
          <w:w w:val="100"/>
        </w:rPr>
        <w:t>12</w:t>
      </w:r>
      <w:bookmarkStart w:id="206" w:name="_DV_C87_Copy_1"/>
      <w:bookmarkEnd w:id="205"/>
      <w:bookmarkEnd w:id="206"/>
      <w:r>
        <w:rPr>
          <w:w w:val="100"/>
        </w:rPr>
        <w:t xml:space="preserve"> shall not prohibit any party from disclosing this Memorandum of Understanding or its contents to its attorneys, accountants or other advisors.</w:t>
      </w:r>
    </w:p>
    <w:p>
      <w:pPr>
        <w:pStyle w:val="Normal"/>
        <w:bidi w:val="0"/>
        <w:ind w:firstLine="720"/>
        <w:jc w:val="start"/>
        <w:rPr>
          <w:w w:val="100"/>
        </w:rPr>
      </w:pPr>
      <w:r>
        <w:rPr>
          <w:w w:val="100"/>
        </w:rPr>
      </w:r>
    </w:p>
    <w:p>
      <w:pPr>
        <w:pStyle w:val="Normal"/>
        <w:bidi w:val="0"/>
        <w:ind w:firstLine="720"/>
        <w:jc w:val="start"/>
        <w:rPr>
          <w:w w:val="100"/>
        </w:rPr>
      </w:pPr>
      <w:bookmarkStart w:id="207" w:name="_DV_C89"/>
      <w:r>
        <w:rPr>
          <w:rStyle w:val="DeltaViewDeletion"/>
          <w:color w:val="000000"/>
          <w:w w:val="100"/>
        </w:rPr>
        <w:t>14.</w:t>
      </w:r>
      <w:bookmarkStart w:id="208" w:name="_DV_C88"/>
      <w:bookmarkEnd w:id="207"/>
      <w:r>
        <w:rPr>
          <w:rStyle w:val="DeltaViewInsertion"/>
          <w:color w:val="000000"/>
          <w:w w:val="100"/>
        </w:rPr>
        <w:t>12.</w:t>
      </w:r>
      <w:bookmarkStart w:id="209" w:name="_DV_C89_Copy_1"/>
      <w:bookmarkEnd w:id="208"/>
      <w:bookmarkEnd w:id="209"/>
      <w:r>
        <w:rPr>
          <w:w w:val="100"/>
        </w:rPr>
        <w:tab/>
        <w:t>Except for the use of such information in connection with the transactions contemplated hereby or as otherwise required by law or regulations of any stock exchange, each party agrees to keep confidential any information obtained by it from the other parties in connection with its investigations or otherwise in connection with the transactions contemplated by this Memorandum of Understanding, provided that the foregoing shall not apply to information which is available to the public or is obtained from a third party (who does not breach an obligation of confidentiality in so disclosing such information) or is developed independently without any reliance on information provided in connection with this Memorandum of Understanding or the transactions contemplated hereby.  If the transactions contemplated by this Memorandum of Understanding are not consummated, each party, at the request of the disclosing party, shall return to the disclosing party any documents and copies thereof received or obtained by it in connection with the proposed transactions and any analyses prepared based upon any confidential information.</w:t>
      </w:r>
    </w:p>
    <w:p>
      <w:pPr>
        <w:pStyle w:val="Normal"/>
        <w:bidi w:val="0"/>
        <w:ind w:firstLine="720"/>
        <w:jc w:val="start"/>
        <w:rPr>
          <w:w w:val="100"/>
        </w:rPr>
      </w:pPr>
      <w:r>
        <w:rPr>
          <w:w w:val="100"/>
        </w:rPr>
      </w:r>
    </w:p>
    <w:p>
      <w:pPr>
        <w:pStyle w:val="Normal"/>
        <w:bidi w:val="0"/>
        <w:ind w:firstLine="720"/>
        <w:jc w:val="start"/>
        <w:rPr>
          <w:w w:val="100"/>
        </w:rPr>
      </w:pPr>
      <w:bookmarkStart w:id="210" w:name="_DV_C91"/>
      <w:r>
        <w:rPr>
          <w:rStyle w:val="DeltaViewDeletion"/>
          <w:color w:val="000000"/>
          <w:w w:val="100"/>
        </w:rPr>
        <w:t>15.</w:t>
      </w:r>
      <w:bookmarkStart w:id="211" w:name="_DV_C90"/>
      <w:bookmarkEnd w:id="210"/>
      <w:r>
        <w:rPr>
          <w:rStyle w:val="DeltaViewInsertion"/>
          <w:color w:val="000000"/>
          <w:w w:val="100"/>
        </w:rPr>
        <w:t>13.</w:t>
      </w:r>
      <w:bookmarkStart w:id="212" w:name="_DV_C91_Copy_1"/>
      <w:bookmarkEnd w:id="211"/>
      <w:bookmarkEnd w:id="212"/>
      <w:r>
        <w:rPr>
          <w:w w:val="100"/>
        </w:rPr>
        <w:tab/>
        <w:t>Each party will bear its own expenses in connection with the transactions contemplated hereby, including, but not limited to, the fees of attorneys and financial advisors.</w:t>
      </w:r>
    </w:p>
    <w:p>
      <w:pPr>
        <w:pStyle w:val="Normal"/>
        <w:bidi w:val="0"/>
        <w:ind w:firstLine="720"/>
        <w:jc w:val="start"/>
        <w:rPr>
          <w:w w:val="100"/>
        </w:rPr>
      </w:pPr>
      <w:r>
        <w:rPr>
          <w:w w:val="100"/>
        </w:rPr>
      </w:r>
    </w:p>
    <w:p>
      <w:pPr>
        <w:pStyle w:val="Normal"/>
        <w:bidi w:val="0"/>
        <w:ind w:firstLine="720"/>
        <w:jc w:val="start"/>
        <w:rPr>
          <w:w w:val="100"/>
        </w:rPr>
      </w:pPr>
      <w:bookmarkStart w:id="213" w:name="_DV_C93"/>
      <w:r>
        <w:rPr>
          <w:rStyle w:val="DeltaViewDeletion"/>
          <w:color w:val="000000"/>
          <w:w w:val="100"/>
        </w:rPr>
        <w:t>16.</w:t>
      </w:r>
      <w:bookmarkStart w:id="214" w:name="_DV_C92"/>
      <w:bookmarkEnd w:id="213"/>
      <w:r>
        <w:rPr>
          <w:rStyle w:val="DeltaViewInsertion"/>
          <w:color w:val="000000"/>
          <w:w w:val="100"/>
        </w:rPr>
        <w:t>14.</w:t>
      </w:r>
      <w:bookmarkStart w:id="215" w:name="_DV_C93_Copy_1"/>
      <w:bookmarkEnd w:id="214"/>
      <w:bookmarkEnd w:id="215"/>
      <w:r>
        <w:rPr>
          <w:w w:val="100"/>
        </w:rPr>
        <w:tab/>
        <w:t>This Memorandum of Understanding and the confidentiality letter executed in connection with the distribution of this Memorandum of Understanding (the “Confidentiality Letter”) set forth the entire present understanding of the parties concerning the transactions herein described.  Notwithstanding anything to the contrary contained herein, the Confidentiality Letter shall remain in full force and effect.</w:t>
      </w:r>
    </w:p>
    <w:p>
      <w:pPr>
        <w:pStyle w:val="Normal"/>
        <w:bidi w:val="0"/>
        <w:ind w:firstLine="720"/>
        <w:jc w:val="start"/>
        <w:rPr>
          <w:w w:val="100"/>
        </w:rPr>
      </w:pPr>
      <w:r>
        <w:rPr>
          <w:w w:val="100"/>
        </w:rPr>
      </w:r>
    </w:p>
    <w:p>
      <w:pPr>
        <w:pStyle w:val="Normal"/>
        <w:bidi w:val="0"/>
        <w:ind w:firstLine="720"/>
        <w:jc w:val="start"/>
        <w:rPr>
          <w:w w:val="100"/>
        </w:rPr>
      </w:pPr>
      <w:bookmarkStart w:id="216" w:name="_DV_C95"/>
      <w:r>
        <w:rPr>
          <w:rStyle w:val="DeltaViewDeletion"/>
          <w:color w:val="000000"/>
          <w:w w:val="100"/>
        </w:rPr>
        <w:t>17.</w:t>
      </w:r>
      <w:bookmarkStart w:id="217" w:name="_DV_C94"/>
      <w:bookmarkEnd w:id="216"/>
      <w:r>
        <w:rPr>
          <w:rStyle w:val="DeltaViewInsertion"/>
          <w:color w:val="000000"/>
          <w:w w:val="100"/>
        </w:rPr>
        <w:t>14.</w:t>
      </w:r>
      <w:bookmarkStart w:id="218" w:name="_DV_C95_Copy_1"/>
      <w:bookmarkEnd w:id="217"/>
      <w:bookmarkEnd w:id="218"/>
      <w:r>
        <w:rPr>
          <w:w w:val="100"/>
        </w:rPr>
        <w:tab/>
        <w:t>The governing law of this Memorandum of Understanding shall be the internal laws of the State of New York without giving effect to the principles of conflicts of laws thereof.</w:t>
      </w:r>
    </w:p>
    <w:p>
      <w:pPr>
        <w:pStyle w:val="Normal"/>
        <w:bidi w:val="0"/>
        <w:ind w:firstLine="720"/>
        <w:jc w:val="start"/>
        <w:rPr>
          <w:w w:val="100"/>
        </w:rPr>
      </w:pPr>
      <w:r>
        <w:rPr>
          <w:w w:val="100"/>
        </w:rPr>
      </w:r>
    </w:p>
    <w:p>
      <w:pPr>
        <w:pStyle w:val="Normal"/>
        <w:bidi w:val="0"/>
        <w:ind w:firstLine="720"/>
        <w:jc w:val="start"/>
        <w:rPr>
          <w:w w:val="100"/>
        </w:rPr>
      </w:pPr>
      <w:bookmarkStart w:id="219" w:name="_DV_C97"/>
      <w:r>
        <w:rPr>
          <w:rStyle w:val="DeltaViewDeletion"/>
          <w:color w:val="000000"/>
          <w:w w:val="100"/>
        </w:rPr>
        <w:t>18.</w:t>
      </w:r>
      <w:bookmarkStart w:id="220" w:name="_DV_C96"/>
      <w:bookmarkEnd w:id="219"/>
      <w:r>
        <w:rPr>
          <w:rStyle w:val="DeltaViewInsertion"/>
          <w:color w:val="000000"/>
          <w:w w:val="100"/>
        </w:rPr>
        <w:t>15.</w:t>
      </w:r>
      <w:bookmarkStart w:id="221" w:name="_DV_C97_Copy_1"/>
      <w:bookmarkEnd w:id="220"/>
      <w:bookmarkEnd w:id="221"/>
      <w:r>
        <w:rPr>
          <w:w w:val="100"/>
        </w:rPr>
        <w:tab/>
        <w:t>This Memorandum of Understanding may be executed in any number of counterparts, and each counterpart shall be deemed an original, but all such counterparts together shall constitute one instrument.</w:t>
      </w:r>
    </w:p>
    <w:p>
      <w:pPr>
        <w:pStyle w:val="Normal"/>
        <w:bidi w:val="0"/>
        <w:ind w:firstLine="720"/>
        <w:jc w:val="start"/>
        <w:rPr>
          <w:w w:val="100"/>
        </w:rPr>
      </w:pPr>
      <w:r>
        <w:rPr>
          <w:w w:val="100"/>
        </w:rPr>
      </w:r>
    </w:p>
    <w:p>
      <w:pPr>
        <w:pStyle w:val="Normal"/>
        <w:bidi w:val="0"/>
        <w:ind w:firstLine="720"/>
        <w:jc w:val="start"/>
        <w:rPr>
          <w:w w:val="100"/>
        </w:rPr>
      </w:pPr>
      <w:bookmarkStart w:id="222" w:name="_DV_C99"/>
      <w:r>
        <w:rPr>
          <w:rStyle w:val="DeltaViewDeletion"/>
          <w:color w:val="000000"/>
          <w:w w:val="100"/>
        </w:rPr>
        <w:t>19.</w:t>
      </w:r>
      <w:bookmarkStart w:id="223" w:name="_DV_C98"/>
      <w:bookmarkEnd w:id="222"/>
      <w:r>
        <w:rPr>
          <w:rStyle w:val="DeltaViewInsertion"/>
          <w:color w:val="000000"/>
          <w:w w:val="100"/>
        </w:rPr>
        <w:t>16.</w:t>
      </w:r>
      <w:bookmarkStart w:id="224" w:name="_DV_C99_Copy_1"/>
      <w:bookmarkEnd w:id="223"/>
      <w:bookmarkEnd w:id="224"/>
      <w:r>
        <w:rPr>
          <w:w w:val="100"/>
        </w:rPr>
        <w:tab/>
        <w:t xml:space="preserve">Except for paragraphs </w:t>
      </w:r>
      <w:bookmarkStart w:id="225" w:name="_DV_C101"/>
      <w:r>
        <w:rPr>
          <w:rStyle w:val="DeltaViewDeletion"/>
          <w:color w:val="000000"/>
          <w:w w:val="100"/>
        </w:rPr>
        <w:t>13</w:t>
      </w:r>
      <w:bookmarkStart w:id="226" w:name="_DV_C100"/>
      <w:bookmarkEnd w:id="225"/>
      <w:r>
        <w:rPr>
          <w:rStyle w:val="DeltaViewInsertion"/>
          <w:color w:val="000000"/>
          <w:w w:val="100"/>
        </w:rPr>
        <w:t>11</w:t>
      </w:r>
      <w:bookmarkStart w:id="227" w:name="_DV_C101_Copy_1"/>
      <w:bookmarkEnd w:id="226"/>
      <w:bookmarkEnd w:id="227"/>
      <w:r>
        <w:rPr>
          <w:w w:val="100"/>
        </w:rPr>
        <w:t xml:space="preserve"> through </w:t>
      </w:r>
      <w:bookmarkStart w:id="228" w:name="_DV_C103"/>
      <w:r>
        <w:rPr>
          <w:rStyle w:val="DeltaViewDeletion"/>
          <w:color w:val="000000"/>
          <w:w w:val="100"/>
        </w:rPr>
        <w:t>18,</w:t>
      </w:r>
      <w:bookmarkStart w:id="229" w:name="_DV_C102"/>
      <w:bookmarkEnd w:id="228"/>
      <w:r>
        <w:rPr>
          <w:rStyle w:val="DeltaViewInsertion"/>
          <w:color w:val="000000"/>
          <w:w w:val="100"/>
        </w:rPr>
        <w:t>15,</w:t>
      </w:r>
      <w:bookmarkStart w:id="230" w:name="_DV_C103_Copy_1"/>
      <w:bookmarkEnd w:id="229"/>
      <w:bookmarkEnd w:id="230"/>
      <w:r>
        <w:rPr>
          <w:w w:val="100"/>
        </w:rPr>
        <w:t xml:space="preserve"> which are intended to be binding, the parties agree that this Memorandum of Understanding is not intended to be, and is not, a binding agreement among the parties but merely an expression of their good faith intent with regard to the transactions described herein, and each party covenants never to contend to the contrary.  This Memorandum of Understanding shall not be assignable by any Withdrawn Partner without the prior written consent of TransCanada and Westcoast and shall not be construed to confer upon any other person any rights or benefit.</w:t>
      </w:r>
    </w:p>
    <w:p>
      <w:pPr>
        <w:pStyle w:val="Normal"/>
        <w:bidi w:val="0"/>
        <w:ind w:firstLine="720"/>
        <w:jc w:val="start"/>
        <w:rPr>
          <w:w w:val="100"/>
        </w:rPr>
      </w:pPr>
      <w:r>
        <w:rPr>
          <w:w w:val="100"/>
        </w:rPr>
      </w:r>
    </w:p>
    <w:p>
      <w:pPr>
        <w:pStyle w:val="MBPBdSingleSp5Ls2"/>
        <w:bidi w:val="0"/>
        <w:jc w:val="start"/>
        <w:rPr>
          <w:rFonts w:ascii="Times New Roman" w:hAnsi="Times New Roman"/>
          <w:w w:val="100"/>
          <w:lang w:val="en-CA"/>
        </w:rPr>
      </w:pPr>
      <w:r>
        <w:rPr/>
        <w:fldChar w:fldCharType="begin"/>
      </w:r>
      <w:r>
        <w:rPr/>
        <w:instrText xml:space="preserve"> SEQ CHAPTER \* ARABIC </w:instrText>
      </w:r>
      <w:r>
        <w:rPr/>
        <w:fldChar w:fldCharType="separate"/>
      </w:r>
      <w:r>
        <w:rPr/>
        <w:t>1</w:t>
      </w:r>
      <w:r>
        <w:rPr/>
        <w:fldChar w:fldCharType="end"/>
      </w:r>
      <w:bookmarkStart w:id="231" w:name="_DV_M124"/>
      <w:bookmarkEnd w:id="231"/>
      <w:r>
        <w:rPr>
          <w:w w:val="100"/>
        </w:rPr>
        <w:t xml:space="preserve">If the foregoing correctly sets forth the agreements and understandings we have reached, please execute a copy of this Memorandum of Understanding and return it to the attention of Dennis McConaghy at TransCanada by no later than October 31, 2001.  </w:t>
      </w:r>
    </w:p>
    <w:p>
      <w:pPr>
        <w:pStyle w:val="MBPBdSingleSp5Ls2"/>
        <w:bidi w:val="0"/>
        <w:ind w:hanging="0"/>
        <w:jc w:val="start"/>
        <w:rPr>
          <w:rFonts w:ascii="Times New Roman" w:hAnsi="Times New Roman"/>
          <w:w w:val="100"/>
        </w:rPr>
      </w:pPr>
      <w:bookmarkStart w:id="232" w:name="_DV_M125"/>
      <w:bookmarkEnd w:id="232"/>
      <w:r>
        <w:rPr>
          <w:b/>
          <w:w w:val="100"/>
        </w:rPr>
        <w:t>TransCanada PipeLines Limited</w:t>
        <w:tab/>
        <w:tab/>
        <w:tab/>
        <w:tab/>
        <w:t>Westcoast Energy Inc.</w:t>
      </w:r>
    </w:p>
    <w:p>
      <w:pPr>
        <w:pStyle w:val="MBPBdSingleSp5Ls2"/>
        <w:bidi w:val="0"/>
        <w:ind w:hanging="0"/>
        <w:jc w:val="start"/>
        <w:rPr>
          <w:rFonts w:ascii="Times New Roman" w:hAnsi="Times New Roman"/>
          <w:w w:val="100"/>
        </w:rPr>
      </w:pPr>
      <w:bookmarkStart w:id="233" w:name="_DV_M126"/>
      <w:bookmarkEnd w:id="233"/>
      <w:r>
        <w:rPr>
          <w:w w:val="100"/>
        </w:rPr>
        <w:t>Per:</w:t>
        <w:tab/>
        <w:t>_______________________</w:t>
        <w:tab/>
        <w:tab/>
        <w:tab/>
        <w:tab/>
        <w:t>Per:</w:t>
        <w:tab/>
        <w:t>________________________</w:t>
        <w:br/>
        <w:tab/>
        <w:t>Dennis McConaghy</w:t>
        <w:tab/>
        <w:tab/>
        <w:tab/>
        <w:tab/>
        <w:tab/>
        <w:tab/>
        <w:t>Michael Stewart</w:t>
        <w:br/>
        <w:tab/>
        <w:t>Executive Vice President</w:t>
        <w:tab/>
        <w:tab/>
        <w:tab/>
        <w:tab/>
        <w:tab/>
        <w:t>Executive Vice President</w:t>
        <w:br/>
        <w:tab/>
        <w:t>Business Development</w:t>
        <w:tab/>
        <w:tab/>
        <w:tab/>
        <w:tab/>
        <w:tab/>
        <w:t>Business Development</w:t>
      </w:r>
      <w:r>
        <w:br w:type="page"/>
      </w:r>
    </w:p>
    <w:p>
      <w:pPr>
        <w:pStyle w:val="MBPBdSingleSp5Ls2"/>
        <w:bidi w:val="0"/>
        <w:ind w:hanging="0"/>
        <w:jc w:val="start"/>
        <w:rPr>
          <w:rFonts w:ascii="Times New Roman" w:hAnsi="Times New Roman"/>
          <w:w w:val="100"/>
        </w:rPr>
      </w:pPr>
      <w:bookmarkStart w:id="234" w:name="_DV_M127"/>
      <w:bookmarkEnd w:id="234"/>
      <w:r>
        <w:rPr>
          <w:b/>
          <w:w w:val="100"/>
        </w:rPr>
        <w:t>Foothills Pipe Lines Ltd.</w:t>
      </w:r>
    </w:p>
    <w:p>
      <w:pPr>
        <w:pStyle w:val="MBPBdSingleSp5Ls2"/>
        <w:bidi w:val="0"/>
        <w:ind w:hanging="0"/>
        <w:jc w:val="start"/>
        <w:rPr>
          <w:rFonts w:ascii="Times New Roman" w:hAnsi="Times New Roman"/>
          <w:w w:val="100"/>
        </w:rPr>
      </w:pPr>
      <w:bookmarkStart w:id="235" w:name="_DV_M128"/>
      <w:bookmarkEnd w:id="235"/>
      <w:r>
        <w:rPr>
          <w:w w:val="100"/>
        </w:rPr>
        <w:t>Per:</w:t>
        <w:tab/>
        <w:t>_______________________</w:t>
        <w:tab/>
      </w:r>
    </w:p>
    <w:p>
      <w:pPr>
        <w:pStyle w:val="MBPBdSingleSp5Ls2"/>
        <w:bidi w:val="0"/>
        <w:ind w:hanging="0"/>
        <w:jc w:val="start"/>
        <w:rPr>
          <w:rFonts w:ascii="Times New Roman" w:hAnsi="Times New Roman"/>
          <w:w w:val="100"/>
        </w:rPr>
      </w:pPr>
      <w:bookmarkStart w:id="236" w:name="_DV_M129"/>
      <w:bookmarkEnd w:id="236"/>
      <w:r>
        <w:rPr>
          <w:w w:val="100"/>
        </w:rPr>
        <w:tab/>
        <w:t>John Ellwood</w:t>
        <w:br/>
        <w:tab/>
        <w:t xml:space="preserve">Executive Vice President </w:t>
        <w:br/>
        <w:tab/>
        <w:t>and Chief Operating Officer</w:t>
      </w:r>
    </w:p>
    <w:p>
      <w:pPr>
        <w:pStyle w:val="MBPBdSingleSp5Ls2"/>
        <w:bidi w:val="0"/>
        <w:ind w:hanging="0"/>
        <w:jc w:val="start"/>
        <w:rPr>
          <w:rFonts w:ascii="Times New Roman" w:hAnsi="Times New Roman"/>
          <w:w w:val="100"/>
        </w:rPr>
      </w:pPr>
      <w:r>
        <w:rPr>
          <w:w w:val="100"/>
        </w:rPr>
      </w:r>
    </w:p>
    <w:p>
      <w:pPr>
        <w:pStyle w:val="MBPBdSingleSp5Ls2"/>
        <w:keepNext w:val="true"/>
        <w:numPr>
          <w:ilvl w:val="0"/>
          <w:numId w:val="0"/>
        </w:numPr>
        <w:bidi w:val="0"/>
        <w:ind w:hanging="0"/>
        <w:jc w:val="start"/>
        <w:outlineLvl w:val="0"/>
        <w:rPr>
          <w:rFonts w:ascii="Times New Roman" w:hAnsi="Times New Roman"/>
          <w:b/>
          <w:w w:val="100"/>
        </w:rPr>
      </w:pPr>
      <w:bookmarkStart w:id="237" w:name="_DV_M130"/>
      <w:bookmarkEnd w:id="237"/>
      <w:r>
        <w:rPr>
          <w:b/>
          <w:w w:val="100"/>
        </w:rPr>
        <w:t>ACKNOWLEDGED AND AGREED TO BY:</w:t>
      </w:r>
    </w:p>
    <w:p>
      <w:pPr>
        <w:pStyle w:val="MBPBdSingleSp5Ls2"/>
        <w:keepNext w:val="true"/>
        <w:bidi w:val="0"/>
        <w:ind w:hanging="0"/>
        <w:jc w:val="start"/>
        <w:rPr>
          <w:rFonts w:ascii="Times New Roman" w:hAnsi="Times New Roman"/>
          <w:w w:val="100"/>
        </w:rPr>
      </w:pPr>
      <w:bookmarkStart w:id="238" w:name="_DV_M131"/>
      <w:bookmarkEnd w:id="238"/>
      <w:r>
        <w:rPr>
          <w:w w:val="100"/>
        </w:rPr>
        <w:t xml:space="preserve">(Name of Withdrawn </w:t>
      </w:r>
      <w:bookmarkStart w:id="239" w:name="_DV_C105"/>
      <w:r>
        <w:rPr>
          <w:rStyle w:val="DeltaViewDeletion"/>
          <w:color w:val="000000"/>
          <w:w w:val="100"/>
        </w:rPr>
        <w:t>Partner</w:t>
      </w:r>
      <w:bookmarkStart w:id="240" w:name="_DV_C104"/>
      <w:bookmarkEnd w:id="239"/>
      <w:r>
        <w:rPr>
          <w:rStyle w:val="DeltaViewInsertion"/>
          <w:color w:val="000000"/>
          <w:w w:val="100"/>
        </w:rPr>
        <w:t>Partners</w:t>
      </w:r>
      <w:bookmarkStart w:id="241" w:name="_DV_C105_Copy_1"/>
      <w:bookmarkEnd w:id="240"/>
      <w:bookmarkEnd w:id="241"/>
      <w:r>
        <w:rPr>
          <w:w w:val="100"/>
        </w:rPr>
        <w:t>)</w:t>
      </w:r>
    </w:p>
    <w:p>
      <w:pPr>
        <w:pStyle w:val="MBPBdSingleSp5Ls2"/>
        <w:keepNext w:val="true"/>
        <w:bidi w:val="0"/>
        <w:spacing w:before="0" w:after="240"/>
        <w:ind w:hanging="0"/>
        <w:jc w:val="start"/>
        <w:rPr>
          <w:rFonts w:ascii="Times New Roman" w:hAnsi="Times New Roman"/>
          <w:b/>
          <w:w w:val="100"/>
        </w:rPr>
      </w:pPr>
      <w:r>
        <w:rPr>
          <w:b/>
          <w:w w:val="100"/>
        </w:rPr>
      </w:r>
    </w:p>
    <w:sectPr>
      <w:footerReference w:type="even" r:id="rId2"/>
      <w:footerReference w:type="default" r:id="rId3"/>
      <w:footerReference w:type="first" r:id="rId4"/>
      <w:footnotePr>
        <w:numFmt w:val="decimal"/>
      </w:footnotePr>
      <w:type w:val="nextPage"/>
      <w:pgSz w:w="12240" w:h="15840"/>
      <w:pgMar w:left="1440" w:right="1440" w:gutter="0" w:header="0" w:top="1440" w:footer="576"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 w:name="Frutiger TC Black">
    <w:charset w:val="01" w:characterSet="utf-8"/>
    <w:family w:val="roman"/>
    <w:pitch w:val="variable"/>
  </w:font>
  <w:font w:name="Frutiger TC Condensed Ligh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021"/>
      <w:gridCol w:w="1533"/>
      <w:gridCol w:w="4022"/>
    </w:tblGrid>
    <w:tr>
      <w:trPr/>
      <w:tc>
        <w:tcPr>
          <w:tcW w:w="4021" w:type="dxa"/>
          <w:tcBorders/>
        </w:tcPr>
        <w:p>
          <w:pPr>
            <w:pStyle w:val="MBPDocID"/>
            <w:tabs>
              <w:tab w:val="clear" w:pos="720"/>
            </w:tabs>
            <w:bidi w:val="0"/>
            <w:jc w:val="start"/>
            <w:rPr/>
          </w:pPr>
          <w:r>
            <w:rPr/>
            <w:t>20538501.1 01715638</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TopAndBottom/>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tc>
      <w:tc>
        <w:tcPr>
          <w:tcW w:w="1533" w:type="dxa"/>
          <w:tcBorders/>
        </w:tcPr>
        <w:p>
          <w:pPr>
            <w:pStyle w:val="Footer"/>
            <w:bidi w:val="0"/>
            <w:jc w:val="center"/>
            <w:rPr>
              <w:rFonts w:ascii="Times New Roman" w:hAnsi="Times New Roman"/>
              <w:sz w:val="16"/>
            </w:rPr>
          </w:pPr>
          <w:r>
            <w:rPr>
              <w:sz w:val="16"/>
            </w:rPr>
          </w:r>
        </w:p>
      </w:tc>
      <w:tc>
        <w:tcPr>
          <w:tcW w:w="4022" w:type="dxa"/>
          <w:tcBorders/>
        </w:tcPr>
        <w:p>
          <w:pPr>
            <w:pStyle w:val="Footer"/>
            <w:bidi w:val="0"/>
            <w:jc w:val="start"/>
            <w:rPr>
              <w:rFonts w:ascii="Times New Roman" w:hAnsi="Times New Roman"/>
            </w:rPr>
          </w:pPr>
          <w:r>
            <w:rPr/>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021"/>
      <w:gridCol w:w="1533"/>
      <w:gridCol w:w="4022"/>
    </w:tblGrid>
    <w:tr>
      <w:trPr/>
      <w:tc>
        <w:tcPr>
          <w:tcW w:w="4021" w:type="dxa"/>
          <w:tcBorders/>
        </w:tcPr>
        <w:p>
          <w:pPr>
            <w:pStyle w:val="MBPDocID"/>
            <w:tabs>
              <w:tab w:val="clear" w:pos="720"/>
            </w:tabs>
            <w:bidi w:val="0"/>
            <w:jc w:val="start"/>
            <w:rPr/>
          </w:pPr>
          <w:r>
            <w:rPr/>
            <w:t xml:space="preserve">20538501.1 01715638  </w:t>
          </w:r>
          <w:r>
            <w:rPr>
              <w:lang w:val="en-US"/>
            </w:rPr>
            <w:fldChar w:fldCharType="begin"/>
          </w:r>
          <w:r>
            <w:rPr>
              <w:lang w:val="en-US"/>
            </w:rPr>
            <w:instrText xml:space="preserve"> DATE \@"MM\/dd\/yy" </w:instrText>
          </w:r>
          <w:r>
            <w:rPr>
              <w:lang w:val="en-US"/>
            </w:rPr>
            <w:fldChar w:fldCharType="separate"/>
          </w:r>
          <w:r>
            <w:rPr>
              <w:lang w:val="en-US"/>
            </w:rPr>
            <w:t>09/27/25</w:t>
          </w:r>
          <w:r>
            <w:rPr>
              <w:lang w:val="en-US"/>
            </w:rPr>
            <w:fldChar w:fldCharType="end"/>
          </w:r>
          <w:r>
            <w:rPr>
              <w:lang w:val="en-US"/>
            </w:rPr>
            <w:fldChar w:fldCharType="begin"/>
          </w:r>
          <w:r>
            <w:rPr>
              <w:lang w:val="en-US"/>
            </w:rPr>
            <w:instrText xml:space="preserve"> TIME \@"H:mm\ AM/PM" </w:instrText>
          </w:r>
          <w:r>
            <w:rPr>
              <w:lang w:val="en-US"/>
            </w:rPr>
            <w:fldChar w:fldCharType="separate"/>
          </w:r>
          <w:r>
            <w:rPr>
              <w:lang w:val="en-US"/>
            </w:rPr>
            <w:t>7:32 PM</w:t>
          </w:r>
          <w:r>
            <w:rPr>
              <w:lang w:val="en-US"/>
            </w:rPr>
            <w:fldChar w:fldCharType="end"/>
          </w:r>
        </w:p>
      </w:tc>
      <w:tc>
        <w:tcPr>
          <w:tcW w:w="1533" w:type="dxa"/>
          <w:tcBorders/>
        </w:tcPr>
        <w:p>
          <w:pPr>
            <w:pStyle w:val="Footer"/>
            <w:bidi w:val="0"/>
            <w:jc w:val="center"/>
            <w:rPr>
              <w:rFonts w:ascii="Times New Roman" w:hAnsi="Times New Roman"/>
              <w:sz w:val="16"/>
            </w:rPr>
          </w:pPr>
          <w:r>
            <w:rPr>
              <w:sz w:val="16"/>
            </w:rPr>
          </w:r>
        </w:p>
      </w:tc>
      <w:tc>
        <w:tcPr>
          <w:tcW w:w="4022" w:type="dxa"/>
          <w:tcBorders/>
        </w:tcPr>
        <w:p>
          <w:pPr>
            <w:pStyle w:val="Footer"/>
            <w:bidi w:val="0"/>
            <w:jc w:val="start"/>
            <w:rPr>
              <w:rFonts w:ascii="Times New Roman" w:hAnsi="Times New Roman"/>
            </w:rPr>
          </w:pPr>
          <w:r>
            <w:rPr/>
          </w:r>
        </w:p>
      </w:tc>
    </w:tr>
  </w:tbl>
  <w:p>
    <w:pPr>
      <w:pStyle w:val="Footer"/>
      <w:bidi w:val="0"/>
      <w:jc w:val="start"/>
      <w:rPr>
        <w:rFonts w:ascii="Times New Roman" w:hAnsi="Times New Roman"/>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bookmarkStart w:id="242" w:name="_DV_C43"/>
      <w:r>
        <w:rPr>
          <w:rStyle w:val="DeltaViewInsertion"/>
          <w:color w:val="000000"/>
        </w:rPr>
        <w:t xml:space="preserve"> </w:t>
      </w:r>
      <w:r>
        <w:rPr>
          <w:rStyle w:val="DeltaViewInsertion"/>
          <w:color w:val="000000"/>
        </w:rPr>
        <w:t>This language is intended to preserve any  potential claims against the Government in the event the pipeline is not constructed due to a change in law or other adverse Governmental action.</w:t>
      </w:r>
      <w:bookmarkEnd w:id="242"/>
    </w:p>
  </w:footnote>
</w:footnotes>
</file>

<file path=word/settings.xml><?xml version="1.0" encoding="utf-8"?>
<w:settings xmlns:w="http://schemas.openxmlformats.org/wordprocessingml/2006/main">
  <w:zoom w:percent="88"/>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docVars>
    <w:docVar w:name="DMSFooter" w:val="On"/>
    <w:docVar w:name="DocID" w:val="12861929.1  91701 1614C 01715638"/>
    <w:docVar w:name="MBPDateTime" w:val="False"/>
    <w:docVar w:name="MBPDocDBase" w:val="False"/>
    <w:docVar w:name="MBPDocMatterNo" w:val="False"/>
    <w:docVar w:name="MBPDocVer" w:val="False"/>
    <w:docVar w:name="MBPFooter" w:val="20538501_1.DOC"/>
    <w:docVar w:name="MBPLine2Chk" w:val="False"/>
    <w:docVar w:name="MBPoptFooter" w:val="optFooter1"/>
    <w:docVar w:name="MBPPlacement" w:val="optAllPage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Wingdings"/>
      <w:color w:val="auto"/>
      <w:kern w:val="2"/>
      <w:sz w:val="24"/>
      <w:szCs w:val="24"/>
      <w:lang w:val="en-US" w:eastAsia="zh-CN" w:bidi="hi-IN"/>
    </w:rPr>
  </w:style>
  <w:style w:type="paragraph" w:styleId="Heading1">
    <w:name w:val="heading 1"/>
    <w:basedOn w:val="Normal"/>
    <w:next w:val="Normal"/>
    <w:qFormat/>
    <w:pPr>
      <w:keepNext w:val="true"/>
      <w:widowControl/>
      <w:jc w:val="center"/>
    </w:pPr>
    <w:rPr>
      <w:b/>
      <w:color w:val="FF0000"/>
      <w:sz w:val="28"/>
    </w:rPr>
  </w:style>
  <w:style w:type="character" w:styleId="DefaultParagraphFont">
    <w:name w:val="Default Paragraph Font"/>
    <w:qFormat/>
    <w:rPr/>
  </w:style>
  <w:style w:type="character" w:styleId="MBPCBoldItalicsc4">
    <w:name w:val="MBPC_Bold Italics,c4"/>
    <w:qFormat/>
    <w:rPr>
      <w:b/>
      <w:i/>
      <w:spacing w:val="0"/>
    </w:rPr>
  </w:style>
  <w:style w:type="character" w:styleId="MBPCBoldUnderlineItalicsc6">
    <w:name w:val="MBPC_Bold Underline Italics,c6"/>
    <w:qFormat/>
    <w:rPr>
      <w:b/>
      <w:i/>
      <w:spacing w:val="0"/>
      <w:u w:val="single"/>
    </w:rPr>
  </w:style>
  <w:style w:type="character" w:styleId="MBPCBoldUnderlinec5">
    <w:name w:val="MBPC_Bold Underline,c5"/>
    <w:qFormat/>
    <w:rPr>
      <w:b/>
      <w:spacing w:val="0"/>
      <w:u w:val="single"/>
    </w:rPr>
  </w:style>
  <w:style w:type="character" w:styleId="MBPCBoldc1">
    <w:name w:val="MBPC_Bold,c1"/>
    <w:qFormat/>
    <w:rPr>
      <w:b/>
      <w:spacing w:val="0"/>
    </w:rPr>
  </w:style>
  <w:style w:type="character" w:styleId="MBPCItalicsUnderlinec7">
    <w:name w:val="MBPC_Italics Underline,c7"/>
    <w:qFormat/>
    <w:rPr>
      <w:i/>
      <w:spacing w:val="0"/>
      <w:u w:val="single"/>
    </w:rPr>
  </w:style>
  <w:style w:type="character" w:styleId="MBPCItalicsc2">
    <w:name w:val="MBPC_Italics,c2"/>
    <w:qFormat/>
    <w:rPr>
      <w:i/>
      <w:spacing w:val="0"/>
    </w:rPr>
  </w:style>
  <w:style w:type="character" w:styleId="MBPCUnderlinec3">
    <w:name w:val="MBPC_Underline,c3"/>
    <w:qFormat/>
    <w:rPr>
      <w:spacing w:val="0"/>
      <w:u w:val="single"/>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FootnoteReference">
    <w:name w:val="footnote reference"/>
    <w:rPr>
      <w:spacing w:val="0"/>
      <w:vertAlign w:val="superscript"/>
    </w:rPr>
  </w:style>
  <w:style w:type="character" w:styleId="Hyperlink">
    <w:name w:val="Hyperlink"/>
    <w:basedOn w:val="DefaultParagraphFont"/>
    <w:rPr>
      <w:color w:val="0000FF"/>
      <w:spacing w:val="0"/>
      <w:u w:val="single"/>
    </w:rPr>
  </w:style>
  <w:style w:type="character" w:styleId="CommentReference">
    <w:name w:val="annotation reference"/>
    <w:basedOn w:val="DefaultParagraphFont"/>
    <w:qFormat/>
    <w:rPr>
      <w:spacing w:val="0"/>
      <w:sz w:val="16"/>
    </w:rPr>
  </w:style>
  <w:style w:type="character" w:styleId="DeltaViewInsertion">
    <w:name w:val="DeltaView Insertion"/>
    <w:qFormat/>
    <w:rPr>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680" w:leader="none"/>
        <w:tab w:val="right" w:pos="9360" w:leader="none"/>
      </w:tabs>
    </w:pPr>
    <w:rPr>
      <w:sz w:val="20"/>
    </w:rPr>
  </w:style>
  <w:style w:type="paragraph" w:styleId="Header">
    <w:name w:val="header"/>
    <w:basedOn w:val="Normal"/>
    <w:pPr>
      <w:widowControl/>
    </w:pPr>
    <w:rPr>
      <w:sz w:val="20"/>
    </w:rPr>
  </w:style>
  <w:style w:type="paragraph" w:styleId="MBPBdDblSp5Jd4">
    <w:name w:val="MBP_Bd Dbl Sp .5 J,d4"/>
    <w:basedOn w:val="Normal"/>
    <w:qFormat/>
    <w:pPr>
      <w:widowControl/>
      <w:spacing w:lineRule="auto" w:line="480"/>
      <w:ind w:firstLine="720"/>
      <w:jc w:val="both"/>
    </w:pPr>
    <w:rPr/>
  </w:style>
  <w:style w:type="paragraph" w:styleId="MBPBdDblSp5Ld2">
    <w:name w:val="MBP_Bd Dbl Sp .5 L,d2"/>
    <w:basedOn w:val="Normal"/>
    <w:qFormat/>
    <w:pPr>
      <w:widowControl/>
      <w:spacing w:lineRule="auto" w:line="480"/>
      <w:ind w:firstLine="720"/>
    </w:pPr>
    <w:rPr/>
  </w:style>
  <w:style w:type="paragraph" w:styleId="MBPBdDblSpJd3">
    <w:name w:val="MBP_Bd Dbl Sp J,d3"/>
    <w:basedOn w:val="Normal"/>
    <w:qFormat/>
    <w:pPr>
      <w:widowControl/>
      <w:spacing w:lineRule="auto" w:line="480"/>
      <w:jc w:val="both"/>
    </w:pPr>
    <w:rPr/>
  </w:style>
  <w:style w:type="paragraph" w:styleId="MBPBdDblSpLd1">
    <w:name w:val="MBP_Bd Dbl Sp L,d1"/>
    <w:basedOn w:val="Normal"/>
    <w:qFormat/>
    <w:pPr>
      <w:widowControl/>
      <w:spacing w:lineRule="auto" w:line="480"/>
    </w:pPr>
    <w:rPr/>
  </w:style>
  <w:style w:type="paragraph" w:styleId="MBPBdQuote11Jq1">
    <w:name w:val="MBP_Bd Quote 1/1 J,q1"/>
    <w:basedOn w:val="Normal"/>
    <w:qFormat/>
    <w:pPr>
      <w:widowControl/>
      <w:spacing w:before="0" w:after="240"/>
      <w:ind w:hanging="0" w:start="1440" w:end="1440"/>
      <w:jc w:val="both"/>
    </w:pPr>
    <w:rPr/>
  </w:style>
  <w:style w:type="paragraph" w:styleId="MBPBdQuote11Lq2">
    <w:name w:val="MBP_Bd Quote 1/1 L,q2"/>
    <w:basedOn w:val="Normal"/>
    <w:qFormat/>
    <w:pPr>
      <w:widowControl/>
      <w:spacing w:before="0" w:after="240"/>
      <w:ind w:hanging="0" w:start="1440" w:end="1440"/>
    </w:pPr>
    <w:rPr/>
  </w:style>
  <w:style w:type="paragraph" w:styleId="MBPBdSingleSp5Js4">
    <w:name w:val="MBP_Bd Single Sp .5 J,s4"/>
    <w:basedOn w:val="Normal"/>
    <w:qFormat/>
    <w:pPr>
      <w:widowControl/>
      <w:spacing w:before="0" w:after="240"/>
      <w:ind w:firstLine="720"/>
      <w:jc w:val="both"/>
    </w:pPr>
    <w:rPr/>
  </w:style>
  <w:style w:type="paragraph" w:styleId="MBPBdSingleSp5Ls2">
    <w:name w:val="MBP_Bd Single Sp .5 L,s2"/>
    <w:basedOn w:val="Normal"/>
    <w:qFormat/>
    <w:pPr>
      <w:widowControl/>
      <w:spacing w:before="0" w:after="240"/>
      <w:ind w:firstLine="720"/>
    </w:pPr>
    <w:rPr/>
  </w:style>
  <w:style w:type="paragraph" w:styleId="MBPBdSingleSpJs3">
    <w:name w:val="MBP_Bd Single Sp J,s3"/>
    <w:basedOn w:val="Normal"/>
    <w:qFormat/>
    <w:pPr>
      <w:widowControl/>
      <w:spacing w:before="0" w:after="240"/>
      <w:jc w:val="both"/>
    </w:pPr>
    <w:rPr/>
  </w:style>
  <w:style w:type="paragraph" w:styleId="MBPBdSingleSpLs1">
    <w:name w:val="MBP_Bd Single Sp L,s1"/>
    <w:basedOn w:val="Normal"/>
    <w:qFormat/>
    <w:pPr>
      <w:widowControl/>
      <w:spacing w:before="0" w:after="240"/>
    </w:pPr>
    <w:rPr/>
  </w:style>
  <w:style w:type="paragraph" w:styleId="MBPBulletDotb1">
    <w:name w:val="MBP_Bullet Dot,b1"/>
    <w:basedOn w:val="Normal"/>
    <w:qFormat/>
    <w:pPr>
      <w:widowControl/>
      <w:spacing w:before="0" w:after="240"/>
      <w:ind w:hanging="720" w:start="720"/>
    </w:pPr>
    <w:rPr/>
  </w:style>
  <w:style w:type="paragraph" w:styleId="MBPBulletSquareb2">
    <w:name w:val="MBP_Bullet Square,b2"/>
    <w:basedOn w:val="Normal"/>
    <w:qFormat/>
    <w:pPr>
      <w:widowControl/>
      <w:spacing w:before="0" w:after="240"/>
      <w:ind w:hanging="720" w:start="720"/>
    </w:pPr>
    <w:rPr/>
  </w:style>
  <w:style w:type="paragraph" w:styleId="MBPBulletStarb3">
    <w:name w:val="MBP_Bullet Star,b3"/>
    <w:basedOn w:val="Normal"/>
    <w:qFormat/>
    <w:pPr>
      <w:widowControl/>
      <w:spacing w:before="0" w:after="240"/>
      <w:ind w:hanging="720" w:start="720"/>
    </w:pPr>
    <w:rPr/>
  </w:style>
  <w:style w:type="paragraph" w:styleId="MBPDocID">
    <w:name w:val="MBP_DocID"/>
    <w:basedOn w:val="Normal"/>
    <w:qFormat/>
    <w:pPr>
      <w:widowControl/>
    </w:pPr>
    <w:rPr>
      <w:sz w:val="16"/>
    </w:rPr>
  </w:style>
  <w:style w:type="paragraph" w:styleId="MBPReLiner1">
    <w:name w:val="MBP_ReLine,r1"/>
    <w:basedOn w:val="Normal"/>
    <w:qFormat/>
    <w:pPr>
      <w:widowControl/>
      <w:suppressAutoHyphens w:val="true"/>
      <w:spacing w:before="0" w:after="240"/>
      <w:ind w:hanging="720" w:start="1440"/>
    </w:pPr>
    <w:rPr/>
  </w:style>
  <w:style w:type="paragraph" w:styleId="MBPSalsal1">
    <w:name w:val="MBP_Sal,sal1"/>
    <w:basedOn w:val="Normal"/>
    <w:qFormat/>
    <w:pPr>
      <w:widowControl/>
      <w:suppressAutoHyphens w:val="true"/>
      <w:spacing w:before="240" w:after="240"/>
    </w:pPr>
    <w:rPr/>
  </w:style>
  <w:style w:type="paragraph" w:styleId="MBPSigTxtsig1">
    <w:name w:val="MBP_SigTxt,sig1"/>
    <w:basedOn w:val="Normal"/>
    <w:qFormat/>
    <w:pPr>
      <w:keepNext w:val="true"/>
      <w:widowControl/>
      <w:tabs>
        <w:tab w:val="clear" w:pos="720"/>
        <w:tab w:val="right" w:pos="9216" w:leader="none"/>
      </w:tabs>
      <w:suppressAutoHyphens w:val="true"/>
      <w:ind w:hanging="0" w:start="4320"/>
    </w:pPr>
    <w:rPr/>
  </w:style>
  <w:style w:type="paragraph" w:styleId="MBPTableBulleta2">
    <w:name w:val="MBP_Table Bullet,a2"/>
    <w:basedOn w:val="Normal"/>
    <w:qFormat/>
    <w:pPr>
      <w:widowControl/>
      <w:spacing w:before="60" w:after="60"/>
      <w:ind w:hanging="720" w:start="720"/>
    </w:pPr>
    <w:rPr/>
  </w:style>
  <w:style w:type="paragraph" w:styleId="MBPTablea1">
    <w:name w:val="MBP_Table,a1"/>
    <w:basedOn w:val="Normal"/>
    <w:qFormat/>
    <w:pPr>
      <w:widowControl/>
      <w:spacing w:before="60" w:after="60"/>
    </w:pPr>
    <w:rPr/>
  </w:style>
  <w:style w:type="paragraph" w:styleId="MBPTitleBCt6">
    <w:name w:val="MBP_Title BC,t6"/>
    <w:basedOn w:val="Normal"/>
    <w:qFormat/>
    <w:pPr>
      <w:keepNext w:val="true"/>
      <w:widowControl/>
      <w:spacing w:before="0" w:after="240"/>
      <w:jc w:val="center"/>
    </w:pPr>
    <w:rPr>
      <w:b/>
    </w:rPr>
  </w:style>
  <w:style w:type="paragraph" w:styleId="MBPTitleBLt7">
    <w:name w:val="MBP_Title BL,t7"/>
    <w:basedOn w:val="Normal"/>
    <w:qFormat/>
    <w:pPr>
      <w:keepNext w:val="true"/>
      <w:widowControl/>
      <w:spacing w:before="0" w:after="240"/>
    </w:pPr>
    <w:rPr>
      <w:b/>
    </w:rPr>
  </w:style>
  <w:style w:type="paragraph" w:styleId="MBPTitleBUACt8">
    <w:name w:val="MBP_Title BUAC,t8"/>
    <w:basedOn w:val="Normal"/>
    <w:qFormat/>
    <w:pPr>
      <w:keepNext w:val="true"/>
      <w:widowControl/>
      <w:spacing w:before="0" w:after="240"/>
      <w:jc w:val="center"/>
    </w:pPr>
    <w:rPr>
      <w:b/>
      <w:caps/>
      <w:u w:val="single"/>
    </w:rPr>
  </w:style>
  <w:style w:type="paragraph" w:styleId="MBPTitleBUCt9">
    <w:name w:val="MBP_Title BUC,t9"/>
    <w:basedOn w:val="Normal"/>
    <w:qFormat/>
    <w:pPr>
      <w:keepNext w:val="true"/>
      <w:widowControl/>
      <w:spacing w:before="0" w:after="240"/>
      <w:jc w:val="center"/>
    </w:pPr>
    <w:rPr>
      <w:b/>
      <w:u w:val="single"/>
    </w:rPr>
  </w:style>
  <w:style w:type="paragraph" w:styleId="FootnoteText">
    <w:name w:val="footnote text"/>
    <w:basedOn w:val="Normal"/>
    <w:pPr>
      <w:widowControl/>
    </w:pPr>
    <w:rPr>
      <w:sz w:val="20"/>
    </w:rPr>
  </w:style>
  <w:style w:type="paragraph" w:styleId="DocumentMap">
    <w:name w:val="Document Map"/>
    <w:basedOn w:val="Normal"/>
    <w:qFormat/>
    <w:pPr>
      <w:widowControl/>
      <w:shd w:fill="000080"/>
    </w:pPr>
    <w:rPr>
      <w:rFonts w:ascii="Tahoma" w:hAnsi="Tahoma"/>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Symbol" w:cs="Wingdings"/>
      <w:color w:val="auto"/>
      <w:kern w:val="2"/>
      <w:sz w:val="24"/>
      <w:szCs w:val="24"/>
      <w:lang w:val="en-GB" w:eastAsia="zh-CN" w:bidi="hi-IN"/>
    </w:rPr>
  </w:style>
  <w:style w:type="paragraph" w:styleId="CommentText">
    <w:name w:val="annotation text"/>
    <w:basedOn w:val="Normal"/>
    <w:pPr>
      <w:widowContro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2082</Words>
  <Characters>14579</Characters>
  <CharactersWithSpaces>11872</CharactersWithSpaces>
  <Company>Mayer, Brown &amp; Platt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2001-10-19T15:44:00Z</dcterms:created>
  <dc:creator>lrh</dc:creator>
  <dc:description/>
  <dc:language>en-US</dc:language>
  <cp:lastModifiedBy/>
  <cp:lastPrinted>2001-10-19T07:47:00Z</cp:lastPrinted>
  <dcterms:modified xsi:type="dcterms:W3CDTF">2001-10-19T15:46:00Z</dcterms:modified>
  <cp:revision>3</cp:revision>
  <dc:subject/>
  <dc:title>[Letterhead]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donna_friesen</vt:lpwstr>
  </property>
</Properties>
</file>