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ettings.xml" ContentType="application/vnd.openxmlformats-officedocument.wordprocessingml.settings+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O:\LEGAL\SPANUS\CTR\066CTR(GLENDALE).DOC</w:t>
      </w:r>
    </w:p>
    <w:p>
      <w:pPr>
        <w:pStyle w:val="Normal"/>
        <w:bidi w:val="0"/>
        <w:ind w:hanging="0" w:start="0" w:end="0"/>
        <w:jc w:val="start"/>
        <w:rPr/>
      </w:pPr>
      <w:r>
        <w:rPr/>
        <w:t>and revised document: O:\LEGAL\SPANUS\CTR\066ACTR(GLENDALE).DOC</w:t>
      </w:r>
    </w:p>
    <w:p>
      <w:pPr>
        <w:pStyle w:val="Normal"/>
        <w:bidi w:val="0"/>
        <w:ind w:hanging="0" w:start="0" w:end="0"/>
        <w:jc w:val="start"/>
        <w:rPr/>
      </w:pPr>
      <w:r>
        <w:rPr/>
      </w:r>
    </w:p>
    <w:p>
      <w:pPr>
        <w:pStyle w:val="Normal"/>
        <w:bidi w:val="0"/>
        <w:ind w:hanging="0" w:start="0" w:end="0"/>
        <w:jc w:val="start"/>
        <w:rPr/>
      </w:pPr>
      <w:r>
        <w:rPr/>
        <w:t>CompareRite found   18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Bold-Underline text </w:t>
      </w:r>
      <w:r>
        <w:br w:type="page"/>
      </w:r>
    </w:p>
    <w:p>
      <w:pPr>
        <w:pStyle w:val="Heading5"/>
        <w:widowControl/>
        <w:numPr>
          <w:ilvl w:val="0"/>
          <w:numId w:val="0"/>
        </w:numPr>
        <w:bidi w:val="0"/>
        <w:ind w:hanging="0" w:start="0"/>
        <w:jc w:val="end"/>
        <w:outlineLvl w:val="4"/>
        <w:rPr>
          <w:rFonts w:ascii="Times New Roman" w:hAnsi="Times New Roman"/>
        </w:rPr>
      </w:pPr>
      <w:r>
        <w:rPr/>
        <w:t xml:space="preserve">DRAFT OF </w:t>
      </w:r>
      <w:r>
        <w:rPr>
          <w:strike/>
        </w:rPr>
        <w:t>02/09/2001</w:t>
      </w:r>
      <w:r>
        <w:rPr/>
        <w:t xml:space="preserve"> 08/27/2001</w:t>
      </w:r>
    </w:p>
    <w:p>
      <w:pPr>
        <w:pStyle w:val="Normal"/>
        <w:widowControl/>
        <w:bidi w:val="0"/>
        <w:ind w:hanging="0" w:start="0" w:end="0"/>
        <w:jc w:val="end"/>
        <w:rPr>
          <w:b/>
          <w:sz w:val="22"/>
        </w:rPr>
      </w:pPr>
      <w:r>
        <w:rPr>
          <w:b/>
          <w:sz w:val="22"/>
        </w:rPr>
      </w:r>
    </w:p>
    <w:p>
      <w:pPr>
        <w:pStyle w:val="BodyText3"/>
        <w:widowControl/>
        <w:bidi w:val="0"/>
        <w:rPr>
          <w:rFonts w:ascii="Times New Roman" w:hAnsi="Times New Roman"/>
        </w:rPr>
      </w:pPr>
      <w:r>
        <w:rPr/>
        <w:t>SCHEDULE</w:t>
        <w:br/>
        <w:t>to the</w:t>
        <w:br/>
        <w:t>MASTER AGREEMENT</w:t>
        <w:br/>
        <w:t>(Multicurrency-Cross Border)</w:t>
      </w:r>
    </w:p>
    <w:p>
      <w:pPr>
        <w:pStyle w:val="Normal"/>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b/>
                <w:sz w:val="22"/>
              </w:rPr>
              <w:t xml:space="preserve">CITY OF GLENDALE, a </w:t>
            </w:r>
            <w:r>
              <w:rPr>
                <w:b/>
                <w:strike/>
                <w:sz w:val="22"/>
              </w:rPr>
              <w:t>_____________</w:t>
            </w:r>
            <w:r>
              <w:rPr>
                <w:b/>
                <w:sz w:val="22"/>
                <w:u w:val="single"/>
              </w:rPr>
              <w:t>municipal corporation</w:t>
            </w:r>
            <w:r>
              <w:rPr>
                <w:b/>
                <w:sz w:val="22"/>
              </w:rPr>
              <w:t xml:space="preserve"> organized under the law of the State of California (“Party B”)</w:t>
            </w:r>
          </w:p>
          <w:p>
            <w:pPr>
              <w:pStyle w:val="Normal"/>
              <w:widowControl/>
              <w:tabs>
                <w:tab w:val="clear" w:pos="720"/>
                <w:tab w:val="center" w:pos="5760" w:leader="none"/>
              </w:tabs>
              <w:bidi w:val="0"/>
              <w:spacing w:before="240" w:after="0"/>
              <w:ind w:hanging="0" w:start="0" w:end="0"/>
              <w:jc w:val="center"/>
              <w:rPr>
                <w:b/>
                <w:sz w:val="22"/>
              </w:rPr>
            </w:pPr>
            <w:r>
              <w:rPr>
                <w:b/>
                <w:sz w:val="22"/>
              </w:rPr>
            </w:r>
          </w:p>
        </w:tc>
      </w:tr>
    </w:tbl>
    <w:p>
      <w:pPr>
        <w:pStyle w:val="Normal"/>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widowControl/>
        <w:bidi w:val="0"/>
        <w:spacing w:lineRule="exact" w:line="240" w:before="240" w:after="0"/>
        <w:ind w:firstLine="720" w:start="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widowControl/>
        <w:bidi w:val="0"/>
        <w:spacing w:lineRule="exact" w:line="240" w:before="240" w:after="0"/>
        <w:ind w:firstLine="720" w:start="0" w:end="0"/>
        <w:jc w:val="both"/>
        <w:rPr>
          <w:sz w:val="22"/>
        </w:rPr>
      </w:pPr>
      <w:r>
        <w:rPr>
          <w:sz w:val="22"/>
        </w:rPr>
        <w:t>(b)</w:t>
        <w:tab/>
        <w:t>The “</w:t>
      </w:r>
      <w:r>
        <w:rPr>
          <w:b/>
          <w:sz w:val="22"/>
        </w:rPr>
        <w:t>Cross Default”</w:t>
      </w:r>
      <w:r>
        <w:rPr>
          <w:sz w:val="22"/>
        </w:rPr>
        <w:t xml:space="preserve"> provisions of Section 5(a)(vi) will apply to Party A, and will apply to Party B.</w:t>
      </w:r>
    </w:p>
    <w:p>
      <w:pPr>
        <w:pStyle w:val="Normal"/>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BodyText2"/>
        <w:widowControl/>
        <w:bidi w:val="0"/>
        <w:spacing w:lineRule="exact" w:line="240" w:before="240" w:after="0"/>
        <w:ind w:firstLine="720" w:start="0" w:end="0"/>
        <w:rPr>
          <w:rFonts w:ascii="Times New Roman" w:hAnsi="Times New Roman"/>
          <w:sz w:val="22"/>
        </w:rPr>
      </w:pPr>
      <w:r>
        <w:rPr>
          <w:sz w:val="22"/>
        </w:rPr>
        <w:t>(c)</w:t>
        <w:tab/>
        <w:t>Section 5(a)(vii) is hereby amended by deleting Subparagraph (6) thereof in its entirety and replacing it with the following:</w:t>
      </w:r>
    </w:p>
    <w:p>
      <w:pPr>
        <w:pStyle w:val="Normal"/>
        <w:widowControl/>
        <w:bidi w:val="0"/>
        <w:spacing w:lineRule="exact" w:line="240" w:before="240" w:after="0"/>
        <w:ind w:hanging="0" w:start="720" w:end="0"/>
        <w:jc w:val="both"/>
        <w:rPr>
          <w:sz w:val="22"/>
        </w:rPr>
      </w:pPr>
      <w:r>
        <w:rPr>
          <w:sz w:val="22"/>
        </w:rPr>
        <w:t>“</w:t>
      </w:r>
      <w:r>
        <w:rPr>
          <w:sz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widowControl/>
        <w:bidi w:val="0"/>
        <w:spacing w:lineRule="exact" w:line="240" w:before="240" w:after="0"/>
        <w:ind w:firstLine="720" w:start="0" w:end="0"/>
        <w:jc w:val="both"/>
        <w:rPr>
          <w:sz w:val="22"/>
        </w:rPr>
      </w:pPr>
      <w:r>
        <w:rPr>
          <w:sz w:val="22"/>
        </w:rPr>
        <w:t>(d)</w:t>
        <w:tab/>
        <w:t>Section 5(a)(viii) is hereby amended by:  (i) deleting the introductory paragraph in its entirety and replacing it with the following:</w:t>
      </w:r>
    </w:p>
    <w:p>
      <w:pPr>
        <w:pStyle w:val="Normal"/>
        <w:widowControl/>
        <w:bidi w:val="0"/>
        <w:spacing w:lineRule="exact" w:line="240" w:before="240" w:after="0"/>
        <w:ind w:hanging="0" w:start="720" w:end="0"/>
        <w:jc w:val="both"/>
        <w:rPr>
          <w:sz w:val="22"/>
        </w:rPr>
      </w:pPr>
      <w:r>
        <w:rPr>
          <w:sz w:val="22"/>
        </w:rPr>
        <w:t>“</w:t>
      </w:r>
      <w:r>
        <w:rPr>
          <w:sz w:val="22"/>
        </w:rPr>
        <w:t xml:space="preserve">(viii)  </w:t>
      </w:r>
      <w:r>
        <w:rPr>
          <w:b/>
          <w:sz w:val="22"/>
        </w:rPr>
        <w:t>Merger Without Assumption.</w:t>
      </w:r>
      <w:r>
        <w:rPr>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widowControl/>
        <w:bidi w:val="0"/>
        <w:spacing w:lineRule="exact" w:line="240" w:before="240" w:after="0"/>
        <w:ind w:hanging="0" w:start="360" w:end="0"/>
        <w:jc w:val="both"/>
        <w:rPr>
          <w:sz w:val="22"/>
        </w:rPr>
      </w:pPr>
      <w:r>
        <w:rPr>
          <w:sz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widowControl/>
        <w:bidi w:val="0"/>
        <w:spacing w:lineRule="exact" w:line="240" w:before="240" w:after="0"/>
        <w:ind w:firstLine="720" w:start="0" w:end="0"/>
        <w:jc w:val="both"/>
        <w:rPr>
          <w:sz w:val="22"/>
        </w:rPr>
      </w:pPr>
      <w:r>
        <w:rPr>
          <w:sz w:val="22"/>
        </w:rPr>
        <w:t>(e)</w:t>
        <w:tab/>
        <w:t xml:space="preserve">The </w:t>
      </w:r>
      <w:r>
        <w:rPr>
          <w:b/>
          <w:sz w:val="22"/>
        </w:rPr>
        <w:t>“Credit Event Upon Merger”</w:t>
      </w:r>
      <w:r>
        <w:rPr>
          <w:sz w:val="22"/>
        </w:rPr>
        <w:t xml:space="preserve"> provisions of Section 5(b)(iv) as amended below will apply to Party A and to Party B.</w:t>
      </w:r>
    </w:p>
    <w:p>
      <w:pPr>
        <w:pStyle w:val="Normal"/>
        <w:widowControl/>
        <w:bidi w:val="0"/>
        <w:spacing w:lineRule="exact" w:line="240" w:before="240" w:after="0"/>
        <w:ind w:firstLine="720" w:start="0" w:end="0"/>
        <w:jc w:val="both"/>
        <w:rPr>
          <w:sz w:val="22"/>
        </w:rPr>
      </w:pPr>
      <w:r>
        <w:rPr>
          <w:sz w:val="22"/>
        </w:rPr>
        <w:t>(f)</w:t>
        <w:tab/>
        <w:t xml:space="preserve">The </w:t>
      </w:r>
      <w:r>
        <w:rPr>
          <w:b/>
          <w:sz w:val="22"/>
        </w:rPr>
        <w:t>“Automatic Early Termination”</w:t>
      </w:r>
      <w:r>
        <w:rPr>
          <w:sz w:val="22"/>
        </w:rPr>
        <w:t xml:space="preserve"> provision of Section 6(a) will not apply to Party A or to Party B.</w:t>
      </w:r>
    </w:p>
    <w:p>
      <w:pPr>
        <w:pStyle w:val="Normal"/>
        <w:widowControl/>
        <w:bidi w:val="0"/>
        <w:spacing w:lineRule="exact" w:line="240" w:before="240" w:after="0"/>
        <w:ind w:firstLine="720" w:start="0" w:end="0"/>
        <w:jc w:val="both"/>
        <w:rPr>
          <w:sz w:val="22"/>
        </w:rPr>
      </w:pPr>
      <w:r>
        <w:rPr>
          <w:sz w:val="22"/>
        </w:rPr>
        <w:t>(g)</w:t>
        <w:tab/>
      </w:r>
      <w:r>
        <w:rPr>
          <w:b/>
          <w:sz w:val="22"/>
        </w:rPr>
        <w:t>Payments on Early Termination.</w:t>
      </w:r>
      <w:r>
        <w:rPr>
          <w:sz w:val="22"/>
        </w:rPr>
        <w:t xml:space="preserve">  For the purpose of Section 6(e):  (i) Loss will apply, and (ii) the Second Method will apply.</w:t>
      </w:r>
    </w:p>
    <w:p>
      <w:pPr>
        <w:pStyle w:val="Normal"/>
        <w:widowControl/>
        <w:bidi w:val="0"/>
        <w:spacing w:lineRule="exact" w:line="240" w:before="240" w:after="0"/>
        <w:ind w:firstLine="720" w:start="0" w:end="0"/>
        <w:jc w:val="both"/>
        <w:rPr>
          <w:sz w:val="22"/>
        </w:rPr>
      </w:pPr>
      <w:r>
        <w:rPr>
          <w:sz w:val="22"/>
        </w:rPr>
        <w:t>(h)</w:t>
        <w:tab/>
      </w:r>
      <w:r>
        <w:rPr>
          <w:b/>
          <w:sz w:val="22"/>
        </w:rPr>
        <w:t>“Termination Currency”</w:t>
      </w:r>
      <w:r>
        <w:rPr>
          <w:sz w:val="22"/>
        </w:rPr>
        <w:t xml:space="preserve"> means United States Dollars.</w:t>
      </w:r>
    </w:p>
    <w:p>
      <w:pPr>
        <w:pStyle w:val="Normal"/>
        <w:widowControl/>
        <w:bidi w:val="0"/>
        <w:spacing w:lineRule="exact" w:line="240" w:before="240" w:after="0"/>
        <w:ind w:firstLine="720" w:start="0" w:end="0"/>
        <w:jc w:val="both"/>
        <w:rPr>
          <w:sz w:val="22"/>
        </w:rPr>
      </w:pPr>
      <w:r>
        <w:rPr>
          <w:sz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bidi w:val="0"/>
        <w:spacing w:lineRule="exact" w:line="240" w:before="240" w:after="0"/>
        <w:ind w:firstLine="720" w:start="0" w:end="0"/>
        <w:jc w:val="both"/>
        <w:rPr/>
      </w:pPr>
      <w:r>
        <w:rPr>
          <w:sz w:val="22"/>
        </w:rPr>
        <w:t>(j)</w:t>
      </w:r>
      <w:r>
        <w:rPr>
          <w:b/>
          <w:sz w:val="22"/>
        </w:rPr>
        <w:tab/>
        <w:t>“Contractual Currency”</w:t>
      </w:r>
      <w:r>
        <w:rPr>
          <w:sz w:val="22"/>
        </w:rPr>
        <w:t xml:space="preserve"> unless otherwise specified in a Confirmation, shall mean United States Dollars.</w:t>
      </w:r>
    </w:p>
    <w:p>
      <w:pPr>
        <w:pStyle w:val="Normal"/>
        <w:widowControl/>
        <w:tabs>
          <w:tab w:val="clear" w:pos="720"/>
          <w:tab w:val="left" w:pos="1080" w:leader="none"/>
        </w:tabs>
        <w:bidi w:val="0"/>
        <w:spacing w:lineRule="exact" w:line="480"/>
        <w:ind w:hanging="0" w:start="0" w:end="0"/>
        <w:jc w:val="both"/>
        <w:rPr>
          <w:b/>
          <w:sz w:val="22"/>
        </w:rPr>
      </w:pPr>
      <w:r>
        <w:rPr>
          <w:b/>
          <w:sz w:val="22"/>
        </w:rPr>
        <w:t>Part 2.</w:t>
        <w:tab/>
        <w:t>Tax Representations.</w:t>
      </w:r>
    </w:p>
    <w:p>
      <w:pPr>
        <w:pStyle w:val="Normal"/>
        <w:widowControl/>
        <w:bidi w:val="0"/>
        <w:spacing w:lineRule="exact" w:line="240" w:before="240" w:after="0"/>
        <w:ind w:firstLine="720" w:start="0" w:end="0"/>
        <w:jc w:val="both"/>
        <w:rPr>
          <w:sz w:val="22"/>
        </w:rPr>
      </w:pPr>
      <w:r>
        <w:rPr>
          <w:sz w:val="22"/>
        </w:rPr>
        <w:t>(a)</w:t>
      </w:r>
      <w:r>
        <w:rPr>
          <w:b/>
          <w:sz w:val="22"/>
        </w:rPr>
        <w:tab/>
        <w:t xml:space="preserve">Payer Representations.  </w:t>
      </w:r>
      <w:r>
        <w:rPr>
          <w:sz w:val="22"/>
        </w:rPr>
        <w:t>For the purpose of Section 3(e), Party A and Party B make the following representation:</w:t>
      </w:r>
    </w:p>
    <w:p>
      <w:pPr>
        <w:pStyle w:val="Normal"/>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bidi w:val="0"/>
        <w:spacing w:lineRule="exact" w:line="240" w:before="240" w:after="0"/>
        <w:ind w:firstLine="720" w:start="0" w:end="0"/>
        <w:jc w:val="both"/>
        <w:rPr>
          <w:sz w:val="22"/>
        </w:rPr>
      </w:pPr>
      <w:r>
        <w:rPr>
          <w:sz w:val="22"/>
        </w:rPr>
        <w:t>(b)</w:t>
      </w:r>
      <w:r>
        <w:rPr>
          <w:b/>
          <w:sz w:val="22"/>
        </w:rPr>
        <w:tab/>
        <w:t>Payee Representations.</w:t>
      </w:r>
      <w:r>
        <w:rPr>
          <w:sz w:val="22"/>
        </w:rPr>
        <w:t xml:space="preserve">  For the purpose of Section 3(f), Party A and Party B make the following representations:</w:t>
      </w:r>
    </w:p>
    <w:p>
      <w:pPr>
        <w:pStyle w:val="Normal"/>
        <w:widowControl/>
        <w:bidi w:val="0"/>
        <w:spacing w:lineRule="exact" w:line="240" w:before="240" w:after="0"/>
        <w:ind w:hanging="180" w:start="900" w:end="0"/>
        <w:jc w:val="both"/>
        <w:rPr>
          <w:sz w:val="22"/>
        </w:rPr>
      </w:pPr>
      <w:r>
        <w:rPr>
          <w:sz w:val="22"/>
        </w:rPr>
        <w:t>(i)</w:t>
        <w:tab/>
        <w:t>The following representation applies to Party A:</w:t>
      </w:r>
    </w:p>
    <w:p>
      <w:pPr>
        <w:pStyle w:val="Normal"/>
        <w:widowControl/>
        <w:bidi w:val="0"/>
        <w:spacing w:lineRule="exact" w:line="240" w:before="240" w:after="0"/>
        <w:ind w:firstLine="540" w:start="900" w:end="0"/>
        <w:jc w:val="both"/>
        <w:rPr>
          <w:sz w:val="22"/>
        </w:rPr>
      </w:pPr>
      <w:r>
        <w:rPr>
          <w:sz w:val="22"/>
        </w:rPr>
        <w:t>Party A is a corporation organized under the laws of the State of Delaware.</w:t>
      </w:r>
    </w:p>
    <w:p>
      <w:pPr>
        <w:pStyle w:val="Normal"/>
        <w:widowControl/>
        <w:bidi w:val="0"/>
        <w:spacing w:lineRule="exact" w:line="240" w:before="240" w:after="0"/>
        <w:ind w:hanging="180" w:start="900" w:end="0"/>
        <w:jc w:val="both"/>
        <w:rPr>
          <w:sz w:val="22"/>
        </w:rPr>
      </w:pPr>
      <w:r>
        <w:rPr>
          <w:sz w:val="22"/>
        </w:rPr>
        <w:t>(ii)</w:t>
        <w:tab/>
        <w:t>The following representation applies to Party B:</w:t>
      </w:r>
    </w:p>
    <w:p>
      <w:pPr>
        <w:pStyle w:val="Normal"/>
        <w:widowControl/>
        <w:bidi w:val="0"/>
        <w:spacing w:lineRule="exact" w:line="240" w:before="240" w:after="0"/>
        <w:ind w:firstLine="540" w:start="900" w:end="0"/>
        <w:jc w:val="both"/>
        <w:rPr>
          <w:sz w:val="22"/>
        </w:rPr>
      </w:pPr>
      <w:r>
        <w:rPr>
          <w:sz w:val="22"/>
        </w:rPr>
        <w:t xml:space="preserve">Party B is a </w:t>
      </w:r>
      <w:r>
        <w:rPr>
          <w:b/>
          <w:sz w:val="22"/>
          <w:u w:val="single"/>
        </w:rPr>
        <w:t>municipal corporation</w:t>
      </w:r>
      <w:r>
        <w:rPr>
          <w:sz w:val="22"/>
        </w:rPr>
        <w:t xml:space="preserve"> organized under the laws of the State of California.</w:t>
      </w:r>
    </w:p>
    <w:p>
      <w:pPr>
        <w:pStyle w:val="Heading4"/>
        <w:widowControl/>
        <w:numPr>
          <w:ilvl w:val="0"/>
          <w:numId w:val="0"/>
        </w:numPr>
        <w:bidi w:val="0"/>
        <w:spacing w:lineRule="exact" w:line="480"/>
        <w:ind w:hanging="0" w:start="0"/>
        <w:outlineLvl w:val="3"/>
        <w:rPr>
          <w:rFonts w:ascii="Times New Roman" w:hAnsi="Times New Roman"/>
        </w:rPr>
      </w:pPr>
      <w:r>
        <w:rPr/>
        <w:t>Part 3.</w:t>
        <w:tab/>
        <w:t>Agreement to Deliver Documents</w:t>
      </w:r>
    </w:p>
    <w:p>
      <w:pPr>
        <w:pStyle w:val="BodyTextIndent2"/>
        <w:widowControl/>
        <w:tabs>
          <w:tab w:val="clear" w:pos="1350"/>
        </w:tabs>
        <w:bidi w:val="0"/>
        <w:spacing w:lineRule="exact" w:line="240" w:before="240" w:after="0"/>
        <w:rPr>
          <w:rFonts w:ascii="Times New Roman" w:hAnsi="Times New Roman"/>
        </w:rPr>
      </w:pPr>
      <w:r>
        <w:rPr>
          <w:rFonts w:ascii="Times New Roman" w:hAnsi="Times New Roman"/>
        </w:rPr>
        <w:t>(a)</w:t>
        <w:tab/>
        <w:t>Tax forms, documents, or certificates to be delivered are:  United States Internal Revenue Service Form W-9.</w:t>
      </w:r>
    </w:p>
    <w:p>
      <w:pPr>
        <w:pStyle w:val="Normal"/>
        <w:widowControl/>
        <w:bidi w:val="0"/>
        <w:spacing w:lineRule="exact" w:line="240" w:before="240" w:after="0"/>
        <w:ind w:firstLine="720" w:start="0" w:end="0"/>
        <w:jc w:val="both"/>
        <w:rPr>
          <w:sz w:val="22"/>
        </w:rPr>
      </w:pPr>
      <w:r>
        <w:rPr>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tcBorders/>
            <w:vAlign w:val="bottom"/>
          </w:tcPr>
          <w:p>
            <w:pPr>
              <w:pStyle w:val="Normal"/>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tcBorders/>
            <w:vAlign w:val="bottom"/>
          </w:tcPr>
          <w:p>
            <w:pPr>
              <w:pStyle w:val="Normal"/>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A</w:t>
            </w:r>
          </w:p>
        </w:tc>
        <w:tc>
          <w:tcPr>
            <w:tcW w:w="3886" w:type="dxa"/>
            <w:tcBorders/>
          </w:tcPr>
          <w:p>
            <w:pPr>
              <w:pStyle w:val="Justified"/>
              <w:widowControl/>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 and as otherwise provided in Part 3(a) above</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Justified"/>
              <w:widowControl/>
              <w:bidi w:val="0"/>
              <w:spacing w:lineRule="atLeast" w:line="240" w:before="240" w:after="0"/>
              <w:rPr/>
            </w:pPr>
            <w:r>
              <w:rPr>
                <w:rFonts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7" w:type="dxa"/>
            <w:tcBorders/>
          </w:tcPr>
          <w:p>
            <w:pPr>
              <w:pStyle w:val="Justified"/>
              <w:widowControl/>
              <w:bidi w:val="0"/>
              <w:spacing w:lineRule="atLeast" w:line="240" w:before="240" w:after="0"/>
              <w:rPr/>
            </w:pPr>
            <w:r>
              <w:rPr>
                <w:rFonts w:ascii="Times New Roman" w:hAnsi="Times New Roman"/>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B</w:t>
            </w:r>
          </w:p>
        </w:tc>
        <w:tc>
          <w:tcPr>
            <w:tcW w:w="3886" w:type="dxa"/>
            <w:tcBorders/>
          </w:tcPr>
          <w:p>
            <w:pPr>
              <w:pStyle w:val="Justified"/>
              <w:widowControl/>
              <w:bidi w:val="0"/>
              <w:spacing w:lineRule="atLeast" w:line="240" w:before="240" w:after="0"/>
              <w:rPr/>
            </w:pPr>
            <w:r>
              <w:rPr>
                <w:rFonts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7" w:type="dxa"/>
            <w:tcBorders/>
          </w:tcPr>
          <w:p>
            <w:pPr>
              <w:pStyle w:val="Justified"/>
              <w:widowControl/>
              <w:bidi w:val="0"/>
              <w:spacing w:lineRule="atLeast" w:line="240" w:before="240" w:after="0"/>
              <w:rPr/>
            </w:pPr>
            <w:r>
              <w:rPr>
                <w:rFonts w:ascii="Times New Roman" w:hAnsi="Times New Roman"/>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widowControl/>
              <w:bidi w:val="0"/>
              <w:spacing w:lineRule="atLeast" w:line="240" w:before="240" w:after="0"/>
              <w:rPr/>
            </w:pPr>
            <w:r>
              <w:rPr>
                <w:rFonts w:ascii="Times New Roman" w:hAnsi="Times New Roman"/>
              </w:rPr>
              <w:t>Party B</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B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 xml:space="preserve">Promptly following demand by Party A, but in no event later than </w:t>
            </w:r>
            <w:r>
              <w:rPr>
                <w:rFonts w:ascii="Times New Roman" w:hAnsi="Times New Roman"/>
                <w:strike/>
              </w:rPr>
              <w:t>120</w:t>
            </w:r>
            <w:r>
              <w:rPr>
                <w:rFonts w:ascii="Times New Roman" w:hAnsi="Times New Roman"/>
              </w:rPr>
              <w:t xml:space="preserve"> </w:t>
            </w:r>
            <w:r>
              <w:rPr>
                <w:rFonts w:ascii="Times New Roman" w:hAnsi="Times New Roman"/>
                <w:b/>
                <w:u w:val="single"/>
              </w:rPr>
              <w:t>270</w:t>
            </w:r>
            <w:r>
              <w:rPr>
                <w:rFonts w:ascii="Times New Roman" w:hAnsi="Times New Roman"/>
              </w:rPr>
              <w:t xml:space="preserve"> days after the end of each fiscal year of Party B</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B</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B</w:t>
            </w:r>
          </w:p>
        </w:tc>
        <w:tc>
          <w:tcPr>
            <w:tcW w:w="2227" w:type="dxa"/>
            <w:tcBorders/>
          </w:tcPr>
          <w:p>
            <w:pPr>
              <w:pStyle w:val="Normal"/>
              <w:widowControl/>
              <w:bidi w:val="0"/>
              <w:spacing w:lineRule="atLeast" w:line="240" w:before="240" w:after="0"/>
              <w:ind w:hanging="0" w:start="0" w:end="0"/>
              <w:jc w:val="start"/>
              <w:rPr/>
            </w:pPr>
            <w:r>
              <w:rPr>
                <w:sz w:val="22"/>
              </w:rPr>
              <w:t xml:space="preserve">Promptly following demand by Party A, but in no event later than </w:t>
            </w:r>
            <w:r>
              <w:rPr>
                <w:strike/>
                <w:sz w:val="22"/>
              </w:rPr>
              <w:t>60</w:t>
            </w:r>
            <w:r>
              <w:rPr>
                <w:sz w:val="22"/>
              </w:rPr>
              <w:t xml:space="preserve"> </w:t>
            </w:r>
            <w:r>
              <w:rPr>
                <w:b/>
                <w:sz w:val="22"/>
                <w:u w:val="single"/>
              </w:rPr>
              <w:t>270</w:t>
            </w:r>
            <w:r>
              <w:rPr>
                <w:sz w:val="22"/>
              </w:rPr>
              <w:t xml:space="preserve"> days after the end of each of the first three fiscal quarters of each fiscal year of Party B</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B</w:t>
            </w:r>
          </w:p>
        </w:tc>
        <w:tc>
          <w:tcPr>
            <w:tcW w:w="3886" w:type="dxa"/>
            <w:tcBorders/>
          </w:tcPr>
          <w:p>
            <w:pPr>
              <w:pStyle w:val="Justified"/>
              <w:widowControl/>
              <w:tabs>
                <w:tab w:val="clear" w:pos="720"/>
              </w:tabs>
              <w:bidi w:val="0"/>
              <w:spacing w:lineRule="atLeast" w:line="240" w:before="240" w:after="0"/>
              <w:rPr/>
            </w:pPr>
            <w:r>
              <w:rPr>
                <w:rFonts w:ascii="Times New Roman" w:hAnsi="Times New Roman"/>
              </w:rPr>
              <w:t>Legal opinion in form and substance of Attachment 1 hereto</w:t>
            </w:r>
          </w:p>
        </w:tc>
        <w:tc>
          <w:tcPr>
            <w:tcW w:w="2227" w:type="dxa"/>
            <w:tcBorders/>
          </w:tcPr>
          <w:p>
            <w:pPr>
              <w:pStyle w:val="Normal"/>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No</w:t>
            </w:r>
          </w:p>
        </w:tc>
      </w:tr>
    </w:tbl>
    <w:p>
      <w:pPr>
        <w:pStyle w:val="Normal"/>
        <w:widowControl/>
        <w:bidi w:val="0"/>
        <w:spacing w:lineRule="exact" w:line="240" w:before="480" w:after="0"/>
        <w:ind w:hanging="0" w:start="0" w:end="0"/>
        <w:jc w:val="both"/>
        <w:rPr>
          <w:b/>
          <w:sz w:val="22"/>
        </w:rPr>
      </w:pPr>
      <w:r>
        <w:rPr>
          <w:b/>
          <w:sz w:val="22"/>
        </w:rPr>
        <w:t>Part 4.  Miscellaneous.</w:t>
      </w:r>
    </w:p>
    <w:p>
      <w:pPr>
        <w:pStyle w:val="Normal"/>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bidi w:val="0"/>
        <w:spacing w:lineRule="exact" w:line="240" w:before="240" w:after="0"/>
        <w:ind w:hanging="720" w:start="720" w:end="0"/>
        <w:jc w:val="both"/>
        <w:rPr>
          <w:sz w:val="22"/>
        </w:rPr>
      </w:pPr>
      <w:r>
        <w:rPr>
          <w:sz w:val="22"/>
        </w:rPr>
        <w:t>Address for notices or communications to Party A:</w:t>
      </w:r>
    </w:p>
    <w:p>
      <w:pPr>
        <w:pStyle w:val="Normal"/>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City of Glendale</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trike/>
                <w:sz w:val="22"/>
              </w:rPr>
              <w:t>_________________________________</w:t>
            </w:r>
            <w:r>
              <w:rPr>
                <w:b/>
                <w:sz w:val="22"/>
                <w:u w:val="single"/>
              </w:rPr>
              <w:t>141 N. Glendale Ave., 4</w:t>
            </w:r>
            <w:r>
              <w:rPr>
                <w:b/>
                <w:sz w:val="22"/>
                <w:u w:val="single"/>
                <w:vertAlign w:val="superscript"/>
              </w:rPr>
              <w:t>th</w:t>
            </w:r>
            <w:r>
              <w:rPr>
                <w:sz w:val="22"/>
              </w:rPr>
              <w:t xml:space="preserve"> </w:t>
            </w:r>
            <w:r>
              <w:rPr>
                <w:b/>
                <w:sz w:val="22"/>
                <w:u w:val="single"/>
              </w:rPr>
              <w:t>Level</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trike/>
                <w:sz w:val="22"/>
              </w:rPr>
              <w:t>_________________________________</w:t>
            </w:r>
            <w:r>
              <w:rPr>
                <w:b/>
                <w:sz w:val="22"/>
                <w:u w:val="single"/>
              </w:rPr>
              <w:t>Glendale, California  91206-4496</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trike/>
                <w:sz w:val="22"/>
              </w:rPr>
              <w:t xml:space="preserve">Attn.: ____________________________ Facsimile No.: </w:t>
            </w:r>
            <w:r>
              <w:rPr>
                <w:b/>
                <w:sz w:val="22"/>
                <w:u w:val="single"/>
              </w:rPr>
              <w:t>Attn.:  Director Public Service</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b/>
                <w:sz w:val="22"/>
                <w:u w:val="single"/>
              </w:rPr>
              <w:t>Facsimile No.:  (818) 552-2852</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trike/>
                <w:sz w:val="22"/>
              </w:rPr>
              <w:t xml:space="preserve">Telephone No.: </w:t>
            </w:r>
            <w:r>
              <w:rPr>
                <w:b/>
                <w:sz w:val="22"/>
                <w:u w:val="single"/>
              </w:rPr>
              <w:t>Telephone No.:  (818) 548-2107</w:t>
            </w:r>
          </w:p>
        </w:tc>
      </w:tr>
    </w:tbl>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w:t>
      </w:r>
    </w:p>
    <w:p>
      <w:pPr>
        <w:pStyle w:val="Normal"/>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w:t>
      </w:r>
    </w:p>
    <w:p>
      <w:pPr>
        <w:pStyle w:val="Normal"/>
        <w:widowControl/>
        <w:bidi w:val="0"/>
        <w:spacing w:lineRule="exact" w:line="240" w:before="240" w:after="0"/>
        <w:ind w:firstLine="720" w:start="0" w:end="0"/>
        <w:jc w:val="both"/>
        <w:rPr>
          <w:b/>
          <w:sz w:val="22"/>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bidi w:val="0"/>
        <w:ind w:hanging="0" w:start="0" w:end="0"/>
        <w:jc w:val="both"/>
        <w:rPr>
          <w:b/>
          <w:sz w:val="22"/>
        </w:rPr>
      </w:pPr>
      <w:r>
        <w:rPr>
          <w:b/>
          <w:sz w:val="22"/>
        </w:rPr>
      </w:r>
    </w:p>
    <w:p>
      <w:pPr>
        <w:pStyle w:val="Normal"/>
        <w:widowControl/>
        <w:bidi w:val="0"/>
        <w:ind w:hanging="0" w:start="0" w:end="0"/>
        <w:jc w:val="both"/>
        <w:rPr>
          <w:b/>
          <w:sz w:val="22"/>
        </w:rPr>
      </w:pPr>
      <w:r>
        <w:rPr>
          <w:b/>
          <w:sz w:val="22"/>
        </w:rPr>
        <w:t>Part 5.  Other Provisions.</w:t>
      </w:r>
    </w:p>
    <w:p>
      <w:pPr>
        <w:pStyle w:val="Normal"/>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bidi w:val="0"/>
        <w:spacing w:lineRule="exact" w:line="240" w:before="240" w:after="0"/>
        <w:ind w:firstLine="720" w:start="0" w:end="0"/>
        <w:jc w:val="both"/>
        <w:rPr>
          <w:sz w:val="22"/>
        </w:rPr>
      </w:pPr>
      <w:r>
        <w:rPr>
          <w:sz w:val="22"/>
        </w:rPr>
        <w:t xml:space="preserve">(b)  </w:t>
      </w:r>
      <w:r>
        <w:rPr>
          <w:b/>
          <w:sz w:val="22"/>
        </w:rPr>
        <w:t>Obligations:  General Conditions.</w:t>
      </w:r>
      <w:r>
        <w:rPr>
          <w:sz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widowControl/>
        <w:bidi w:val="0"/>
        <w:spacing w:lineRule="exact" w:line="240" w:before="240" w:after="0"/>
        <w:ind w:firstLine="720" w:start="0" w:end="0"/>
        <w:jc w:val="both"/>
        <w:rPr>
          <w:sz w:val="22"/>
        </w:rPr>
      </w:pPr>
      <w:r>
        <w:rPr>
          <w:sz w:val="22"/>
        </w:rPr>
        <w:t xml:space="preserve">(c)  </w:t>
      </w:r>
      <w:r>
        <w:rPr>
          <w:b/>
          <w:sz w:val="22"/>
        </w:rPr>
        <w:t xml:space="preserve">Powers.  </w:t>
      </w:r>
      <w:r>
        <w:rPr>
          <w:sz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widowControl/>
        <w:bidi w:val="0"/>
        <w:spacing w:lineRule="exact" w:line="240" w:before="240" w:after="0"/>
        <w:ind w:firstLine="720" w:start="0" w:end="0"/>
        <w:jc w:val="both"/>
        <w:rPr>
          <w:sz w:val="22"/>
        </w:rPr>
      </w:pPr>
      <w:r>
        <w:rPr>
          <w:sz w:val="22"/>
        </w:rPr>
        <w:t>(d)</w:t>
        <w:tab/>
      </w:r>
      <w:r>
        <w:rPr>
          <w:b/>
          <w:sz w:val="22"/>
        </w:rPr>
        <w:t>Absence of Certain Events.</w:t>
      </w:r>
      <w:r>
        <w:rPr>
          <w:sz w:val="22"/>
        </w:rPr>
        <w:t xml:space="preserve">  Section 3(b) is hereby amended by inserting in the first line thereof after the word “knowledge,” the words “Incipient Illegality (in the case of Party B) or”.</w:t>
      </w:r>
    </w:p>
    <w:p>
      <w:pPr>
        <w:pStyle w:val="Normal"/>
        <w:widowControl/>
        <w:bidi w:val="0"/>
        <w:spacing w:lineRule="exact" w:line="240" w:before="240" w:after="0"/>
        <w:ind w:firstLine="720" w:start="0" w:end="0"/>
        <w:jc w:val="both"/>
        <w:rPr>
          <w:sz w:val="22"/>
        </w:rPr>
      </w:pPr>
      <w:r>
        <w:rPr>
          <w:sz w:val="22"/>
        </w:rPr>
        <w:t>(e)</w:t>
        <w:tab/>
      </w:r>
      <w:r>
        <w:rPr>
          <w:b/>
          <w:sz w:val="22"/>
        </w:rPr>
        <w:t>Representations.</w:t>
      </w:r>
      <w:r>
        <w:rPr>
          <w:sz w:val="22"/>
        </w:rPr>
        <w:t xml:space="preserve">  Section 3 is hereby amended by adding at the end thereof the following Subsections (g), (h), (i), (j) and (k):</w:t>
      </w:r>
    </w:p>
    <w:p>
      <w:pPr>
        <w:pStyle w:val="Normal"/>
        <w:widowControl/>
        <w:bidi w:val="0"/>
        <w:spacing w:lineRule="exact" w:line="240" w:before="240" w:after="0"/>
        <w:ind w:firstLine="720" w:start="720" w:end="0"/>
        <w:jc w:val="both"/>
        <w:rPr>
          <w:sz w:val="22"/>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widowControl/>
        <w:bidi w:val="0"/>
        <w:spacing w:lineRule="exact" w:line="240" w:before="240" w:after="0"/>
        <w:ind w:firstLine="720" w:start="720" w:end="0"/>
        <w:jc w:val="both"/>
        <w:rPr>
          <w:sz w:val="22"/>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bidi w:val="0"/>
        <w:spacing w:lineRule="exact" w:line="240" w:before="240" w:after="0"/>
        <w:ind w:firstLine="720" w:start="720" w:end="0"/>
        <w:jc w:val="both"/>
        <w:rPr>
          <w:sz w:val="22"/>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bidi w:val="0"/>
        <w:spacing w:lineRule="exact" w:line="240" w:before="240" w:after="0"/>
        <w:ind w:firstLine="720" w:start="720" w:end="0"/>
        <w:jc w:val="both"/>
        <w:rPr>
          <w:sz w:val="22"/>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bidi w:val="0"/>
        <w:ind w:firstLine="720" w:start="720" w:end="0"/>
        <w:jc w:val="both"/>
        <w:rPr>
          <w:sz w:val="22"/>
        </w:rPr>
      </w:pPr>
      <w:r>
        <w:rPr>
          <w:sz w:val="22"/>
        </w:rPr>
      </w:r>
    </w:p>
    <w:p>
      <w:pPr>
        <w:pStyle w:val="Normal"/>
        <w:widowControl/>
        <w:bidi w:val="0"/>
        <w:ind w:firstLine="720" w:start="720" w:end="0"/>
        <w:jc w:val="both"/>
        <w:rPr>
          <w:sz w:val="22"/>
        </w:rPr>
      </w:pPr>
      <w:r>
        <w:rPr>
          <w:sz w:val="22"/>
        </w:rPr>
        <w:t>(k)</w:t>
        <w:tab/>
      </w:r>
      <w:r>
        <w:rPr>
          <w:b/>
          <w:sz w:val="22"/>
        </w:rPr>
        <w:t>Termination Payments.</w:t>
      </w:r>
      <w:r>
        <w:rPr>
          <w:sz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widowControl/>
        <w:bidi w:val="0"/>
        <w:spacing w:before="240" w:after="0"/>
        <w:ind w:firstLine="720" w:start="0" w:end="0"/>
        <w:jc w:val="both"/>
        <w:rPr>
          <w:sz w:val="22"/>
        </w:rPr>
      </w:pPr>
      <w:r>
        <w:rPr>
          <w:sz w:val="22"/>
        </w:rPr>
        <w:t>(f)</w:t>
        <w:tab/>
      </w:r>
      <w:r>
        <w:rPr>
          <w:b/>
          <w:sz w:val="22"/>
        </w:rPr>
        <w:t xml:space="preserve">Additional Representations of Party B. </w:t>
      </w:r>
      <w:r>
        <w:rPr>
          <w:sz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bidi w:val="0"/>
        <w:spacing w:before="0" w:after="0"/>
        <w:rPr>
          <w:rFonts w:ascii="Times New Roman" w:hAnsi="Times New Roman"/>
        </w:rPr>
      </w:pPr>
      <w:r>
        <w:rPr>
          <w:rFonts w:ascii="Times New Roman" w:hAnsi="Times New Roman"/>
        </w:rPr>
      </w:r>
    </w:p>
    <w:p>
      <w:pPr>
        <w:pStyle w:val="Normal"/>
        <w:widowControl/>
        <w:bidi w:val="0"/>
        <w:ind w:hanging="720" w:start="1440" w:end="0"/>
        <w:jc w:val="both"/>
        <w:rPr>
          <w:sz w:val="22"/>
        </w:rPr>
      </w:pPr>
      <w:r>
        <w:rPr>
          <w:sz w:val="22"/>
        </w:rPr>
        <w:t>(i)</w:t>
        <w:tab/>
      </w:r>
      <w:r>
        <w:rPr>
          <w:b/>
          <w:sz w:val="22"/>
        </w:rPr>
        <w:t>Non-Speculation.</w:t>
      </w:r>
      <w:r>
        <w:rPr>
          <w:sz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widowControl/>
        <w:bidi w:val="0"/>
        <w:ind w:hanging="720" w:start="1440" w:end="0"/>
        <w:jc w:val="both"/>
        <w:rPr>
          <w:sz w:val="22"/>
        </w:rPr>
      </w:pPr>
      <w:r>
        <w:rPr>
          <w:sz w:val="22"/>
        </w:rPr>
      </w:r>
    </w:p>
    <w:p>
      <w:pPr>
        <w:pStyle w:val="Normal"/>
        <w:widowControl/>
        <w:bidi w:val="0"/>
        <w:ind w:hanging="720" w:start="1440" w:end="0"/>
        <w:jc w:val="both"/>
        <w:rPr>
          <w:sz w:val="22"/>
        </w:rPr>
      </w:pPr>
      <w:r>
        <w:rPr>
          <w:sz w:val="22"/>
        </w:rPr>
        <w:t>(ii)</w:t>
        <w:tab/>
      </w:r>
      <w:r>
        <w:rPr>
          <w:b/>
          <w:sz w:val="22"/>
        </w:rPr>
        <w:t>No Immunity.</w:t>
      </w:r>
      <w:r>
        <w:rPr>
          <w:sz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widowControl/>
        <w:bidi w:val="0"/>
        <w:ind w:hanging="720" w:start="1440" w:end="0"/>
        <w:jc w:val="both"/>
        <w:rPr>
          <w:sz w:val="22"/>
        </w:rPr>
      </w:pPr>
      <w:r>
        <w:rPr>
          <w:sz w:val="22"/>
        </w:rPr>
      </w:r>
    </w:p>
    <w:p>
      <w:pPr>
        <w:pStyle w:val="Normal"/>
        <w:widowControl/>
        <w:bidi w:val="0"/>
        <w:ind w:hanging="720" w:start="1440" w:end="0"/>
        <w:jc w:val="both"/>
        <w:rPr>
          <w:sz w:val="22"/>
        </w:rPr>
      </w:pPr>
      <w:r>
        <w:rPr>
          <w:sz w:val="22"/>
        </w:rPr>
        <w:t>(iii)</w:t>
        <w:tab/>
      </w:r>
      <w:r>
        <w:rPr>
          <w:b/>
          <w:sz w:val="22"/>
        </w:rPr>
        <w:t>Legal Investment.</w:t>
      </w:r>
      <w:r>
        <w:rPr>
          <w:sz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widowControl/>
        <w:bidi w:val="0"/>
        <w:ind w:hanging="720" w:start="1440" w:end="0"/>
        <w:jc w:val="both"/>
        <w:rPr>
          <w:sz w:val="22"/>
        </w:rPr>
      </w:pPr>
      <w:r>
        <w:rPr>
          <w:sz w:val="22"/>
        </w:rPr>
      </w:r>
    </w:p>
    <w:p>
      <w:pPr>
        <w:pStyle w:val="Normal"/>
        <w:widowControl/>
        <w:bidi w:val="0"/>
        <w:ind w:hanging="720" w:start="1440" w:end="0"/>
        <w:jc w:val="both"/>
        <w:rPr>
          <w:sz w:val="22"/>
        </w:rPr>
      </w:pPr>
      <w:r>
        <w:rPr>
          <w:sz w:val="22"/>
        </w:rPr>
        <w:t>(iv)</w:t>
        <w:tab/>
      </w:r>
      <w:r>
        <w:rPr>
          <w:b/>
          <w:sz w:val="22"/>
        </w:rPr>
        <w:t>Assets of Party B.</w:t>
      </w:r>
      <w:r>
        <w:rPr>
          <w:sz w:val="22"/>
        </w:rPr>
        <w:t xml:space="preserve">  No Affiliate or other person, firm, corporation, entity or association may liquidate, borrow, encumber or otherwise utilize the assets (including without limitation the source of funds) of Party B.</w:t>
      </w:r>
    </w:p>
    <w:p>
      <w:pPr>
        <w:pStyle w:val="Normal"/>
        <w:widowControl/>
        <w:bidi w:val="0"/>
        <w:ind w:hanging="720" w:start="1440" w:end="0"/>
        <w:jc w:val="both"/>
        <w:rPr>
          <w:sz w:val="22"/>
        </w:rPr>
      </w:pPr>
      <w:r>
        <w:rPr>
          <w:sz w:val="22"/>
        </w:rPr>
      </w:r>
    </w:p>
    <w:p>
      <w:pPr>
        <w:pStyle w:val="Normal"/>
        <w:widowControl/>
        <w:bidi w:val="0"/>
        <w:ind w:hanging="720" w:start="1440" w:end="0"/>
        <w:jc w:val="both"/>
        <w:rPr>
          <w:sz w:val="22"/>
        </w:rPr>
      </w:pPr>
      <w:r>
        <w:rPr>
          <w:sz w:val="22"/>
        </w:rPr>
        <w:t>(v)</w:t>
        <w:tab/>
      </w:r>
      <w:r>
        <w:rPr>
          <w:b/>
          <w:sz w:val="22"/>
        </w:rPr>
        <w:t>Organization.</w:t>
      </w:r>
      <w:r>
        <w:rPr>
          <w:sz w:val="22"/>
        </w:rPr>
        <w:t xml:space="preserve">  Party B is a state or political subdivision thereof, or an instrumentality, agency or department of either of the foregoing.</w:t>
      </w:r>
    </w:p>
    <w:p>
      <w:pPr>
        <w:pStyle w:val="Normal"/>
        <w:widowControl/>
        <w:bidi w:val="0"/>
        <w:ind w:hanging="720" w:start="1440" w:end="0"/>
        <w:jc w:val="both"/>
        <w:rPr>
          <w:sz w:val="22"/>
        </w:rPr>
      </w:pPr>
      <w:r>
        <w:rPr>
          <w:sz w:val="22"/>
        </w:rPr>
      </w:r>
    </w:p>
    <w:p>
      <w:pPr>
        <w:pStyle w:val="Normal"/>
        <w:widowControl/>
        <w:bidi w:val="0"/>
        <w:ind w:hanging="720" w:start="1440" w:end="0"/>
        <w:jc w:val="both"/>
        <w:rPr>
          <w:sz w:val="22"/>
        </w:rPr>
      </w:pPr>
      <w:r>
        <w:rPr>
          <w:sz w:val="22"/>
        </w:rPr>
        <w:t>(vi)</w:t>
        <w:tab/>
      </w:r>
      <w:r>
        <w:rPr>
          <w:b/>
          <w:sz w:val="22"/>
        </w:rPr>
        <w:t>Investment Policies.</w:t>
      </w:r>
      <w:r>
        <w:rPr>
          <w:sz w:val="22"/>
        </w:rPr>
        <w:t xml:space="preserve">  It has clear investment policies, its personnel are fully trained in and knowledgeable of such investment policies, and such investment policies are subject to regular reviews.</w:t>
      </w:r>
    </w:p>
    <w:p>
      <w:pPr>
        <w:pStyle w:val="Normal"/>
        <w:widowControl/>
        <w:bidi w:val="0"/>
        <w:ind w:firstLine="720" w:start="0" w:end="0"/>
        <w:jc w:val="both"/>
        <w:rPr>
          <w:sz w:val="22"/>
        </w:rPr>
      </w:pPr>
      <w:r>
        <w:rPr>
          <w:sz w:val="22"/>
        </w:rPr>
      </w:r>
    </w:p>
    <w:p>
      <w:pPr>
        <w:pStyle w:val="Normal"/>
        <w:widowControl/>
        <w:bidi w:val="0"/>
        <w:ind w:hanging="0" w:start="720" w:end="0"/>
        <w:jc w:val="both"/>
        <w:rPr>
          <w:sz w:val="22"/>
        </w:rPr>
      </w:pPr>
      <w:r>
        <w:rPr>
          <w:sz w:val="22"/>
        </w:rPr>
        <w:t>(g)</w:t>
        <w:tab/>
      </w:r>
      <w:r>
        <w:rPr>
          <w:b/>
          <w:sz w:val="22"/>
        </w:rPr>
        <w:t>Additional Agreements.</w:t>
      </w:r>
      <w:r>
        <w:rPr>
          <w:sz w:val="22"/>
        </w:rPr>
        <w:t xml:space="preserve">  (i) The introductory clause of Section 4 of this Agreement is</w:t>
      </w:r>
    </w:p>
    <w:p>
      <w:pPr>
        <w:pStyle w:val="Normal"/>
        <w:widowControl/>
        <w:bidi w:val="0"/>
        <w:ind w:hanging="0" w:start="0" w:end="0"/>
        <w:jc w:val="both"/>
        <w:rPr>
          <w:sz w:val="22"/>
        </w:rPr>
      </w:pPr>
      <w:r>
        <w:rPr>
          <w:sz w:val="22"/>
        </w:rPr>
        <w:t>hereby amended to read in its entirety as follows: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sz w:val="22"/>
        </w:rPr>
        <w:t>“</w:t>
      </w:r>
      <w:r>
        <w:rPr>
          <w:sz w:val="22"/>
        </w:rPr>
        <w:t>4.</w:t>
        <w:tab/>
      </w:r>
      <w:r>
        <w:rPr>
          <w:b/>
          <w:sz w:val="22"/>
        </w:rPr>
        <w:t>Agreements.</w:t>
      </w:r>
      <w:r>
        <w:rPr>
          <w:sz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(ii)  Section 4 of this Agreement is hereby amended by adding the following Section (f) thereto:</w:t>
      </w:r>
    </w:p>
    <w:p>
      <w:pPr>
        <w:pStyle w:val="Normal"/>
        <w:widowControl/>
        <w:bidi w:val="0"/>
        <w:ind w:hanging="0" w:start="720" w:end="0"/>
        <w:jc w:val="both"/>
        <w:rPr>
          <w:sz w:val="22"/>
        </w:rPr>
      </w:pPr>
      <w:r>
        <w:rPr>
          <w:sz w:val="22"/>
        </w:rPr>
      </w:r>
    </w:p>
    <w:p>
      <w:pPr>
        <w:pStyle w:val="Normal"/>
        <w:widowControl/>
        <w:bidi w:val="0"/>
        <w:ind w:hanging="0" w:start="1440" w:end="0"/>
        <w:jc w:val="both"/>
        <w:rPr>
          <w:sz w:val="22"/>
        </w:rPr>
      </w:pPr>
      <w:r>
        <w:rPr>
          <w:sz w:val="22"/>
        </w:rPr>
        <w:t>“</w:t>
      </w:r>
      <w:r>
        <w:rPr>
          <w:sz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sz w:val="22"/>
        </w:rPr>
        <w:t>(h)</w:t>
        <w:tab/>
      </w:r>
      <w:r>
        <w:rPr>
          <w:b/>
          <w:sz w:val="22"/>
        </w:rPr>
        <w:t>Source of Payments.</w:t>
      </w:r>
      <w:r>
        <w:rPr>
          <w:sz w:val="22"/>
        </w:rPr>
        <w:t xml:space="preserve">  Party B agrees that its obligations hereunder are, and until the </w:t>
      </w:r>
    </w:p>
    <w:p>
      <w:pPr>
        <w:pStyle w:val="Justified"/>
        <w:widowControl/>
        <w:bidi w:val="0"/>
        <w:spacing w:before="0" w:after="0"/>
        <w:rPr>
          <w:rFonts w:ascii="Times New Roman" w:hAnsi="Times New Roman"/>
        </w:rPr>
      </w:pPr>
      <w:r>
        <w:rPr>
          <w:rFonts w:ascii="Times New Roman" w:hAnsi="Times New Roman"/>
        </w:rPr>
        <w:t xml:space="preserve">termination of this Agreement pursuant to the terms hereof shall remain, payable solely out of or from </w:t>
      </w:r>
      <w:r>
        <w:rPr>
          <w:rFonts w:ascii="Times New Roman" w:hAnsi="Times New Roman"/>
          <w:strike/>
        </w:rPr>
        <w:t>[specify source of payments]___________________________________.</w:t>
      </w:r>
      <w:r>
        <w:rPr>
          <w:rFonts w:ascii="Times New Roman" w:hAnsi="Times New Roman"/>
        </w:rPr>
        <w:t xml:space="preserve"> </w:t>
      </w:r>
      <w:r>
        <w:rPr>
          <w:rFonts w:ascii="Times New Roman" w:hAnsi="Times New Roman"/>
          <w:b/>
          <w:u w:val="single"/>
        </w:rPr>
        <w:t>Electric 552 Fund.</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sz w:val="22"/>
        </w:rPr>
        <w:t>(i)</w:t>
        <w:tab/>
      </w:r>
      <w:r>
        <w:rPr>
          <w:b/>
          <w:sz w:val="22"/>
        </w:rPr>
        <w:t>Nature of Obligations.</w:t>
      </w:r>
      <w:r>
        <w:rPr>
          <w:sz w:val="22"/>
        </w:rPr>
        <w:t xml:space="preserve">  The obligations of Party B to make payments to Party A under </w:t>
      </w:r>
    </w:p>
    <w:p>
      <w:pPr>
        <w:pStyle w:val="Normal"/>
        <w:widowControl/>
        <w:bidi w:val="0"/>
        <w:ind w:hanging="0" w:start="0" w:end="0"/>
        <w:jc w:val="both"/>
        <w:rPr>
          <w:sz w:val="22"/>
        </w:rPr>
      </w:pPr>
      <w:r>
        <w:rPr>
          <w:sz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widowControl/>
        <w:bidi w:val="0"/>
        <w:spacing w:lineRule="exact" w:line="240" w:before="240" w:after="0"/>
        <w:ind w:firstLine="720" w:start="0" w:end="0"/>
        <w:jc w:val="both"/>
        <w:rPr>
          <w:sz w:val="22"/>
        </w:rPr>
      </w:pPr>
      <w:r>
        <w:rPr>
          <w:sz w:val="22"/>
        </w:rPr>
        <w:t>(j)</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bidi w:val="0"/>
        <w:spacing w:lineRule="exact" w:line="240" w:before="240" w:after="0"/>
        <w:ind w:firstLine="720" w:start="0" w:end="0"/>
        <w:jc w:val="both"/>
        <w:rPr>
          <w:sz w:val="22"/>
        </w:rPr>
      </w:pPr>
      <w:r>
        <w:rPr>
          <w:sz w:val="22"/>
        </w:rPr>
        <w:t>(k)</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bidi w:val="0"/>
        <w:spacing w:lineRule="exact" w:line="240" w:before="240" w:after="0"/>
        <w:ind w:firstLine="720" w:start="0" w:end="0"/>
        <w:jc w:val="both"/>
        <w:rPr>
          <w:sz w:val="22"/>
        </w:rPr>
      </w:pPr>
      <w:r>
        <w:rPr>
          <w:sz w:val="22"/>
        </w:rPr>
        <w:t>(l)</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bidi w:val="0"/>
        <w:spacing w:lineRule="exact" w:line="240" w:before="240" w:after="0"/>
        <w:ind w:firstLine="720" w:start="0" w:end="0"/>
        <w:jc w:val="both"/>
        <w:rPr>
          <w:sz w:val="22"/>
        </w:rPr>
      </w:pPr>
      <w:r>
        <w:rPr>
          <w:sz w:val="22"/>
        </w:rPr>
        <w:t>(m)</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bidi w:val="0"/>
        <w:spacing w:lineRule="exact" w:line="240" w:before="240" w:after="0"/>
        <w:ind w:firstLine="720" w:start="0" w:end="0"/>
        <w:jc w:val="both"/>
        <w:rPr>
          <w:sz w:val="22"/>
        </w:rPr>
      </w:pPr>
      <w:r>
        <w:rPr>
          <w:sz w:val="22"/>
        </w:rPr>
        <w:t>(n)</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spacing w:lineRule="exact" w:line="240" w:before="240" w:after="0"/>
        <w:ind w:firstLine="720" w:start="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bidi w:val="0"/>
        <w:spacing w:lineRule="exact" w:line="240" w:before="240" w:after="0"/>
        <w:ind w:firstLine="720" w:start="0" w:end="0"/>
        <w:jc w:val="both"/>
        <w:rPr>
          <w:b/>
          <w:sz w:val="22"/>
        </w:rPr>
      </w:pPr>
      <w:r>
        <w:rPr>
          <w:b/>
          <w:sz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widowControl/>
        <w:bidi w:val="0"/>
        <w:spacing w:lineRule="exact" w:line="240" w:before="240" w:after="0"/>
        <w:ind w:firstLine="720" w:start="0" w:end="0"/>
        <w:jc w:val="both"/>
        <w:rPr>
          <w:sz w:val="22"/>
        </w:rPr>
      </w:pPr>
      <w:r>
        <w:rPr>
          <w:sz w:val="22"/>
        </w:rPr>
        <w:t>(p)</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630" w:start="0" w:end="0"/>
        <w:jc w:val="both"/>
        <w:rPr>
          <w:sz w:val="22"/>
        </w:rPr>
      </w:pPr>
      <w:r>
        <w:rPr>
          <w:sz w:val="22"/>
        </w:rPr>
        <w:t>(q)</w:t>
        <w:tab/>
      </w:r>
      <w:r>
        <w:rPr>
          <w:b/>
          <w:sz w:val="22"/>
        </w:rPr>
        <w:t>Transfer.</w:t>
      </w:r>
      <w:r>
        <w:rPr>
          <w:sz w:val="22"/>
        </w:rPr>
        <w:t xml:space="preserve">  Section 7 is hereby amended by adding the following Subsection (c):</w:t>
      </w:r>
    </w:p>
    <w:p>
      <w:pPr>
        <w:pStyle w:val="Normal"/>
        <w:widowControl/>
        <w:bidi w:val="0"/>
        <w:spacing w:lineRule="exact" w:line="240"/>
        <w:ind w:firstLine="630" w:start="0" w:end="0"/>
        <w:jc w:val="both"/>
        <w:rPr>
          <w:sz w:val="22"/>
        </w:rPr>
      </w:pPr>
      <w:r>
        <w:rPr>
          <w:sz w:val="22"/>
        </w:rPr>
      </w:r>
    </w:p>
    <w:p>
      <w:pPr>
        <w:pStyle w:val="Normal"/>
        <w:widowControl/>
        <w:bidi w:val="0"/>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widowControl/>
        <w:bidi w:val="0"/>
        <w:spacing w:lineRule="exact" w:line="240" w:before="240" w:after="0"/>
        <w:ind w:firstLine="720" w:start="0" w:end="0"/>
        <w:jc w:val="both"/>
        <w:rPr>
          <w:sz w:val="22"/>
        </w:rPr>
      </w:pPr>
      <w:r>
        <w:rPr>
          <w:sz w:val="22"/>
        </w:rPr>
        <w:t>(r)</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bidi w:val="0"/>
        <w:spacing w:lineRule="exact" w:line="240" w:before="240" w:after="0"/>
        <w:ind w:firstLine="720" w:start="0" w:end="0"/>
        <w:jc w:val="both"/>
        <w:rPr>
          <w:sz w:val="22"/>
        </w:rPr>
      </w:pPr>
      <w:r>
        <w:rPr>
          <w:sz w:val="22"/>
        </w:rPr>
        <w:t>(s)</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bidi w:val="0"/>
        <w:spacing w:lineRule="exact" w:line="240" w:before="240" w:after="0"/>
        <w:ind w:firstLine="720" w:start="0" w:end="0"/>
        <w:jc w:val="both"/>
        <w:rPr>
          <w:sz w:val="22"/>
        </w:rPr>
      </w:pPr>
      <w:r>
        <w:rPr>
          <w:sz w:val="22"/>
        </w:rPr>
        <w:t xml:space="preserve">(t)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widowControl/>
        <w:bidi w:val="0"/>
        <w:spacing w:lineRule="atLeast" w:line="240" w:before="240" w:after="0"/>
        <w:ind w:firstLine="720" w:start="0" w:end="0"/>
        <w:jc w:val="both"/>
        <w:rPr>
          <w:sz w:val="22"/>
        </w:rPr>
      </w:pPr>
      <w:r>
        <w:rPr>
          <w:sz w:val="22"/>
        </w:rPr>
        <w:t>(u)</w:t>
        <w:tab/>
      </w:r>
      <w:r>
        <w:rPr>
          <w:b/>
          <w:sz w:val="22"/>
        </w:rPr>
        <w:t>Additional Definitions</w:t>
      </w:r>
      <w:r>
        <w:rPr>
          <w:sz w:val="22"/>
        </w:rPr>
        <w:t>.  Section 14 of the Agreement is hereby amended by adding the following definitions:</w:t>
      </w:r>
    </w:p>
    <w:p>
      <w:pPr>
        <w:pStyle w:val="Normal"/>
        <w:widowControl/>
        <w:bidi w:val="0"/>
        <w:spacing w:lineRule="exact" w:line="240"/>
        <w:ind w:hanging="720" w:start="1440" w:end="0"/>
        <w:jc w:val="both"/>
        <w:rPr>
          <w:sz w:val="22"/>
        </w:rPr>
      </w:pPr>
      <w:r>
        <w:rPr>
          <w:sz w:val="22"/>
        </w:rPr>
      </w:r>
    </w:p>
    <w:p>
      <w:pPr>
        <w:pStyle w:val="Normal"/>
        <w:widowControl/>
        <w:tabs>
          <w:tab w:val="clear" w:pos="720"/>
          <w:tab w:val="left" w:pos="1440" w:leader="none"/>
        </w:tabs>
        <w:bidi w:val="0"/>
        <w:spacing w:lineRule="exact" w:line="240"/>
        <w:ind w:hanging="720" w:start="1440" w:end="0"/>
        <w:jc w:val="both"/>
        <w:rPr>
          <w:b/>
          <w:sz w:val="22"/>
        </w:rPr>
      </w:pPr>
      <w:r>
        <w:rPr>
          <w:b/>
          <w:sz w:val="22"/>
        </w:rPr>
        <w:t>(i)</w:t>
        <w:tab/>
        <w:t>“Authorizing Law”</w:t>
      </w:r>
      <w:r>
        <w:rPr>
          <w:sz w:val="22"/>
        </w:rPr>
        <w:t xml:space="preserve"> means </w:t>
      </w:r>
      <w:r>
        <w:rPr>
          <w:strike/>
          <w:sz w:val="22"/>
        </w:rPr>
        <w:t>[specify any statute(s) authorizing Party B to enter into the Swap Agreement and related documents, and to pledge revenues hereunder and thereunder_______________________________.]</w:t>
      </w:r>
      <w:r>
        <w:rPr>
          <w:sz w:val="22"/>
        </w:rPr>
        <w:t xml:space="preserve"> </w:t>
      </w:r>
      <w:r>
        <w:rPr>
          <w:b/>
          <w:sz w:val="22"/>
          <w:u w:val="single"/>
        </w:rPr>
        <w:t>the Charter of the City of Glendale, Glendale Municipal Code, 1995, Council Motion dated March 6, 2001, Resolution 01-86, dated May 15, 2001.</w:t>
      </w:r>
    </w:p>
    <w:p>
      <w:pPr>
        <w:pStyle w:val="Normal"/>
        <w:widowControl/>
        <w:bidi w:val="0"/>
        <w:spacing w:lineRule="exact" w:line="240"/>
        <w:ind w:hanging="0" w:start="720" w:end="0"/>
        <w:jc w:val="both"/>
        <w:rPr>
          <w:b/>
          <w:sz w:val="22"/>
        </w:rPr>
      </w:pPr>
      <w:r>
        <w:rPr>
          <w:b/>
          <w:sz w:val="22"/>
        </w:rPr>
      </w:r>
    </w:p>
    <w:p>
      <w:pPr>
        <w:pStyle w:val="Normal"/>
        <w:widowControl/>
        <w:tabs>
          <w:tab w:val="clear" w:pos="720"/>
          <w:tab w:val="left" w:pos="1440" w:leader="none"/>
        </w:tabs>
        <w:bidi w:val="0"/>
        <w:spacing w:lineRule="exact" w:line="240"/>
        <w:ind w:hanging="720" w:start="1440" w:end="0"/>
        <w:jc w:val="both"/>
        <w:rPr>
          <w:b/>
          <w:sz w:val="22"/>
        </w:rPr>
      </w:pPr>
      <w:r>
        <w:rPr>
          <w:b/>
          <w:sz w:val="22"/>
        </w:rPr>
        <w:t>(ii)</w:t>
        <w:tab/>
        <w:t xml:space="preserve">“Incipient Illegality” </w:t>
      </w:r>
      <w:r>
        <w:rPr>
          <w:sz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widowControl/>
        <w:bidi w:val="0"/>
        <w:spacing w:lineRule="exact" w:line="240"/>
        <w:ind w:hanging="0" w:start="0" w:end="0"/>
        <w:jc w:val="both"/>
        <w:rPr>
          <w:b/>
          <w:sz w:val="22"/>
        </w:rPr>
      </w:pPr>
      <w:r>
        <w:rPr>
          <w:b/>
          <w:sz w:val="22"/>
        </w:rPr>
      </w:r>
    </w:p>
    <w:p>
      <w:pPr>
        <w:pStyle w:val="Normal"/>
        <w:widowControl/>
        <w:bidi w:val="0"/>
        <w:spacing w:lineRule="exact" w:line="240"/>
        <w:ind w:hanging="0" w:start="0" w:end="0"/>
        <w:jc w:val="both"/>
        <w:rPr>
          <w:b/>
          <w:sz w:val="22"/>
        </w:rPr>
      </w:pPr>
      <w:r>
        <w:rPr>
          <w:b/>
          <w:sz w:val="22"/>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widowControl/>
        <w:bidi w:val="0"/>
        <w:ind w:firstLine="720" w:start="0" w:end="0"/>
        <w:jc w:val="both"/>
        <w:rPr>
          <w:sz w:val="22"/>
        </w:rPr>
      </w:pPr>
      <w:r>
        <w:rPr>
          <w:sz w:val="22"/>
        </w:rPr>
      </w:r>
    </w:p>
    <w:p>
      <w:pPr>
        <w:pStyle w:val="Normal"/>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end="0"/>
        <w:jc w:val="both"/>
        <w:rPr>
          <w:sz w:val="22"/>
        </w:rPr>
      </w:pPr>
      <w:r>
        <w:rPr>
          <w:sz w:val="22"/>
        </w:rPr>
      </w:r>
    </w:p>
    <w:p>
      <w:pPr>
        <w:pStyle w:val="Normal"/>
        <w:widowControl/>
        <w:bidi w:val="0"/>
        <w:ind w:firstLine="720" w:start="0" w:end="0"/>
        <w:jc w:val="both"/>
        <w:rPr>
          <w:sz w:val="22"/>
        </w:rPr>
      </w:pPr>
      <w:r>
        <w:rPr>
          <w:sz w:val="22"/>
        </w:rPr>
        <w:t>(d)</w:t>
        <w:tab/>
        <w:t>Section 7.5(e) of the Commodity Definitions is hereby deleted.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(e)</w:t>
        <w:tab/>
        <w:t>“Additional Market Disruption Events” shall apply only if so specified in the relevant Confirmation.</w:t>
      </w:r>
    </w:p>
    <w:p>
      <w:pPr>
        <w:pStyle w:val="Normal"/>
        <w:widowControl/>
        <w:bidi w:val="0"/>
        <w:ind w:firstLine="720" w:start="0" w:end="0"/>
        <w:jc w:val="both"/>
        <w:rPr>
          <w:sz w:val="22"/>
        </w:rPr>
      </w:pPr>
      <w:r>
        <w:rPr>
          <w:sz w:val="22"/>
        </w:rPr>
      </w:r>
    </w:p>
    <w:p>
      <w:pPr>
        <w:pStyle w:val="BodyTextIndent2"/>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bidi w:val="0"/>
        <w:ind w:hanging="0" w:start="0" w:end="0"/>
        <w:jc w:val="both"/>
        <w:rPr>
          <w:sz w:val="22"/>
        </w:rPr>
      </w:pPr>
      <w:r>
        <w:rPr>
          <w:sz w:val="22"/>
        </w:rPr>
      </w:r>
    </w:p>
    <w:p>
      <w:pPr>
        <w:pStyle w:val="BlockText"/>
        <w:widowControl/>
        <w:bidi w:val="0"/>
        <w:ind w:hanging="720" w:start="1440" w:end="720"/>
        <w:rPr>
          <w:rFonts w:ascii="Times New Roman" w:hAnsi="Times New Roman"/>
        </w:rPr>
      </w:pPr>
      <w:r>
        <w:rPr/>
        <w:t>(i)</w:t>
        <w:tab/>
        <w:t>“Postponement”, with three (3) Commodity Business Days as the Maximum Days of Disruption;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(iii)</w:t>
        <w:tab/>
        <w:t>“Negotiated Fallback” (provided that the reference in Section 7.5(c)(ii) to “fifth Business Day” shall be amended to be “twelfth Business Day”); and</w:t>
      </w:r>
    </w:p>
    <w:p>
      <w:pPr>
        <w:pStyle w:val="Normal"/>
        <w:widowControl/>
        <w:bidi w:val="0"/>
        <w:ind w:hanging="720" w:start="1440" w:end="720"/>
        <w:jc w:val="both"/>
        <w:rPr>
          <w:sz w:val="22"/>
        </w:rPr>
      </w:pPr>
      <w:r>
        <w:rPr>
          <w:sz w:val="22"/>
        </w:rPr>
      </w:r>
    </w:p>
    <w:p>
      <w:pPr>
        <w:pStyle w:val="Normal"/>
        <w:widowControl/>
        <w:bidi w:val="0"/>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bidi w:val="0"/>
        <w:spacing w:before="0" w:after="0"/>
        <w:rPr>
          <w:rFonts w:ascii="Times New Roman" w:hAnsi="Times New Roman"/>
        </w:rPr>
      </w:pPr>
      <w:r>
        <w:rPr>
          <w:rFonts w:ascii="Times New Roman" w:hAnsi="Times New Roman"/>
        </w:rPr>
      </w:r>
    </w:p>
    <w:p>
      <w:pPr>
        <w:pStyle w:val="Justified"/>
        <w:widowControl/>
        <w:bidi w:val="0"/>
        <w:spacing w:before="0" w:after="0"/>
        <w:rPr>
          <w:rFonts w:ascii="Times New Roman" w:hAnsi="Times New Roman"/>
        </w:rPr>
      </w:pPr>
      <w:r>
        <w:rPr>
          <w:rFonts w:ascii="Times New Roman" w:hAnsi="Times New Roman"/>
        </w:rPr>
        <w:t>EXECUTED effective as of the date first written above.</w:t>
      </w:r>
    </w:p>
    <w:p>
      <w:pPr>
        <w:pStyle w:val="Normal"/>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widowControl/>
              <w:tabs>
                <w:tab w:val="clear" w:pos="720"/>
              </w:tabs>
              <w:bidi w:val="0"/>
              <w:spacing w:lineRule="exact" w:line="240"/>
              <w:ind w:hanging="0" w:start="0" w:end="0"/>
              <w:jc w:val="both"/>
              <w:rPr>
                <w:sz w:val="22"/>
              </w:rPr>
            </w:pPr>
            <w:r>
              <w:rPr>
                <w:b/>
                <w:sz w:val="22"/>
              </w:rPr>
              <w:t>ENRON NORTH AMERICA CORP.</w:t>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b/>
                <w:sz w:val="22"/>
              </w:rPr>
            </w:pPr>
            <w:r>
              <w:rPr>
                <w:b/>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Heading4"/>
              <w:widowControl/>
              <w:numPr>
                <w:ilvl w:val="0"/>
                <w:numId w:val="0"/>
              </w:numPr>
              <w:tabs>
                <w:tab w:val="clear" w:pos="1080"/>
              </w:tabs>
              <w:bidi w:val="0"/>
              <w:spacing w:lineRule="exact" w:line="240"/>
              <w:ind w:hanging="0" w:start="0"/>
              <w:outlineLvl w:val="3"/>
              <w:rPr>
                <w:rFonts w:ascii="Times New Roman" w:hAnsi="Times New Roman"/>
              </w:rPr>
            </w:pPr>
            <w:r>
              <w:rPr/>
              <w:t>CITY OF GLENDALE</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Title:</w:t>
              <w:tab/>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r>
    </w:tbl>
    <w:p>
      <w:pPr>
        <w:pStyle w:val="Normal"/>
        <w:widowControl/>
        <w:tabs>
          <w:tab w:val="clear" w:pos="720"/>
          <w:tab w:val="left" w:pos="2880" w:leader="none"/>
        </w:tabs>
        <w:bidi w:val="0"/>
        <w:spacing w:lineRule="exact" w:line="240"/>
        <w:ind w:hanging="0" w:start="0" w:end="0"/>
        <w:jc w:val="both"/>
        <w:rPr>
          <w:sz w:val="22"/>
        </w:rPr>
      </w:pPr>
      <w:r>
        <w:rPr>
          <w:sz w:val="22"/>
        </w:rPr>
      </w:r>
    </w:p>
    <w:p>
      <w:pPr>
        <w:pStyle w:val="Normal"/>
        <w:widowControl/>
        <w:tabs>
          <w:tab w:val="clear" w:pos="720"/>
          <w:tab w:val="left" w:pos="2700" w:leader="none"/>
        </w:tabs>
        <w:bidi w:val="0"/>
        <w:spacing w:lineRule="exact" w:line="240"/>
        <w:ind w:hanging="3060" w:start="3060" w:end="0"/>
        <w:jc w:val="both"/>
        <w:rPr>
          <w:sz w:val="22"/>
        </w:rPr>
      </w:pPr>
      <w:r>
        <w:rPr>
          <w:sz w:val="22"/>
        </w:rPr>
        <w:t>ATTACHMENT 1</w:t>
        <w:tab/>
        <w:t>FORM OF LEGAL OPINION (PARTY B)</w:t>
      </w:r>
    </w:p>
    <w:p>
      <w:pPr>
        <w:pStyle w:val="Normal"/>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bidi w:val="0"/>
        <w:spacing w:lineRule="exact" w:line="240"/>
        <w:ind w:hanging="3060" w:start="3060" w:end="0"/>
        <w:jc w:val="both"/>
        <w:rPr>
          <w:sz w:val="22"/>
        </w:rPr>
      </w:pPr>
      <w:r>
        <w:rPr>
          <w:sz w:val="22"/>
        </w:rPr>
        <w:t>SCHEDULE 1</w:t>
        <w:tab/>
        <w:t>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0"/>
        </w:sectPr>
        <w:pStyle w:val="Normal"/>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pStyle w:val="Normal"/>
        <w:widowControl/>
        <w:bidi w:val="0"/>
        <w:ind w:hanging="0" w:start="0" w:end="0"/>
        <w:jc w:val="center"/>
        <w:rPr>
          <w:sz w:val="22"/>
        </w:rPr>
      </w:pPr>
      <w:r>
        <w:rPr>
          <w:sz w:val="22"/>
        </w:rPr>
        <w:t>ATTACHMENT 1</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sz w:val="22"/>
        </w:rPr>
        <w:t>LEGAL OPINION</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sz w:val="22"/>
        </w:rPr>
      </w:r>
    </w:p>
    <w:p>
      <w:pPr>
        <w:pStyle w:val="Normal"/>
        <w:widowControl/>
        <w:bidi w:val="0"/>
        <w:spacing w:before="0" w:after="720"/>
        <w:ind w:hanging="0" w:start="0" w:end="0"/>
        <w:jc w:val="center"/>
        <w:rPr>
          <w:sz w:val="22"/>
        </w:rPr>
      </w:pPr>
      <w:r>
        <w:rPr>
          <w:sz w:val="22"/>
        </w:rPr>
        <w:t>[Letterhead of Counterparty’s Outside Legal Counsel]</w:t>
      </w:r>
    </w:p>
    <w:p>
      <w:pPr>
        <w:pStyle w:val="Normal"/>
        <w:widowControl/>
        <w:bidi w:val="0"/>
        <w:spacing w:before="0" w:after="720"/>
        <w:ind w:hanging="0" w:start="0" w:end="0"/>
        <w:jc w:val="center"/>
        <w:rPr>
          <w:sz w:val="22"/>
        </w:rPr>
      </w:pPr>
      <w:r>
        <w:rPr>
          <w:sz w:val="22"/>
        </w:rPr>
        <w:t>[Date]</w:t>
      </w:r>
    </w:p>
    <w:p>
      <w:pPr>
        <w:pStyle w:val="Normal"/>
        <w:widowControl/>
        <w:bidi w:val="0"/>
        <w:ind w:hanging="0" w:start="0" w:end="0"/>
        <w:jc w:val="start"/>
        <w:rPr>
          <w:sz w:val="22"/>
        </w:rPr>
      </w:pPr>
      <w:r>
        <w:rPr>
          <w:sz w:val="22"/>
        </w:rPr>
        <w:t>Enron North America Corp.</w:t>
      </w:r>
    </w:p>
    <w:p>
      <w:pPr>
        <w:pStyle w:val="Normal"/>
        <w:widowControl/>
        <w:bidi w:val="0"/>
        <w:ind w:hanging="0" w:start="0" w:end="0"/>
        <w:jc w:val="start"/>
        <w:rPr>
          <w:sz w:val="22"/>
        </w:rPr>
      </w:pPr>
      <w:r>
        <w:rPr>
          <w:sz w:val="22"/>
        </w:rPr>
        <w:t>1400 Smith Street</w:t>
      </w:r>
    </w:p>
    <w:p>
      <w:pPr>
        <w:pStyle w:val="Normal"/>
        <w:widowControl/>
        <w:bidi w:val="0"/>
        <w:spacing w:before="0" w:after="240"/>
        <w:ind w:hanging="0" w:start="0" w:end="0"/>
        <w:jc w:val="start"/>
        <w:rPr>
          <w:sz w:val="22"/>
        </w:rPr>
      </w:pPr>
      <w:r>
        <w:rPr>
          <w:sz w:val="22"/>
        </w:rPr>
        <w:t>Houston, Texas  77002</w:t>
      </w:r>
    </w:p>
    <w:p>
      <w:pPr>
        <w:pStyle w:val="Normal"/>
        <w:widowControl/>
        <w:bidi w:val="0"/>
        <w:spacing w:before="0" w:after="240"/>
        <w:ind w:hanging="720" w:start="2160" w:end="0"/>
        <w:jc w:val="start"/>
        <w:rPr>
          <w:sz w:val="22"/>
        </w:rPr>
      </w:pPr>
      <w:r>
        <w:rPr>
          <w:sz w:val="22"/>
        </w:rPr>
        <w:t>Re:</w:t>
        <w:tab/>
        <w:t>Master Agreement between Enron North America Corp. (“Enron”) and City of Glendale, California (“Counterparty”)</w:t>
      </w:r>
    </w:p>
    <w:p>
      <w:pPr>
        <w:pStyle w:val="Normal"/>
        <w:widowControl/>
        <w:bidi w:val="0"/>
        <w:spacing w:before="0" w:after="240"/>
        <w:ind w:hanging="0" w:start="0" w:end="0"/>
        <w:jc w:val="start"/>
        <w:rPr>
          <w:sz w:val="22"/>
        </w:rPr>
      </w:pPr>
      <w:r>
        <w:rPr>
          <w:sz w:val="22"/>
        </w:rPr>
        <w:t>Ladies and Gentlemen:</w:t>
      </w:r>
    </w:p>
    <w:p>
      <w:pPr>
        <w:pStyle w:val="Normal"/>
        <w:widowControl/>
        <w:bidi w:val="0"/>
        <w:spacing w:before="0" w:after="240"/>
        <w:ind w:firstLine="1440" w:start="0" w:end="0"/>
        <w:jc w:val="both"/>
        <w:rPr>
          <w:sz w:val="22"/>
        </w:rPr>
      </w:pPr>
      <w:r>
        <w:rPr>
          <w:sz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widowControl/>
        <w:bidi w:val="0"/>
        <w:spacing w:before="0" w:after="240"/>
        <w:ind w:firstLine="1440" w:start="0" w:end="0"/>
        <w:jc w:val="both"/>
        <w:rPr>
          <w:sz w:val="22"/>
        </w:rPr>
      </w:pPr>
      <w:r>
        <w:rPr>
          <w:sz w:val="22"/>
        </w:rPr>
        <w:t>Based upon the foregoing, we are of the opinion that:</w:t>
      </w:r>
    </w:p>
    <w:p>
      <w:pPr>
        <w:pStyle w:val="Normal"/>
        <w:widowControl/>
        <w:bidi w:val="0"/>
        <w:spacing w:before="0" w:after="240"/>
        <w:ind w:firstLine="1440" w:start="0" w:end="0"/>
        <w:jc w:val="both"/>
        <w:rPr>
          <w:sz w:val="22"/>
        </w:rPr>
      </w:pPr>
      <w:r>
        <w:rPr>
          <w:sz w:val="22"/>
        </w:rPr>
        <w:t>1.</w:t>
        <w:tab/>
        <w:t>Counterparty is duly organized, validly existing, and in good standing under the constitution and laws of the Relevant Jurisdiction.</w:t>
      </w:r>
    </w:p>
    <w:p>
      <w:pPr>
        <w:pStyle w:val="Normal"/>
        <w:widowControl/>
        <w:bidi w:val="0"/>
        <w:spacing w:before="0" w:after="240"/>
        <w:ind w:firstLine="1440" w:start="0" w:end="0"/>
        <w:jc w:val="both"/>
        <w:rPr>
          <w:sz w:val="22"/>
        </w:rPr>
      </w:pPr>
      <w:r>
        <w:rPr>
          <w:sz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widowControl/>
        <w:bidi w:val="0"/>
        <w:spacing w:before="0" w:after="240"/>
        <w:ind w:firstLine="1440" w:start="0" w:end="0"/>
        <w:jc w:val="both"/>
        <w:rPr>
          <w:sz w:val="22"/>
        </w:rPr>
      </w:pPr>
      <w:r>
        <w:rPr>
          <w:sz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widowControl/>
        <w:bidi w:val="0"/>
        <w:spacing w:before="0" w:after="240"/>
        <w:ind w:firstLine="1440" w:start="0" w:end="0"/>
        <w:jc w:val="both"/>
        <w:rPr>
          <w:sz w:val="22"/>
        </w:rPr>
      </w:pPr>
      <w:r>
        <w:rPr>
          <w:sz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widowControl/>
        <w:bidi w:val="0"/>
        <w:spacing w:before="0" w:after="240"/>
        <w:ind w:firstLine="1440" w:start="0" w:end="0"/>
        <w:jc w:val="both"/>
        <w:rPr>
          <w:sz w:val="22"/>
        </w:rPr>
      </w:pPr>
      <w:r>
        <w:rPr>
          <w:sz w:val="22"/>
        </w:rPr>
        <w:t>5.</w:t>
        <w:tab/>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widowControl/>
        <w:bidi w:val="0"/>
        <w:spacing w:before="0" w:after="240"/>
        <w:ind w:firstLine="1440" w:start="0" w:end="0"/>
        <w:jc w:val="both"/>
        <w:rPr>
          <w:sz w:val="22"/>
        </w:rPr>
      </w:pPr>
      <w:r>
        <w:rPr>
          <w:sz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widowControl/>
        <w:bidi w:val="0"/>
        <w:spacing w:before="0" w:after="240"/>
        <w:ind w:firstLine="1440" w:start="0" w:end="0"/>
        <w:jc w:val="both"/>
        <w:rPr>
          <w:sz w:val="22"/>
        </w:rPr>
      </w:pPr>
      <w:r>
        <w:rPr>
          <w:sz w:val="22"/>
        </w:rPr>
        <w:t>7.</w:t>
        <w:tab/>
        <w:t>Counterparty is an “eligible swap participant” as defined in the Part 35 Regulations of the U.S. Commodity Futures Trading Commission.</w:t>
      </w:r>
    </w:p>
    <w:p>
      <w:pPr>
        <w:pStyle w:val="Normal"/>
        <w:widowControl/>
        <w:bidi w:val="0"/>
        <w:spacing w:before="0" w:after="240"/>
        <w:ind w:firstLine="1440" w:start="0" w:end="0"/>
        <w:jc w:val="both"/>
        <w:rPr>
          <w:sz w:val="22"/>
        </w:rPr>
      </w:pPr>
      <w:r>
        <w:rPr>
          <w:sz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widowControl/>
        <w:bidi w:val="0"/>
        <w:spacing w:before="0" w:after="240"/>
        <w:ind w:firstLine="1440" w:start="0" w:end="0"/>
        <w:jc w:val="both"/>
        <w:rPr>
          <w:sz w:val="22"/>
        </w:rPr>
      </w:pPr>
      <w:r>
        <w:rPr>
          <w:sz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widowControl/>
        <w:bidi w:val="0"/>
        <w:spacing w:before="0" w:after="240"/>
        <w:ind w:firstLine="1440" w:start="0" w:end="0"/>
        <w:jc w:val="both"/>
        <w:rPr>
          <w:sz w:val="22"/>
        </w:rPr>
      </w:pPr>
      <w:r>
        <w:rPr>
          <w:sz w:val="22"/>
        </w:rPr>
        <w:t>10.</w:t>
        <w:tab/>
        <w:t>No person, firm, corporation, entity, or association other than Counterparty may liquidate, borrow, encumber, or otherwise utilize the assets [(including, without limitation, the assets identified in [</w:t>
      </w:r>
      <w:r>
        <w:rPr>
          <w:i/>
          <w:sz w:val="22"/>
        </w:rPr>
        <w:t>[track language regarding assets of Party B in Schedule</w:t>
      </w:r>
      <w:r>
        <w:rPr>
          <w:sz w:val="22"/>
        </w:rPr>
        <w:t>)] of Counterparty.</w:t>
      </w:r>
    </w:p>
    <w:p>
      <w:pPr>
        <w:pStyle w:val="Normal"/>
        <w:widowControl/>
        <w:bidi w:val="0"/>
        <w:spacing w:before="0" w:after="240"/>
        <w:ind w:firstLine="1440" w:start="0" w:end="0"/>
        <w:jc w:val="both"/>
        <w:rPr>
          <w:sz w:val="22"/>
        </w:rPr>
      </w:pPr>
      <w:r>
        <w:rPr>
          <w:sz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widowControl/>
        <w:bidi w:val="0"/>
        <w:spacing w:before="0" w:after="240"/>
        <w:ind w:firstLine="1440" w:start="0" w:end="0"/>
        <w:jc w:val="both"/>
        <w:rPr>
          <w:sz w:val="22"/>
        </w:rPr>
      </w:pPr>
      <w:r>
        <w:rPr>
          <w:sz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widowControl/>
        <w:bidi w:val="0"/>
        <w:spacing w:before="0" w:after="240"/>
        <w:ind w:firstLine="1440" w:start="0" w:end="0"/>
        <w:jc w:val="both"/>
        <w:rPr>
          <w:sz w:val="22"/>
        </w:rPr>
      </w:pPr>
      <w:r>
        <w:rPr>
          <w:sz w:val="22"/>
        </w:rPr>
        <w:t>13.</w:t>
        <w:tab/>
        <w:t xml:space="preserve">Counterparty’s obligations under the Agreement are, and until the termination of this Agreement pursuant to the terms hereof shall remain, </w:t>
      </w:r>
      <w:r>
        <w:rPr>
          <w:i/>
          <w:sz w:val="22"/>
        </w:rPr>
        <w:t>[track language regarding source of payments in Schedule]</w:t>
      </w:r>
      <w:r>
        <w:rPr>
          <w:sz w:val="22"/>
        </w:rPr>
        <w:t>.</w:t>
      </w:r>
    </w:p>
    <w:p>
      <w:pPr>
        <w:pStyle w:val="Normal"/>
        <w:widowControl/>
        <w:bidi w:val="0"/>
        <w:spacing w:before="0" w:after="240"/>
        <w:ind w:firstLine="1440" w:start="0" w:end="0"/>
        <w:jc w:val="both"/>
        <w:rPr>
          <w:sz w:val="22"/>
        </w:rPr>
      </w:pPr>
      <w:r>
        <w:rPr>
          <w:sz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widowControl/>
        <w:bidi w:val="0"/>
        <w:spacing w:before="0" w:after="240"/>
        <w:ind w:firstLine="1440" w:start="0" w:end="0"/>
        <w:jc w:val="both"/>
        <w:rPr>
          <w:sz w:val="22"/>
        </w:rPr>
      </w:pPr>
      <w:r>
        <w:rPr>
          <w:sz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835" w:bottom="1440"/>
          <w:pgNumType w:start="1" w:fmt="decimal"/>
          <w:formProt w:val="false"/>
          <w:textDirection w:val="lrTb"/>
          <w:docGrid w:type="default" w:linePitch="100" w:charSpace="0"/>
        </w:sectPr>
        <w:pStyle w:val="Normal"/>
        <w:widowControl/>
        <w:bidi w:val="0"/>
        <w:spacing w:before="0" w:after="240"/>
        <w:ind w:hanging="0" w:start="4320" w:end="0"/>
        <w:jc w:val="start"/>
        <w:rPr>
          <w:sz w:val="22"/>
        </w:rPr>
      </w:pPr>
      <w:r>
        <w:rPr>
          <w:sz w:val="22"/>
        </w:rPr>
        <w:t>Very truly yours,</w:t>
      </w:r>
    </w:p>
    <w:p>
      <w:pPr>
        <w:pStyle w:val="Normal"/>
        <w:widowControl/>
        <w:bidi w:val="0"/>
        <w:ind w:hanging="0" w:start="0" w:end="0"/>
        <w:jc w:val="end"/>
        <w:rPr>
          <w:b/>
          <w:sz w:val="22"/>
          <w:u w:val="single"/>
        </w:rPr>
      </w:pPr>
      <w:r>
        <w:rPr>
          <w:b/>
          <w:sz w:val="22"/>
          <w:u w:val="single"/>
        </w:rPr>
        <w:t>DRAFT OF 02/09/2001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u w:val="single"/>
        </w:rPr>
      </w:pPr>
      <w:r>
        <w:rPr>
          <w:b/>
          <w:sz w:val="22"/>
          <w:u w:val="single"/>
        </w:rPr>
        <w:t>PARAGRAPH 13</w:t>
      </w:r>
    </w:p>
    <w:p>
      <w:pPr>
        <w:pStyle w:val="Normal"/>
        <w:widowControl/>
        <w:bidi w:val="0"/>
        <w:ind w:hanging="0" w:start="0" w:end="0"/>
        <w:jc w:val="center"/>
        <w:rPr>
          <w:b/>
          <w:sz w:val="22"/>
        </w:rPr>
      </w:pPr>
      <w:r>
        <w:rPr>
          <w:b/>
          <w:sz w:val="22"/>
        </w:rPr>
        <w:t>to the</w:t>
      </w:r>
    </w:p>
    <w:p>
      <w:pPr>
        <w:pStyle w:val="Normal"/>
        <w:widowControl/>
        <w:bidi w:val="0"/>
        <w:ind w:hanging="0" w:start="0" w:end="0"/>
        <w:jc w:val="center"/>
        <w:rPr>
          <w:b/>
          <w:sz w:val="22"/>
        </w:rPr>
      </w:pPr>
      <w:r>
        <w:rPr>
          <w:b/>
          <w:sz w:val="22"/>
        </w:rPr>
        <w:t>ISDA CREDIT SUPPORT ANNEX</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dated as of _________________, 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b/>
                <w:sz w:val="22"/>
              </w:rPr>
              <w:t xml:space="preserve">CITY OF GLENDALE, a </w:t>
            </w:r>
            <w:r>
              <w:rPr>
                <w:b/>
                <w:strike/>
                <w:sz w:val="22"/>
              </w:rPr>
              <w:t>_____________</w:t>
            </w:r>
            <w:r>
              <w:rPr>
                <w:b/>
                <w:sz w:val="22"/>
                <w:u w:val="single"/>
              </w:rPr>
              <w:t>municipal corporation</w:t>
            </w:r>
            <w:r>
              <w:rPr>
                <w:b/>
                <w:sz w:val="22"/>
              </w:rPr>
              <w:t xml:space="preserve"> organized under the law of the State of California (“Party B”)</w:t>
            </w:r>
          </w:p>
          <w:p>
            <w:pPr>
              <w:pStyle w:val="Normal"/>
              <w:widowControl/>
              <w:tabs>
                <w:tab w:val="clear" w:pos="720"/>
                <w:tab w:val="center" w:pos="5760" w:leader="none"/>
              </w:tabs>
              <w:bidi w:val="0"/>
              <w:spacing w:before="240" w:after="0"/>
              <w:ind w:hanging="0" w:start="0" w:end="0"/>
              <w:jc w:val="center"/>
              <w:rPr>
                <w:b/>
                <w:color w:val="7F7F00"/>
                <w:sz w:val="22"/>
              </w:rPr>
            </w:pPr>
            <w:r>
              <w:rPr>
                <w:b/>
                <w:color w:val="7F7F00"/>
                <w:sz w:val="22"/>
              </w:rPr>
            </w:r>
          </w:p>
        </w:tc>
      </w:tr>
    </w:tbl>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b/>
          <w:sz w:val="22"/>
        </w:rPr>
        <w:t>Paragraph 13.  Elections and Variables.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bidi w:val="0"/>
        <w:ind w:hanging="360" w:start="360" w:end="0"/>
        <w:jc w:val="both"/>
        <w:rPr>
          <w:sz w:val="22"/>
        </w:rPr>
      </w:pPr>
      <w:r>
        <w:rPr>
          <w:sz w:val="22"/>
        </w:rPr>
      </w:r>
    </w:p>
    <w:p>
      <w:pPr>
        <w:pStyle w:val="Normal"/>
        <w:widowControl/>
        <w:bidi w:val="0"/>
        <w:ind w:hanging="0" w:start="630" w:end="0"/>
        <w:jc w:val="both"/>
        <w:rPr>
          <w:sz w:val="22"/>
        </w:rPr>
      </w:pPr>
      <w:r>
        <w:rPr>
          <w:sz w:val="22"/>
        </w:rPr>
        <w:t>With respect to Party A:  None.</w:t>
      </w:r>
    </w:p>
    <w:p>
      <w:pPr>
        <w:pStyle w:val="Normal"/>
        <w:widowControl/>
        <w:bidi w:val="0"/>
        <w:ind w:hanging="0" w:start="630" w:end="0"/>
        <w:jc w:val="both"/>
        <w:rPr>
          <w:sz w:val="22"/>
        </w:rPr>
      </w:pPr>
      <w:r>
        <w:rPr>
          <w:sz w:val="22"/>
        </w:rPr>
      </w:r>
    </w:p>
    <w:p>
      <w:pPr>
        <w:pStyle w:val="Normal"/>
        <w:widowControl/>
        <w:bidi w:val="0"/>
        <w:ind w:hanging="0" w:start="630" w:end="0"/>
        <w:jc w:val="both"/>
        <w:rPr>
          <w:sz w:val="22"/>
        </w:rPr>
      </w:pPr>
      <w:r>
        <w:rPr>
          <w:sz w:val="22"/>
        </w:rPr>
        <w:t>With respect to Party B:  None.</w:t>
      </w:r>
    </w:p>
    <w:p>
      <w:pPr>
        <w:pStyle w:val="Normal"/>
        <w:widowControl/>
        <w:bidi w:val="0"/>
        <w:ind w:hanging="720" w:start="720" w:end="0"/>
        <w:jc w:val="both"/>
        <w:rPr>
          <w:sz w:val="22"/>
        </w:rPr>
      </w:pPr>
      <w:r>
        <w:rPr>
          <w:sz w:val="22"/>
        </w:rPr>
      </w:r>
    </w:p>
    <w:p>
      <w:pPr>
        <w:pStyle w:val="Normal"/>
        <w:widowControl/>
        <w:bidi w:val="0"/>
        <w:ind w:hanging="360" w:start="360" w:end="0"/>
        <w:jc w:val="both"/>
        <w:rPr>
          <w:b/>
          <w:sz w:val="22"/>
        </w:rPr>
      </w:pPr>
      <w:r>
        <w:rPr>
          <w:sz w:val="22"/>
        </w:rPr>
        <w:t>(b)</w:t>
        <w:tab/>
      </w:r>
      <w:r>
        <w:rPr>
          <w:b/>
          <w:sz w:val="22"/>
        </w:rPr>
        <w:t>Credit Support Obligations.</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Delivery Amount, Return Amount, and Credit Support Amount.</w:t>
      </w:r>
    </w:p>
    <w:p>
      <w:pPr>
        <w:pStyle w:val="Normal"/>
        <w:widowControl/>
        <w:bidi w:val="0"/>
        <w:ind w:hanging="1260" w:start="144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tabs>
          <w:tab w:val="clear" w:pos="720"/>
          <w:tab w:val="left" w:pos="1080" w:leader="none"/>
        </w:tabs>
        <w:bidi w:val="0"/>
        <w:ind w:hanging="0" w:start="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widowControl/>
              <w:tabs>
                <w:tab w:val="clear" w:pos="720"/>
              </w:tabs>
              <w:bidi w:val="0"/>
              <w:ind w:hanging="0" w:start="0" w:end="0"/>
              <w:jc w:val="both"/>
              <w:rPr/>
            </w:pPr>
            <w:r>
              <w:rPr>
                <w:sz w:val="22"/>
              </w:rPr>
              <w:t>(A)</w:t>
            </w:r>
          </w:p>
        </w:tc>
        <w:tc>
          <w:tcPr>
            <w:tcW w:w="2880" w:type="dxa"/>
            <w:tcBorders/>
          </w:tcPr>
          <w:p>
            <w:pPr>
              <w:pStyle w:val="Normal"/>
              <w:widowControl/>
              <w:tabs>
                <w:tab w:val="clear" w:pos="720"/>
              </w:tabs>
              <w:bidi w:val="0"/>
              <w:ind w:hanging="0" w:start="0" w:end="0"/>
              <w:jc w:val="start"/>
              <w:rPr>
                <w:sz w:val="22"/>
              </w:rPr>
            </w:pPr>
            <w:r>
              <w:rPr>
                <w:sz w:val="22"/>
              </w:rPr>
              <w:t>Cash</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pPr>
            <w:r>
              <w:rPr>
                <w:sz w:val="22"/>
              </w:rPr>
              <w:t>[X]</w:t>
            </w:r>
          </w:p>
        </w:tc>
        <w:tc>
          <w:tcPr>
            <w:tcW w:w="1440" w:type="dxa"/>
            <w:tcBorders/>
          </w:tcPr>
          <w:p>
            <w:pPr>
              <w:pStyle w:val="Normal"/>
              <w:widowControl/>
              <w:tabs>
                <w:tab w:val="clear" w:pos="720"/>
              </w:tabs>
              <w:bidi w:val="0"/>
              <w:ind w:hanging="0" w:start="0" w:end="0"/>
              <w:jc w:val="center"/>
              <w:rPr/>
            </w:pPr>
            <w:r>
              <w:rPr>
                <w:sz w:val="22"/>
              </w:rPr>
              <w:t>[X]</w:t>
            </w:r>
          </w:p>
        </w:tc>
        <w:tc>
          <w:tcPr>
            <w:tcW w:w="1365" w:type="dxa"/>
            <w:tcBorders/>
          </w:tcPr>
          <w:p>
            <w:pPr>
              <w:pStyle w:val="Normal"/>
              <w:widowControl/>
              <w:tabs>
                <w:tab w:val="clear" w:pos="720"/>
              </w:tabs>
              <w:bidi w:val="0"/>
              <w:ind w:hanging="0" w:start="0" w:end="0"/>
              <w:jc w:val="center"/>
              <w:rPr/>
            </w:pPr>
            <w:r>
              <w:rPr>
                <w:sz w:val="22"/>
              </w:rPr>
              <w:t>100%</w:t>
            </w:r>
          </w:p>
        </w:tc>
      </w:tr>
      <w:tr>
        <w:trPr>
          <w:cantSplit w:val="true"/>
        </w:trPr>
        <w:tc>
          <w:tcPr>
            <w:tcW w:w="629" w:type="dxa"/>
            <w:tcBorders/>
          </w:tcPr>
          <w:p>
            <w:pPr>
              <w:pStyle w:val="Normal"/>
              <w:widowControl/>
              <w:bidi w:val="0"/>
              <w:ind w:hanging="0" w:start="0" w:end="0"/>
              <w:jc w:val="both"/>
              <w:rPr/>
            </w:pPr>
            <w:r>
              <w:rPr>
                <w:sz w:val="22"/>
              </w:rPr>
              <w:t>(B)</w:t>
            </w:r>
          </w:p>
        </w:tc>
        <w:tc>
          <w:tcPr>
            <w:tcW w:w="2880" w:type="dxa"/>
            <w:tcBorders/>
          </w:tcPr>
          <w:p>
            <w:pPr>
              <w:pStyle w:val="Normal"/>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widowControl/>
              <w:bidi w:val="0"/>
              <w:ind w:hanging="0" w:start="0" w:end="0"/>
              <w:jc w:val="start"/>
              <w:rPr>
                <w:sz w:val="22"/>
              </w:rPr>
            </w:pPr>
            <w:r>
              <w:rPr>
                <w:sz w:val="22"/>
              </w:rPr>
            </w:r>
          </w:p>
        </w:tc>
        <w:tc>
          <w:tcPr>
            <w:tcW w:w="1441" w:type="dxa"/>
            <w:tcBorders/>
          </w:tcPr>
          <w:p>
            <w:pPr>
              <w:pStyle w:val="Normal"/>
              <w:widowControl/>
              <w:bidi w:val="0"/>
              <w:ind w:hanging="0" w:start="0" w:end="0"/>
              <w:jc w:val="center"/>
              <w:rPr/>
            </w:pPr>
            <w:r>
              <w:rPr>
                <w:sz w:val="22"/>
              </w:rPr>
              <w:t>[  ]</w:t>
            </w:r>
          </w:p>
        </w:tc>
        <w:tc>
          <w:tcPr>
            <w:tcW w:w="1440" w:type="dxa"/>
            <w:tcBorders/>
          </w:tcPr>
          <w:p>
            <w:pPr>
              <w:pStyle w:val="Normal"/>
              <w:widowControl/>
              <w:bidi w:val="0"/>
              <w:ind w:hanging="0" w:start="0" w:end="0"/>
              <w:jc w:val="center"/>
              <w:rPr/>
            </w:pPr>
            <w:r>
              <w:rPr>
                <w:sz w:val="22"/>
              </w:rPr>
              <w:t>[  ]</w:t>
            </w:r>
          </w:p>
        </w:tc>
        <w:tc>
          <w:tcPr>
            <w:tcW w:w="1365" w:type="dxa"/>
            <w:tcBorders/>
          </w:tcPr>
          <w:p>
            <w:pPr>
              <w:pStyle w:val="Normal"/>
              <w:widowControl/>
              <w:bidi w:val="0"/>
              <w:ind w:hanging="0" w:start="0" w:end="0"/>
              <w:jc w:val="center"/>
              <w:rPr/>
            </w:pPr>
            <w:r>
              <w:rPr>
                <w:sz w:val="22"/>
              </w:rPr>
              <w:t>98%</w:t>
            </w:r>
          </w:p>
        </w:tc>
      </w:tr>
      <w:tr>
        <w:trPr>
          <w:cantSplit w:val="true"/>
        </w:trPr>
        <w:tc>
          <w:tcPr>
            <w:tcW w:w="629" w:type="dxa"/>
            <w:tcBorders/>
          </w:tcPr>
          <w:p>
            <w:pPr>
              <w:pStyle w:val="Normal"/>
              <w:widowControl/>
              <w:tabs>
                <w:tab w:val="clear" w:pos="720"/>
              </w:tabs>
              <w:bidi w:val="0"/>
              <w:ind w:hanging="0" w:start="0" w:end="0"/>
              <w:jc w:val="both"/>
              <w:rPr/>
            </w:pPr>
            <w:r>
              <w:rPr>
                <w:sz w:val="22"/>
              </w:rPr>
              <w:t>(C)</w:t>
            </w:r>
          </w:p>
        </w:tc>
        <w:tc>
          <w:tcPr>
            <w:tcW w:w="2880" w:type="dxa"/>
            <w:tcBorders/>
          </w:tcPr>
          <w:p>
            <w:pPr>
              <w:pStyle w:val="Normal"/>
              <w:widowControl/>
              <w:tabs>
                <w:tab w:val="clear" w:pos="720"/>
              </w:tabs>
              <w:bidi w:val="0"/>
              <w:ind w:hanging="0" w:start="0" w:end="0"/>
              <w:jc w:val="start"/>
              <w:rPr>
                <w:sz w:val="22"/>
              </w:rPr>
            </w:pPr>
            <w:r>
              <w:rPr>
                <w:sz w:val="22"/>
              </w:rPr>
              <w:t>Other:</w:t>
              <w:tab/>
              <w:t>None</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sz w:val="22"/>
              </w:rPr>
            </w:pPr>
            <w:r>
              <w:rPr>
                <w:sz w:val="22"/>
              </w:rPr>
            </w:r>
          </w:p>
        </w:tc>
        <w:tc>
          <w:tcPr>
            <w:tcW w:w="1440" w:type="dxa"/>
            <w:tcBorders/>
          </w:tcPr>
          <w:p>
            <w:pPr>
              <w:pStyle w:val="Normal"/>
              <w:widowControl/>
              <w:tabs>
                <w:tab w:val="clear" w:pos="720"/>
              </w:tabs>
              <w:bidi w:val="0"/>
              <w:ind w:hanging="0" w:start="0" w:end="0"/>
              <w:jc w:val="center"/>
              <w:rPr>
                <w:sz w:val="22"/>
              </w:rPr>
            </w:pPr>
            <w:r>
              <w:rPr>
                <w:sz w:val="22"/>
              </w:rPr>
            </w:r>
          </w:p>
        </w:tc>
        <w:tc>
          <w:tcPr>
            <w:tcW w:w="1365" w:type="dxa"/>
            <w:tcBorders/>
          </w:tcPr>
          <w:p>
            <w:pPr>
              <w:pStyle w:val="Normal"/>
              <w:widowControl/>
              <w:tabs>
                <w:tab w:val="clear" w:pos="720"/>
              </w:tabs>
              <w:bidi w:val="0"/>
              <w:ind w:hanging="0" w:start="0" w:end="0"/>
              <w:jc w:val="center"/>
              <w:rPr>
                <w:sz w:val="22"/>
              </w:rPr>
            </w:pPr>
            <w:r>
              <w:rPr>
                <w:sz w:val="22"/>
              </w:rPr>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bidi w:val="0"/>
        <w:ind w:hanging="0"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A</w:t>
            </w:r>
          </w:p>
          <w:p>
            <w:pPr>
              <w:pStyle w:val="Normal"/>
              <w:keepNext w:val="true"/>
              <w:widowControl/>
              <w:tabs>
                <w:tab w:val="clear" w:pos="720"/>
              </w:tabs>
              <w:bidi w:val="0"/>
              <w:ind w:hanging="0" w:start="0" w:end="0"/>
              <w:jc w:val="center"/>
              <w:rPr>
                <w:b/>
                <w:sz w:val="22"/>
              </w:rPr>
            </w:pPr>
            <w:r>
              <w:rPr>
                <w:b/>
                <w:sz w:val="22"/>
              </w:rPr>
            </w:r>
          </w:p>
        </w:tc>
        <w:tc>
          <w:tcPr>
            <w:tcW w:w="1643"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c>
          <w:tcPr>
            <w:tcW w:w="3757"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1799" w:type="dxa"/>
            <w:tcBorders/>
          </w:tcPr>
          <w:p>
            <w:pPr>
              <w:pStyle w:val="Normal"/>
              <w:keepNext w:val="true"/>
              <w:widowControl/>
              <w:tabs>
                <w:tab w:val="clear" w:pos="720"/>
              </w:tabs>
              <w:bidi w:val="0"/>
              <w:ind w:hanging="0" w:start="0" w:end="0"/>
              <w:jc w:val="both"/>
              <w:rPr/>
            </w:pPr>
            <w:r>
              <w:rPr>
                <w:sz w:val="22"/>
              </w:rPr>
              <w:t>Letters of Credit</w:t>
            </w:r>
          </w:p>
        </w:tc>
        <w:tc>
          <w:tcPr>
            <w:tcW w:w="1441" w:type="dxa"/>
            <w:tcBorders/>
          </w:tcPr>
          <w:p>
            <w:pPr>
              <w:pStyle w:val="Normal"/>
              <w:keepNext w:val="true"/>
              <w:widowControl/>
              <w:tabs>
                <w:tab w:val="clear" w:pos="720"/>
              </w:tabs>
              <w:bidi w:val="0"/>
              <w:ind w:hanging="0" w:start="0" w:end="0"/>
              <w:jc w:val="center"/>
              <w:rPr/>
            </w:pPr>
            <w:r>
              <w:rPr>
                <w:sz w:val="22"/>
              </w:rPr>
              <w:t>[X]</w:t>
            </w:r>
          </w:p>
        </w:tc>
        <w:tc>
          <w:tcPr>
            <w:tcW w:w="1643" w:type="dxa"/>
            <w:tcBorders/>
          </w:tcPr>
          <w:p>
            <w:pPr>
              <w:pStyle w:val="Normal"/>
              <w:keepNext w:val="true"/>
              <w:widowControl/>
              <w:tabs>
                <w:tab w:val="clear" w:pos="720"/>
              </w:tabs>
              <w:bidi w:val="0"/>
              <w:ind w:hanging="0" w:start="0" w:end="0"/>
              <w:jc w:val="center"/>
              <w:rPr/>
            </w:pPr>
            <w:r>
              <w:rPr>
                <w:sz w:val="22"/>
              </w:rPr>
              <w:t>[X]</w:t>
            </w:r>
          </w:p>
        </w:tc>
        <w:tc>
          <w:tcPr>
            <w:tcW w:w="3757" w:type="dxa"/>
            <w:tcBorders/>
          </w:tcPr>
          <w:p>
            <w:pPr>
              <w:pStyle w:val="Normal"/>
              <w:keepNext w:val="true"/>
              <w:widowControl/>
              <w:tabs>
                <w:tab w:val="clear" w:pos="720"/>
              </w:tabs>
              <w:bidi w:val="0"/>
              <w:ind w:hanging="0" w:start="0" w:end="0"/>
              <w:jc w:val="start"/>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(iv)  </w:t>
      </w:r>
      <w:r>
        <w:rPr>
          <w:b/>
          <w:sz w:val="22"/>
        </w:rPr>
        <w:t>Thresholds.</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bidi w:val="0"/>
        <w:ind w:hanging="0" w:start="0" w:end="0"/>
        <w:jc w:val="both"/>
        <w:rPr>
          <w:color w:val="7F0000"/>
          <w:sz w:val="22"/>
        </w:rPr>
      </w:pPr>
      <w:r>
        <w:rPr>
          <w:color w:val="7F0000"/>
          <w:sz w:val="22"/>
        </w:rPr>
      </w:r>
    </w:p>
    <w:p>
      <w:pPr>
        <w:pStyle w:val="Normal"/>
        <w:widowControl/>
        <w:bidi w:val="0"/>
        <w:ind w:hanging="0" w:start="720" w:end="0"/>
        <w:jc w:val="both"/>
        <w:rPr>
          <w:color w:val="000000"/>
          <w:sz w:val="22"/>
        </w:rPr>
      </w:pPr>
      <w:r>
        <w:rPr>
          <w:color w:val="000000"/>
          <w:sz w:val="22"/>
        </w:rPr>
        <w:t xml:space="preserve">(B)  </w:t>
      </w:r>
      <w:r>
        <w:rPr>
          <w:b/>
          <w:color w:val="000000"/>
          <w:sz w:val="22"/>
        </w:rPr>
        <w:t>“Threshold”</w:t>
      </w:r>
      <w:r>
        <w:rPr>
          <w:color w:val="000000"/>
          <w:sz w:val="22"/>
        </w:rPr>
        <w:t xml:space="preserve"> means with respect to Party A, U.S. $20,000,000 and with respect to Party B, U.S. </w:t>
      </w:r>
      <w:r>
        <w:rPr>
          <w:strike/>
          <w:color w:val="000000"/>
          <w:sz w:val="22"/>
        </w:rPr>
        <w:t>$5,000,000</w:t>
      </w:r>
      <w:r>
        <w:rPr>
          <w:color w:val="000000"/>
          <w:sz w:val="22"/>
        </w:rPr>
        <w:t xml:space="preserve"> </w:t>
      </w:r>
      <w:r>
        <w:rPr>
          <w:b/>
          <w:color w:val="000000"/>
          <w:sz w:val="22"/>
          <w:u w:val="single"/>
        </w:rPr>
        <w:t>$15,000,000</w:t>
      </w:r>
      <w:r>
        <w:rPr>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$0.</w:t>
      </w:r>
    </w:p>
    <w:p>
      <w:pPr>
        <w:pStyle w:val="Normal"/>
        <w:widowControl/>
        <w:bidi w:val="0"/>
        <w:ind w:hanging="0" w:start="720" w:end="0"/>
        <w:jc w:val="both"/>
        <w:rPr>
          <w:sz w:val="22"/>
        </w:rPr>
      </w:pPr>
      <w:r>
        <w:rPr>
          <w:sz w:val="22"/>
        </w:rPr>
      </w:r>
    </w:p>
    <w:p>
      <w:pPr>
        <w:pStyle w:val="Normal"/>
        <w:widowControl/>
        <w:bidi w:val="0"/>
        <w:ind w:firstLine="360" w:start="720" w:end="0"/>
        <w:jc w:val="both"/>
        <w:rPr>
          <w:sz w:val="22"/>
        </w:rPr>
      </w:pPr>
      <w:r>
        <w:rPr>
          <w:b/>
          <w:sz w:val="22"/>
        </w:rPr>
        <w:t>“</w:t>
      </w:r>
      <w:r>
        <w:rPr>
          <w:b/>
          <w:sz w:val="22"/>
        </w:rPr>
        <w:t>Minimum Transfer Amount”</w:t>
      </w:r>
      <w:r>
        <w:rPr>
          <w:sz w:val="22"/>
        </w:rPr>
        <w:t xml:space="preserve"> means with respect to Party B:  U.S. $0.</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(c)  </w:t>
      </w:r>
      <w:r>
        <w:rPr>
          <w:b/>
          <w:sz w:val="22"/>
        </w:rPr>
        <w:t>Valuation and Timing.</w:t>
      </w:r>
    </w:p>
    <w:p>
      <w:pPr>
        <w:pStyle w:val="Normal"/>
        <w:widowControl/>
        <w:bidi w:val="0"/>
        <w:spacing w:before="240" w:after="0"/>
        <w:ind w:hanging="0" w:start="720" w:end="0"/>
        <w:jc w:val="both"/>
        <w:rPr>
          <w:sz w:val="22"/>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widowControl/>
        <w:bidi w:val="0"/>
        <w:ind w:hanging="720" w:start="1440" w:end="0"/>
        <w:jc w:val="both"/>
        <w:rPr>
          <w:sz w:val="22"/>
        </w:rPr>
      </w:pPr>
      <w:r>
        <w:rPr>
          <w:sz w:val="22"/>
        </w:rPr>
      </w:r>
    </w:p>
    <w:p>
      <w:pPr>
        <w:pStyle w:val="Normal"/>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widowControl/>
        <w:bidi w:val="0"/>
        <w:ind w:hanging="360" w:start="1440" w:end="0"/>
        <w:jc w:val="both"/>
        <w:rPr>
          <w:sz w:val="22"/>
        </w:rPr>
      </w:pPr>
      <w:r>
        <w:rPr>
          <w:sz w:val="22"/>
        </w:rPr>
      </w:r>
    </w:p>
    <w:p>
      <w:pPr>
        <w:pStyle w:val="Normal"/>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provided that the calculations of Value and Exposure will be made as of approximately the same time on the same date.</w:t>
      </w:r>
    </w:p>
    <w:p>
      <w:pPr>
        <w:pStyle w:val="Normal"/>
        <w:widowControl/>
        <w:bidi w:val="0"/>
        <w:ind w:hanging="0" w:start="360" w:end="0"/>
        <w:jc w:val="both"/>
        <w:rPr>
          <w:sz w:val="22"/>
        </w:rPr>
      </w:pPr>
      <w:r>
        <w:rPr>
          <w:sz w:val="22"/>
        </w:rPr>
      </w:r>
    </w:p>
    <w:p>
      <w:pPr>
        <w:pStyle w:val="Normal"/>
        <w:widowControl/>
        <w:bidi w:val="0"/>
        <w:ind w:hanging="0" w:start="720" w:end="0"/>
        <w:jc w:val="both"/>
        <w:rPr>
          <w:sz w:val="22"/>
        </w:rPr>
      </w:pPr>
      <w:r>
        <w:rPr>
          <w:sz w:val="22"/>
        </w:rPr>
        <w:t>(iv)  “</w:t>
      </w:r>
      <w:r>
        <w:rPr>
          <w:b/>
          <w:sz w:val="22"/>
        </w:rPr>
        <w:t>Notification Time”</w:t>
      </w:r>
      <w:r>
        <w:rPr>
          <w:sz w:val="22"/>
        </w:rPr>
        <w:t xml:space="preserve"> means 10:00 a.m., New York time, on a Local Business Day.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widowControl/>
              <w:tabs>
                <w:tab w:val="clear" w:pos="720"/>
              </w:tabs>
              <w:bidi w:val="0"/>
              <w:ind w:hanging="0" w:start="-18" w:end="0"/>
              <w:jc w:val="start"/>
              <w:rPr/>
            </w:pPr>
            <w:r>
              <w:rPr>
                <w:b/>
                <w:sz w:val="22"/>
              </w:rPr>
              <w:t>Specified Condition</w:t>
            </w:r>
          </w:p>
        </w:tc>
        <w:tc>
          <w:tcPr>
            <w:tcW w:w="1280" w:type="dxa"/>
            <w:tcBorders/>
          </w:tcPr>
          <w:p>
            <w:pPr>
              <w:pStyle w:val="Normal"/>
              <w:widowControl/>
              <w:tabs>
                <w:tab w:val="clear" w:pos="720"/>
              </w:tabs>
              <w:bidi w:val="0"/>
              <w:ind w:hanging="0" w:start="0" w:end="0"/>
              <w:jc w:val="center"/>
              <w:rPr/>
            </w:pPr>
            <w:r>
              <w:rPr>
                <w:b/>
                <w:sz w:val="22"/>
              </w:rPr>
              <w:t>Party A</w:t>
            </w:r>
          </w:p>
        </w:tc>
        <w:tc>
          <w:tcPr>
            <w:tcW w:w="1281" w:type="dxa"/>
            <w:tcBorders/>
          </w:tcPr>
          <w:p>
            <w:pPr>
              <w:pStyle w:val="Normal"/>
              <w:widowControl/>
              <w:tabs>
                <w:tab w:val="clear" w:pos="720"/>
              </w:tabs>
              <w:bidi w:val="0"/>
              <w:ind w:hanging="0" w:start="0" w:end="0"/>
              <w:jc w:val="center"/>
              <w:rPr>
                <w:b/>
                <w:sz w:val="22"/>
              </w:rPr>
            </w:pPr>
            <w:r>
              <w:rPr>
                <w:b/>
                <w:sz w:val="22"/>
              </w:rPr>
              <w:t>Party B</w:t>
            </w:r>
          </w:p>
          <w:p>
            <w:pPr>
              <w:pStyle w:val="Normal"/>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Illegality</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[X]</w:t>
            </w:r>
          </w:p>
        </w:tc>
        <w:tc>
          <w:tcPr>
            <w:tcW w:w="1281" w:type="dxa"/>
            <w:tcBorders/>
          </w:tcPr>
          <w:p>
            <w:pPr>
              <w:pStyle w:val="Normal"/>
              <w:widowControl/>
              <w:tabs>
                <w:tab w:val="clear" w:pos="720"/>
              </w:tabs>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Credit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Additional Termination Event(s):</w:t>
            </w:r>
            <w:r>
              <w:rPr>
                <w:rStyle w:val="FootnoteCharacters"/>
                <w:color w:val="FF0000"/>
                <w:sz w:val="22"/>
                <w:lang w:val="en-US" w:eastAsia="en-US"/>
              </w:rPr>
              <w:t xml:space="preserve"> </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None</w:t>
            </w:r>
          </w:p>
        </w:tc>
        <w:tc>
          <w:tcPr>
            <w:tcW w:w="1281" w:type="dxa"/>
            <w:tcBorders/>
          </w:tcPr>
          <w:p>
            <w:pPr>
              <w:pStyle w:val="Normal"/>
              <w:widowControl/>
              <w:tabs>
                <w:tab w:val="clear" w:pos="720"/>
              </w:tabs>
              <w:bidi w:val="0"/>
              <w:ind w:hanging="0" w:start="0" w:end="0"/>
              <w:jc w:val="center"/>
              <w:rPr/>
            </w:pPr>
            <w:r>
              <w:rPr>
                <w:sz w:val="22"/>
              </w:rPr>
              <w:t>None</w:t>
            </w:r>
          </w:p>
        </w:tc>
      </w:tr>
    </w:tbl>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(e)  </w:t>
      </w:r>
      <w:r>
        <w:rPr>
          <w:b/>
          <w:sz w:val="22"/>
        </w:rPr>
        <w:t>Substitution.</w:t>
      </w:r>
    </w:p>
    <w:p>
      <w:pPr>
        <w:pStyle w:val="Normal"/>
        <w:widowControl/>
        <w:bidi w:val="0"/>
        <w:ind w:hanging="720" w:start="720" w:end="0"/>
        <w:jc w:val="both"/>
        <w:rPr>
          <w:sz w:val="22"/>
        </w:rPr>
      </w:pPr>
      <w:r>
        <w:rPr>
          <w:sz w:val="22"/>
        </w:rPr>
      </w:r>
    </w:p>
    <w:p>
      <w:pPr>
        <w:pStyle w:val="Normal"/>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(f)  </w:t>
      </w:r>
      <w:r>
        <w:rPr>
          <w:b/>
          <w:sz w:val="22"/>
        </w:rPr>
        <w:t>Dispute Resolution.</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bidi w:val="0"/>
        <w:ind w:hanging="0" w:start="720" w:end="0"/>
        <w:jc w:val="both"/>
        <w:rPr>
          <w:sz w:val="22"/>
        </w:rPr>
      </w:pPr>
      <w:r>
        <w:rPr>
          <w:sz w:val="22"/>
        </w:rPr>
      </w:r>
    </w:p>
    <w:p>
      <w:pPr>
        <w:pStyle w:val="Normal"/>
        <w:widowControl/>
        <w:bidi w:val="0"/>
        <w:ind w:hanging="0" w:start="1080" w:end="0"/>
        <w:jc w:val="both"/>
        <w:rPr>
          <w:sz w:val="22"/>
        </w:rPr>
      </w:pPr>
      <w:r>
        <w:rPr>
          <w:sz w:val="22"/>
        </w:rPr>
        <w:t>(1)  With respect to cash, the face amount thereof; and</w:t>
      </w:r>
    </w:p>
    <w:p>
      <w:pPr>
        <w:pStyle w:val="Normal"/>
        <w:widowControl/>
        <w:bidi w:val="0"/>
        <w:ind w:hanging="0" w:start="1080" w:end="0"/>
        <w:jc w:val="both"/>
        <w:rPr>
          <w:sz w:val="22"/>
        </w:rPr>
      </w:pPr>
      <w:r>
        <w:rPr>
          <w:sz w:val="22"/>
        </w:rPr>
      </w:r>
    </w:p>
    <w:p>
      <w:pPr>
        <w:pStyle w:val="Normal"/>
        <w:widowControl/>
        <w:tabs>
          <w:tab w:val="clear" w:pos="720"/>
          <w:tab w:val="left" w:pos="1455" w:leader="none"/>
        </w:tabs>
        <w:bidi w:val="0"/>
        <w:ind w:hanging="375" w:start="1455" w:end="0"/>
        <w:jc w:val="both"/>
        <w:rPr>
          <w:sz w:val="22"/>
        </w:rPr>
      </w:pPr>
      <w:r>
        <w:rPr>
          <w:sz w:val="22"/>
        </w:rPr>
        <w:t>(2)</w:t>
        <w:tab/>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bidi w:val="0"/>
        <w:ind w:hanging="0" w:start="108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bidi w:val="0"/>
        <w:ind w:hanging="0" w:start="540" w:end="0"/>
        <w:jc w:val="both"/>
        <w:rPr>
          <w:sz w:val="22"/>
        </w:rPr>
      </w:pPr>
      <w:r>
        <w:rPr>
          <w:sz w:val="22"/>
        </w:rPr>
      </w:r>
    </w:p>
    <w:p>
      <w:pPr>
        <w:pStyle w:val="Normal"/>
        <w:widowControl/>
        <w:bidi w:val="0"/>
        <w:ind w:hanging="720" w:start="720" w:end="0"/>
        <w:jc w:val="both"/>
        <w:rPr>
          <w:sz w:val="22"/>
        </w:rPr>
      </w:pPr>
      <w:r>
        <w:rPr>
          <w:sz w:val="22"/>
        </w:rPr>
        <w:t>(g)</w:t>
        <w:tab/>
      </w:r>
      <w:r>
        <w:rPr>
          <w:b/>
          <w:sz w:val="22"/>
        </w:rPr>
        <w:t>Holding and Using Posted Collateral.</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bidi w:val="0"/>
        <w:ind w:hanging="0" w:start="900" w:end="0"/>
        <w:jc w:val="both"/>
        <w:rPr>
          <w:sz w:val="22"/>
        </w:rPr>
      </w:pPr>
      <w:r>
        <w:rPr>
          <w:sz w:val="22"/>
        </w:rPr>
      </w:r>
    </w:p>
    <w:p>
      <w:pPr>
        <w:pStyle w:val="Normal"/>
        <w:widowControl/>
        <w:bidi w:val="0"/>
        <w:ind w:hanging="0"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2"/>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bidi w:val="0"/>
        <w:ind w:hanging="720" w:start="2160" w:end="0"/>
        <w:jc w:val="both"/>
        <w:rPr>
          <w:sz w:val="22"/>
        </w:rPr>
      </w:pPr>
      <w:r>
        <w:rPr>
          <w:sz w:val="22"/>
        </w:rPr>
      </w:r>
    </w:p>
    <w:p>
      <w:pPr>
        <w:pStyle w:val="Normal"/>
        <w:widowControl/>
        <w:bidi w:val="0"/>
        <w:ind w:hanging="0" w:start="1080" w:end="0"/>
        <w:jc w:val="both"/>
        <w:rPr>
          <w:sz w:val="22"/>
        </w:rPr>
      </w:pPr>
      <w:r>
        <w:rPr>
          <w:sz w:val="22"/>
        </w:rPr>
        <w:t>(1) Party B is not a Defaulting Party and a Material Adverse Change has not occurred with respect to Party B.</w:t>
      </w:r>
    </w:p>
    <w:p>
      <w:pPr>
        <w:pStyle w:val="Normal"/>
        <w:widowControl/>
        <w:bidi w:val="0"/>
        <w:ind w:hanging="0" w:start="1080" w:end="0"/>
        <w:jc w:val="both"/>
        <w:rPr>
          <w:sz w:val="22"/>
        </w:rPr>
      </w:pPr>
      <w:r>
        <w:rPr>
          <w:sz w:val="22"/>
        </w:rPr>
      </w:r>
    </w:p>
    <w:p>
      <w:pPr>
        <w:pStyle w:val="Normal"/>
        <w:widowControl/>
        <w:bidi w:val="0"/>
        <w:ind w:hanging="0" w:start="1080" w:end="0"/>
        <w:jc w:val="both"/>
        <w:rPr>
          <w:sz w:val="22"/>
        </w:rPr>
      </w:pPr>
      <w:r>
        <w:rPr>
          <w:sz w:val="22"/>
        </w:rPr>
        <w:t>(2) Posted Collateral may be held only in the following jurisdictions:  Any jurisdiction 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bidi w:val="0"/>
        <w:ind w:hanging="0" w:start="1080" w:end="0"/>
        <w:jc w:val="both"/>
        <w:rPr>
          <w:color w:val="0000FF"/>
          <w:sz w:val="22"/>
        </w:rPr>
      </w:pPr>
      <w:r>
        <w:rPr>
          <w:color w:val="0000FF"/>
          <w:sz w:val="22"/>
        </w:rPr>
      </w:r>
    </w:p>
    <w:p>
      <w:pPr>
        <w:pStyle w:val="BodyTextIndent3"/>
        <w:bidi w:val="0"/>
        <w:spacing w:lineRule="exact" w:line="24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bidi w:val="0"/>
        <w:ind w:hanging="0" w:start="720" w:end="0"/>
        <w:jc w:val="both"/>
        <w:rPr>
          <w:sz w:val="22"/>
        </w:rPr>
      </w:pPr>
      <w:r>
        <w:rPr>
          <w:sz w:val="22"/>
        </w:rPr>
      </w:r>
      <w:r>
        <w:br w:type="page"/>
      </w:r>
    </w:p>
    <w:p>
      <w:pPr>
        <w:pStyle w:val="Normal"/>
        <w:widowControl/>
        <w:bidi w:val="0"/>
        <w:ind w:hanging="0" w:start="720" w:end="0"/>
        <w:jc w:val="both"/>
        <w:rPr>
          <w:sz w:val="22"/>
        </w:rPr>
      </w:pPr>
      <w:r>
        <w:rPr>
          <w:sz w:val="22"/>
        </w:rPr>
        <w:t xml:space="preserve">(ii)  </w:t>
      </w:r>
      <w:r>
        <w:rPr>
          <w:b/>
          <w:sz w:val="22"/>
        </w:rPr>
        <w:t>Use of Posted Collateral.</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bidi w:val="0"/>
        <w:ind w:hanging="720" w:start="2160" w:end="0"/>
        <w:jc w:val="both"/>
        <w:rPr>
          <w:sz w:val="22"/>
        </w:rPr>
      </w:pPr>
      <w:r>
        <w:rPr>
          <w:sz w:val="22"/>
        </w:rPr>
      </w:r>
    </w:p>
    <w:p>
      <w:pPr>
        <w:pStyle w:val="Normal"/>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bidi w:val="0"/>
        <w:ind w:hanging="0" w:start="1440" w:end="0"/>
        <w:jc w:val="both"/>
        <w:rPr>
          <w:sz w:val="22"/>
        </w:rPr>
      </w:pPr>
      <w:r>
        <w:rPr>
          <w:sz w:val="22"/>
        </w:rPr>
      </w:r>
    </w:p>
    <w:p>
      <w:pPr>
        <w:pStyle w:val="Normal"/>
        <w:widowControl/>
        <w:bidi w:val="0"/>
        <w:ind w:hanging="0" w:start="1440" w:end="0"/>
        <w:jc w:val="both"/>
        <w:rPr>
          <w:sz w:val="22"/>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sz w:val="22"/>
        </w:rPr>
      </w:pPr>
      <w:r>
        <w:rPr>
          <w:sz w:val="22"/>
        </w:rPr>
      </w:r>
    </w:p>
    <w:p>
      <w:pPr>
        <w:pStyle w:val="Normal"/>
        <w:widowControl/>
        <w:bidi w:val="0"/>
        <w:ind w:hanging="0"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(h)</w:t>
        <w:tab/>
      </w:r>
      <w:r>
        <w:rPr>
          <w:b/>
          <w:sz w:val="22"/>
        </w:rPr>
        <w:t>Distributions and Interest Amount.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bidi w:val="0"/>
        <w:ind w:hanging="720" w:start="1440" w:end="0"/>
        <w:jc w:val="both"/>
        <w:rPr>
          <w:sz w:val="22"/>
        </w:rPr>
      </w:pPr>
      <w:r>
        <w:rPr>
          <w:sz w:val="22"/>
        </w:rPr>
      </w:r>
    </w:p>
    <w:p>
      <w:pPr>
        <w:pStyle w:val="Normal"/>
        <w:widowControl/>
        <w:bidi w:val="0"/>
        <w:ind w:hanging="720" w:start="720" w:end="0"/>
        <w:jc w:val="both"/>
        <w:rPr>
          <w:sz w:val="22"/>
        </w:rPr>
      </w:pPr>
      <w:r>
        <w:rPr>
          <w:sz w:val="22"/>
        </w:rPr>
        <w:t>(i)</w:t>
        <w:tab/>
      </w:r>
      <w:r>
        <w:rPr>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(j)</w:t>
        <w:tab/>
      </w:r>
      <w:r>
        <w:rPr>
          <w:b/>
          <w:sz w:val="22"/>
        </w:rPr>
        <w:t>Other Eligible Support and Other Posted Support.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bidi w:val="0"/>
        <w:ind w:hanging="90" w:start="720" w:end="0"/>
        <w:jc w:val="both"/>
        <w:rPr>
          <w:sz w:val="22"/>
        </w:rPr>
      </w:pPr>
      <w:r>
        <w:rPr>
          <w:sz w:val="22"/>
        </w:rPr>
      </w:r>
    </w:p>
    <w:p>
      <w:pPr>
        <w:pStyle w:val="Normal"/>
        <w:widowControl/>
        <w:bidi w:val="0"/>
        <w:ind w:hanging="0" w:start="720" w:end="0"/>
        <w:jc w:val="both"/>
        <w:rPr>
          <w:color w:val="7F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(k)</w:t>
        <w:tab/>
      </w:r>
      <w:r>
        <w:rPr>
          <w:b/>
          <w:sz w:val="22"/>
        </w:rPr>
        <w:t>Demands and Notices.</w:t>
      </w:r>
    </w:p>
    <w:p>
      <w:pPr>
        <w:pStyle w:val="Normal"/>
        <w:keepNext w:val="true"/>
        <w:widowControl/>
        <w:bidi w:val="0"/>
        <w:ind w:hanging="0" w:start="0" w:end="0"/>
        <w:jc w:val="both"/>
        <w:rPr>
          <w:sz w:val="22"/>
        </w:rPr>
      </w:pPr>
      <w:r>
        <w:rPr>
          <w:sz w:val="22"/>
        </w:rPr>
      </w:r>
    </w:p>
    <w:p>
      <w:pPr>
        <w:pStyle w:val="Normal"/>
        <w:keepNext w:val="true"/>
        <w:widowControl/>
        <w:bidi w:val="0"/>
        <w:ind w:hanging="0" w:start="0" w:end="0"/>
        <w:jc w:val="both"/>
        <w:rPr>
          <w:sz w:val="22"/>
        </w:rPr>
      </w:pPr>
      <w:r>
        <w:rPr>
          <w:sz w:val="22"/>
        </w:rPr>
        <w:t>All demands, specifications, and notices under this Annex will be made pursuant to the Notices Section of this Agreement.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(l)</w:t>
        <w:tab/>
      </w:r>
      <w:r>
        <w:rPr>
          <w:b/>
          <w:sz w:val="22"/>
        </w:rPr>
        <w:t>Addresses for Transfers.</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B:      To be provided in notice requesting delivery/return of Eligible Credit Support/Posted Credit Support.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(m)</w:t>
        <w:tab/>
      </w:r>
      <w:r>
        <w:rPr>
          <w:b/>
          <w:sz w:val="22"/>
        </w:rPr>
        <w:t>Other Provisions.</w:t>
      </w:r>
    </w:p>
    <w:p>
      <w:pPr>
        <w:pStyle w:val="Normal"/>
        <w:keepNext w:val="true"/>
        <w:widowControl/>
        <w:bidi w:val="0"/>
        <w:ind w:hanging="720" w:start="1440" w:end="0"/>
        <w:jc w:val="both"/>
        <w:rPr>
          <w:sz w:val="22"/>
        </w:rPr>
      </w:pPr>
      <w:r>
        <w:rPr>
          <w:sz w:val="22"/>
        </w:rPr>
      </w:r>
    </w:p>
    <w:p>
      <w:pPr>
        <w:pStyle w:val="Normal"/>
        <w:keepNext w:val="true"/>
        <w:widowControl/>
        <w:bidi w:val="0"/>
        <w:ind w:hanging="720" w:start="1440" w:end="0"/>
        <w:jc w:val="both"/>
        <w:rPr>
          <w:sz w:val="22"/>
        </w:rPr>
      </w:pPr>
      <w:r>
        <w:rPr>
          <w:sz w:val="22"/>
        </w:rPr>
        <w:t>(i)  Paragraph 12 of this Annex is hereby amended by adding the following:</w:t>
      </w:r>
    </w:p>
    <w:p>
      <w:pPr>
        <w:pStyle w:val="Normal"/>
        <w:widowControl/>
        <w:bidi w:val="0"/>
        <w:ind w:hanging="0" w:start="720" w:end="0"/>
        <w:jc w:val="both"/>
        <w:rPr>
          <w:sz w:val="22"/>
        </w:rPr>
      </w:pPr>
      <w:r>
        <w:rPr>
          <w:sz w:val="22"/>
        </w:rPr>
      </w:r>
    </w:p>
    <w:p>
      <w:pPr>
        <w:pStyle w:val="Normal"/>
        <w:widowControl/>
        <w:bidi w:val="0"/>
        <w:ind w:hanging="0" w:start="720" w:end="0"/>
        <w:jc w:val="both"/>
        <w:rPr>
          <w:color w:val="FF0000"/>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bidi w:val="0"/>
        <w:ind w:hanging="0" w:start="720" w:end="0"/>
        <w:jc w:val="both"/>
        <w:rPr>
          <w:sz w:val="22"/>
        </w:rPr>
      </w:pPr>
      <w:r>
        <w:rPr>
          <w:sz w:val="22"/>
        </w:rPr>
        <w:t xml:space="preserve"> </w:t>
      </w:r>
    </w:p>
    <w:p>
      <w:pPr>
        <w:pStyle w:val="Normal"/>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bidi w:val="0"/>
        <w:ind w:hanging="0" w:start="720" w:end="0"/>
        <w:jc w:val="both"/>
        <w:rPr>
          <w:sz w:val="22"/>
        </w:rPr>
      </w:pPr>
      <w:r>
        <w:rPr>
          <w:sz w:val="22"/>
        </w:rPr>
      </w:r>
    </w:p>
    <w:p>
      <w:pPr>
        <w:pStyle w:val="Normal"/>
        <w:widowControl/>
        <w:bidi w:val="0"/>
        <w:spacing w:lineRule="atLeast" w:line="240"/>
        <w:ind w:hanging="0"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(ii)  Paragraph 6(d)(i) is hereby amended by adding the following sentence:</w:t>
      </w:r>
    </w:p>
    <w:p>
      <w:pPr>
        <w:pStyle w:val="Normal"/>
        <w:widowControl/>
        <w:bidi w:val="0"/>
        <w:ind w:hanging="720" w:start="720" w:end="0"/>
        <w:jc w:val="both"/>
        <w:rPr>
          <w:sz w:val="22"/>
        </w:rPr>
      </w:pPr>
      <w:r>
        <w:rPr>
          <w:sz w:val="22"/>
        </w:rPr>
      </w:r>
    </w:p>
    <w:p>
      <w:pPr>
        <w:pStyle w:val="BodyTextIndent3"/>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11"/>
          <w:headerReference w:type="first" r:id="rId12"/>
          <w:footerReference w:type="even" r:id="rId13"/>
          <w:footerReference w:type="default" r:id="rId14"/>
          <w:footerReference w:type="first" r:id="rId15"/>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720" w:start="720" w:end="0"/>
        <w:jc w:val="both"/>
        <w:rPr>
          <w:sz w:val="22"/>
        </w:rPr>
      </w:pPr>
      <w:r>
        <w:rPr>
          <w:sz w:val="22"/>
        </w:rPr>
      </w:r>
    </w:p>
    <w:p>
      <w:pPr>
        <w:pStyle w:val="Normal"/>
        <w:widowControl/>
        <w:bidi w:val="0"/>
        <w:ind w:hanging="0" w:start="0" w:end="0"/>
        <w:jc w:val="center"/>
        <w:rPr>
          <w:b/>
          <w:sz w:val="22"/>
        </w:rPr>
      </w:pPr>
      <w:r>
        <w:rPr>
          <w:b/>
          <w:sz w:val="22"/>
          <w:u w:val="single"/>
        </w:rPr>
        <w:t>EXHIBIT A</w:t>
      </w:r>
    </w:p>
    <w:p>
      <w:pPr>
        <w:pStyle w:val="Expanded"/>
        <w:widowControl/>
        <w:bidi w:val="0"/>
        <w:spacing w:before="0" w:after="0"/>
        <w:rPr>
          <w:rFonts w:ascii="Times New Roman" w:hAnsi="Times New Roman"/>
          <w:caps w:val="false"/>
          <w:smallCaps w:val="false"/>
          <w:spacing w:val="0"/>
        </w:rPr>
      </w:pPr>
      <w:r>
        <w:rPr>
          <w:caps w:val="false"/>
          <w:smallCaps w:val="false"/>
          <w:spacing w:val="0"/>
        </w:rPr>
        <w:t>to Paragraph 13</w:t>
      </w:r>
    </w:p>
    <w:p>
      <w:pPr>
        <w:pStyle w:val="Normal"/>
        <w:widowControl/>
        <w:bidi w:val="0"/>
        <w:ind w:hanging="0" w:start="0" w:end="0"/>
        <w:jc w:val="center"/>
        <w:rPr>
          <w:sz w:val="22"/>
        </w:rPr>
      </w:pPr>
      <w:r>
        <w:rPr>
          <w:b/>
          <w:sz w:val="22"/>
        </w:rPr>
        <w:t>of Annex A</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b/>
          <w:sz w:val="22"/>
        </w:rPr>
        <w:t>LETTER OF CREDIT PROVISIONS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bidi w:val="0"/>
        <w:ind w:hanging="0" w:start="0" w:end="0"/>
        <w:jc w:val="both"/>
        <w:rPr>
          <w:sz w:val="22"/>
        </w:rPr>
      </w:pPr>
      <w:r>
        <w:rPr>
          <w:sz w:val="22"/>
        </w:rPr>
      </w:r>
    </w:p>
    <w:p>
      <w:pPr>
        <w:pStyle w:val="Normal"/>
        <w:widowControl/>
        <w:bidi w:val="0"/>
        <w:ind w:hanging="0"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bidi w:val="0"/>
        <w:ind w:hanging="0" w:start="540" w:end="0"/>
        <w:jc w:val="both"/>
        <w:rPr>
          <w:sz w:val="22"/>
        </w:rPr>
      </w:pPr>
      <w:r>
        <w:rPr>
          <w:sz w:val="22"/>
        </w:rPr>
      </w:r>
    </w:p>
    <w:p>
      <w:pPr>
        <w:pStyle w:val="Normal"/>
        <w:widowControl/>
        <w:bidi w:val="0"/>
        <w:ind w:hanging="0"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180" w:end="0"/>
        <w:jc w:val="both"/>
        <w:rPr>
          <w:sz w:val="22"/>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widowControl/>
        <w:numPr>
          <w:ilvl w:val="0"/>
          <w:numId w:val="0"/>
        </w:numPr>
        <w:bidi w:val="0"/>
        <w:ind w:hanging="0" w:start="-1440"/>
        <w:jc w:val="end"/>
        <w:outlineLvl w:val="2"/>
        <w:rPr>
          <w:rFonts w:ascii="Times New Roman" w:hAnsi="Times New Roman"/>
        </w:rPr>
      </w:pPr>
      <w:r>
        <w:rPr/>
        <w:t>SCHEDULE 1</w:t>
      </w:r>
    </w:p>
    <w:p>
      <w:pPr>
        <w:pStyle w:val="Normal"/>
        <w:widowControl/>
        <w:bidi w:val="0"/>
        <w:spacing w:lineRule="exact" w:line="240"/>
        <w:ind w:hanging="0" w:start="0" w:end="0"/>
        <w:jc w:val="center"/>
        <w:rPr>
          <w:sz w:val="22"/>
        </w:rPr>
      </w:pPr>
      <w:r>
        <w:rPr>
          <w:sz w:val="22"/>
        </w:rPr>
      </w:r>
    </w:p>
    <w:p>
      <w:pPr>
        <w:pStyle w:val="Normal"/>
        <w:widowControl/>
        <w:bidi w:val="0"/>
        <w:spacing w:lineRule="exact" w:line="240"/>
        <w:ind w:hanging="0" w:start="0" w:end="0"/>
        <w:jc w:val="center"/>
        <w:rPr>
          <w:sz w:val="22"/>
        </w:rPr>
      </w:pPr>
      <w:r>
        <w:rPr>
          <w:sz w:val="22"/>
        </w:rPr>
        <w:t>IRREVOCABLE TRANSFERABLE STANDBY LETTER OF CREDIT FORMAT</w:t>
      </w:r>
    </w:p>
    <w:p>
      <w:pPr>
        <w:pStyle w:val="Normal"/>
        <w:widowControl/>
        <w:bidi w:val="0"/>
        <w:spacing w:lineRule="exact" w:line="240"/>
        <w:ind w:hanging="0" w:start="0" w:end="0"/>
        <w:jc w:val="center"/>
        <w:rPr>
          <w:sz w:val="22"/>
        </w:rPr>
      </w:pPr>
      <w:r>
        <w:rPr>
          <w:sz w:val="22"/>
        </w:rPr>
        <w:t xml:space="preserve">DATE OF ISSUANCE:  </w:t>
      </w:r>
      <w:r>
        <w:rPr>
          <w:sz w:val="22"/>
          <w:u w:val="single"/>
        </w:rPr>
        <w:tab/>
        <w:tab/>
        <w:tab/>
      </w:r>
    </w:p>
    <w:p>
      <w:pPr>
        <w:pStyle w:val="Normal"/>
        <w:widowControl/>
        <w:bidi w:val="0"/>
        <w:spacing w:lineRule="exact" w:line="240"/>
        <w:ind w:hanging="0" w:start="0" w:end="0"/>
        <w:jc w:val="start"/>
        <w:rPr>
          <w:sz w:val="22"/>
        </w:rPr>
      </w:pPr>
      <w:r>
        <w:rPr>
          <w:sz w:val="22"/>
        </w:rPr>
        <w:t>[Address]</w:t>
      </w:r>
    </w:p>
    <w:p>
      <w:pPr>
        <w:pStyle w:val="Normal"/>
        <w:widowControl/>
        <w:bidi w:val="0"/>
        <w:spacing w:lineRule="exact" w:line="240"/>
        <w:ind w:hanging="0" w:start="0" w:end="0"/>
        <w:jc w:val="start"/>
        <w:rPr>
          <w:sz w:val="22"/>
        </w:rPr>
      </w:pPr>
      <w:r>
        <w:rPr>
          <w:sz w:val="22"/>
        </w:rPr>
        <w:tab/>
        <w:t>Re:  Credit No. _______________</w:t>
      </w:r>
    </w:p>
    <w:p>
      <w:pPr>
        <w:pStyle w:val="Normal"/>
        <w:widowControl/>
        <w:bidi w:val="0"/>
        <w:spacing w:lineRule="exact" w:line="240"/>
        <w:ind w:hanging="0" w:start="0" w:end="0"/>
        <w:jc w:val="start"/>
        <w:rPr>
          <w:sz w:val="22"/>
        </w:rPr>
      </w:pPr>
      <w:r>
        <w:rPr>
          <w:sz w:val="22"/>
        </w:rPr>
      </w:r>
    </w:p>
    <w:p>
      <w:pPr>
        <w:pStyle w:val="Normal"/>
        <w:widowControl/>
        <w:bidi w:val="0"/>
        <w:spacing w:lineRule="exact" w:line="240"/>
        <w:ind w:hanging="0" w:start="0" w:end="0"/>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widowControl/>
        <w:tabs>
          <w:tab w:val="left" w:pos="720" w:leader="none"/>
        </w:tabs>
        <w:bidi w:val="0"/>
        <w:spacing w:lineRule="exact" w:line="240"/>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widowControl/>
        <w:tabs>
          <w:tab w:val="left" w:pos="720" w:leader="none"/>
        </w:tabs>
        <w:bidi w:val="0"/>
        <w:spacing w:lineRule="exact" w:line="240"/>
        <w:ind w:hanging="1440" w:start="144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lineRule="exact" w:line="240"/>
        <w:ind w:hanging="0" w:start="0" w:end="0"/>
        <w:jc w:val="both"/>
        <w:rPr>
          <w:sz w:val="22"/>
        </w:rPr>
      </w:pPr>
      <w:r>
        <w:rPr>
          <w:sz w:val="22"/>
        </w:rPr>
      </w:r>
    </w:p>
    <w:p>
      <w:pPr>
        <w:pStyle w:val="BodyText2"/>
        <w:widowControl/>
        <w:bidi w:val="0"/>
        <w:spacing w:lineRule="exact" w:line="240" w:before="240" w:after="0"/>
        <w:rPr>
          <w:rFonts w:ascii="Times New Roman" w:hAnsi="Times New Roman"/>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start="0" w:end="0"/>
        <w:jc w:val="start"/>
        <w:rPr>
          <w:rFonts w:ascii="Times New Roman" w:hAnsi="Times New Roman"/>
        </w:rPr>
      </w:pPr>
      <w:r>
        <w:rPr/>
      </w:r>
    </w:p>
    <w:p>
      <w:pPr>
        <w:pStyle w:val="BodyText"/>
        <w:bidi w:val="0"/>
        <w:spacing w:lineRule="exact" w:line="240"/>
        <w:ind w:firstLine="720" w:start="0" w:end="0"/>
        <w:jc w:val="both"/>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22"/>
          <w:headerReference w:type="first" r:id="rId23"/>
          <w:footerReference w:type="default" r:id="rId24"/>
          <w:footerReference w:type="first" r:id="rId25"/>
          <w:type w:val="nextPage"/>
          <w:pgSz w:w="12240" w:h="15840"/>
          <w:pgMar w:left="1080" w:right="1080" w:gutter="0" w:header="720" w:top="1080" w:footer="835" w:bottom="1080"/>
          <w:pgNumType w:start="1" w:fmt="decimal"/>
          <w:formProt w:val="false"/>
          <w:textDirection w:val="lrTb"/>
          <w:docGrid w:type="default" w:linePitch="100" w:charSpace="0"/>
        </w:sectPr>
        <w:pStyle w:val="Normal"/>
        <w:widowControl/>
        <w:tabs>
          <w:tab w:val="clear" w:pos="720"/>
          <w:tab w:val="left" w:pos="4320" w:leader="none"/>
          <w:tab w:val="left" w:pos="5040" w:leader="none"/>
          <w:tab w:val="left" w:pos="5760" w:leader="none"/>
        </w:tabs>
        <w:bidi w:val="0"/>
        <w:spacing w:lineRule="exact" w:line="240"/>
        <w:ind w:hanging="0" w:start="5040" w:end="0"/>
        <w:jc w:val="start"/>
        <w:rPr/>
      </w:pPr>
      <w:r>
        <w:rPr>
          <w:sz w:val="22"/>
        </w:rPr>
        <w:t>[BANK SIGNATURE]</w:t>
      </w:r>
    </w:p>
    <w:p>
      <w:pPr>
        <w:pStyle w:val="Normal"/>
        <w:widowControl/>
        <w:bidi w:val="0"/>
        <w:ind w:hanging="0" w:start="0" w:end="180"/>
        <w:jc w:val="center"/>
        <w:rPr>
          <w:b/>
          <w:sz w:val="22"/>
        </w:rPr>
      </w:pPr>
      <w:r>
        <w:rPr>
          <w:b/>
          <w:sz w:val="22"/>
          <w:u w:val="single"/>
        </w:rPr>
        <w:t>EXHIBIT A</w:t>
      </w:r>
    </w:p>
    <w:p>
      <w:pPr>
        <w:pStyle w:val="Normal"/>
        <w:widowControl/>
        <w:bidi w:val="0"/>
        <w:ind w:hanging="0" w:start="0" w:end="180"/>
        <w:jc w:val="center"/>
        <w:rPr>
          <w:b/>
          <w:sz w:val="22"/>
        </w:rPr>
      </w:pPr>
      <w:r>
        <w:rPr>
          <w:b/>
          <w:sz w:val="22"/>
        </w:rPr>
      </w:r>
    </w:p>
    <w:p>
      <w:pPr>
        <w:pStyle w:val="Normal"/>
        <w:widowControl/>
        <w:bidi w:val="0"/>
        <w:ind w:hanging="0" w:start="0" w:end="180"/>
        <w:jc w:val="center"/>
        <w:rPr>
          <w:b/>
          <w:sz w:val="22"/>
        </w:rPr>
      </w:pPr>
      <w:r>
        <w:rPr>
          <w:b/>
          <w:sz w:val="22"/>
        </w:rPr>
        <w:t>ENRON CORP.</w:t>
      </w:r>
    </w:p>
    <w:p>
      <w:pPr>
        <w:pStyle w:val="Normal"/>
        <w:widowControl/>
        <w:bidi w:val="0"/>
        <w:spacing w:lineRule="exact" w:line="240"/>
        <w:ind w:hanging="0" w:start="0" w:end="180"/>
        <w:jc w:val="center"/>
        <w:rPr>
          <w:sz w:val="22"/>
          <w:u w:val="single"/>
        </w:rPr>
      </w:pPr>
      <w:r>
        <w:rPr>
          <w:sz w:val="22"/>
          <w:u w:val="single"/>
        </w:rPr>
      </w:r>
    </w:p>
    <w:p>
      <w:pPr>
        <w:pStyle w:val="Normal"/>
        <w:widowControl/>
        <w:bidi w:val="0"/>
        <w:spacing w:lineRule="exact" w:line="240"/>
        <w:ind w:hanging="0" w:start="0" w:end="180"/>
        <w:jc w:val="center"/>
        <w:rPr>
          <w:sz w:val="22"/>
        </w:rPr>
      </w:pPr>
      <w:r>
        <w:rPr>
          <w:sz w:val="22"/>
          <w:u w:val="single"/>
        </w:rPr>
        <w:t>Guaranty</w:t>
      </w:r>
    </w:p>
    <w:p>
      <w:pPr>
        <w:pStyle w:val="Normal"/>
        <w:widowControl/>
        <w:bidi w:val="0"/>
        <w:spacing w:lineRule="exact" w:line="48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(the “Guaranty”), dated as of </w:t>
      </w:r>
      <w:r>
        <w:rPr>
          <w:sz w:val="22"/>
          <w:u w:val="single"/>
        </w:rPr>
        <w:tab/>
        <w:tab/>
      </w:r>
      <w:r>
        <w:rPr>
          <w:sz w:val="22"/>
        </w:rPr>
        <w:t xml:space="preserve">, 2001, is made and entered into by </w:t>
      </w:r>
      <w:r>
        <w:rPr>
          <w:caps/>
          <w:sz w:val="22"/>
        </w:rPr>
        <w:t>Enron Corp.</w:t>
      </w:r>
      <w:r>
        <w:rPr>
          <w:sz w:val="22"/>
        </w:rPr>
        <w:t>, an Oregon corporation (“Guarantor”).</w:t>
      </w:r>
    </w:p>
    <w:p>
      <w:pPr>
        <w:pStyle w:val="Normal"/>
        <w:keepNext w:val="true"/>
        <w:widowControl/>
        <w:bidi w:val="0"/>
        <w:spacing w:lineRule="exact" w:line="240" w:before="480" w:after="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BodyTextIndent2"/>
        <w:widowControl/>
        <w:tabs>
          <w:tab w:val="clear" w:pos="1350"/>
        </w:tabs>
        <w:bidi w:val="0"/>
        <w:spacing w:lineRule="atLeast" w:line="240"/>
        <w:rPr>
          <w:rFonts w:ascii="Times New Roman" w:hAnsi="Times New Roman"/>
        </w:rPr>
      </w:pPr>
      <w:r>
        <w:rPr>
          <w:rFonts w:ascii="Times New Roman" w:hAnsi="Times New Roman"/>
        </w:rPr>
        <w:t xml:space="preserve">WHEREAS, CITY OF GLENDALE, a </w:t>
      </w:r>
      <w:r>
        <w:rPr>
          <w:rFonts w:ascii="Times New Roman" w:hAnsi="Times New Roman"/>
          <w:b/>
          <w:u w:val="single"/>
        </w:rPr>
        <w:t>municipal corporation</w:t>
      </w:r>
      <w:r>
        <w:rPr>
          <w:rFonts w:ascii="Times New Roman" w:hAnsi="Times New Roman"/>
        </w:rPr>
        <w:t xml:space="preserv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$25,000,000.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bidi w:val="0"/>
        <w:spacing w:lineRule="atLeast" w:line="240"/>
        <w:ind w:firstLine="720" w:start="0" w:end="0"/>
        <w:jc w:val="both"/>
        <w:rPr>
          <w:sz w:val="22"/>
        </w:rPr>
      </w:pPr>
      <w:r>
        <w:rPr>
          <w:sz w:val="22"/>
        </w:rPr>
      </w:r>
    </w:p>
    <w:p>
      <w:pPr>
        <w:pStyle w:val="Normal"/>
        <w:keepNext w:val="true"/>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sz w:val="22"/>
              </w:rPr>
              <w:t>City of Glendale</w:t>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b/>
                <w:color w:val="000000"/>
                <w:sz w:val="22"/>
                <w:u w:val="single"/>
              </w:rPr>
              <w:t>141 N. Glendale Ave., 4</w:t>
            </w:r>
            <w:r>
              <w:rPr>
                <w:b/>
                <w:color w:val="000000"/>
                <w:sz w:val="22"/>
                <w:u w:val="single"/>
                <w:vertAlign w:val="superscript"/>
              </w:rPr>
              <w:t>th</w:t>
            </w:r>
            <w:r>
              <w:rPr>
                <w:color w:val="000000"/>
                <w:sz w:val="22"/>
              </w:rPr>
              <w:t xml:space="preserve"> </w:t>
            </w:r>
            <w:r>
              <w:rPr>
                <w:b/>
                <w:color w:val="000000"/>
                <w:sz w:val="22"/>
                <w:u w:val="single"/>
              </w:rPr>
              <w:t>Level</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1400 Smith Street</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pPr>
            <w:r>
              <w:rPr>
                <w:b/>
                <w:color w:val="000000"/>
                <w:sz w:val="22"/>
                <w:u w:val="single"/>
              </w:rPr>
              <w:t>Glendale, California  91206-4496</w:t>
            </w:r>
          </w:p>
        </w:tc>
        <w:tc>
          <w:tcPr>
            <w:tcW w:w="1530"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sz w:val="22"/>
              </w:rPr>
              <w:t>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b/>
                <w:color w:val="000000"/>
                <w:sz w:val="22"/>
                <w:u w:val="single"/>
              </w:rPr>
            </w:pPr>
            <w:r>
              <w:rPr>
                <w:color w:val="000000"/>
                <w:sz w:val="22"/>
              </w:rPr>
              <w:t xml:space="preserve">Attn.:  </w:t>
            </w:r>
            <w:r>
              <w:rPr>
                <w:b/>
                <w:color w:val="000000"/>
                <w:sz w:val="22"/>
                <w:u w:val="single"/>
              </w:rPr>
              <w:t>Director Public Service</w:t>
            </w:r>
          </w:p>
          <w:p>
            <w:pPr>
              <w:pStyle w:val="Normal"/>
              <w:keepNext w:val="true"/>
              <w:keepLines/>
              <w:widowControl/>
              <w:tabs>
                <w:tab w:val="clear" w:pos="720"/>
                <w:tab w:val="left" w:pos="3132" w:leader="none"/>
              </w:tabs>
              <w:bidi w:val="0"/>
              <w:spacing w:lineRule="atLeast" w:line="240"/>
              <w:ind w:hanging="0" w:start="0" w:end="0"/>
              <w:jc w:val="start"/>
              <w:rPr/>
            </w:pPr>
            <w:r>
              <w:rPr>
                <w:b/>
                <w:color w:val="000000"/>
                <w:sz w:val="22"/>
                <w:u w:val="single"/>
              </w:rPr>
              <w:t>Fax:  (818) 552-2852</w:t>
            </w:r>
          </w:p>
        </w:tc>
        <w:tc>
          <w:tcPr>
            <w:tcW w:w="1530"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sz w:val="22"/>
              </w:rPr>
              <w:t>Attn.:  Vice President, Finance and Treasurer</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strike/>
                <w:color w:val="000000"/>
                <w:sz w:val="22"/>
              </w:rPr>
              <w:t>Fax No.:</w:t>
            </w:r>
            <w:r>
              <w:rPr>
                <w:color w:val="000000"/>
                <w:sz w:val="22"/>
              </w:rPr>
              <w:t xml:space="preserve"> </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Fax No.:  (713) 646-3422</w:t>
            </w:r>
          </w:p>
        </w:tc>
      </w:tr>
    </w:tbl>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p>
      <w:pPr>
        <w:pStyle w:val="Normal"/>
        <w:widowControl/>
        <w:bidi w:val="0"/>
        <w:spacing w:lineRule="atLeast" w:line="240"/>
        <w:ind w:hanging="0" w:start="0" w:end="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r>
      <w:r>
        <w:rPr>
          <w:sz w:val="22"/>
        </w:rPr>
        <w:t>, 2001, but it is effective as of the date first above written.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hanging="0" w:start="5040" w:end="0"/>
        <w:jc w:val="both"/>
        <w:rPr>
          <w:b/>
          <w:sz w:val="22"/>
        </w:rPr>
      </w:pPr>
      <w:r>
        <w:rPr>
          <w:b/>
          <w:sz w:val="22"/>
        </w:rPr>
        <w:t>ENRON CORP.</w:t>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Title:  </w:t>
      </w:r>
      <w:r>
        <w:rPr>
          <w:sz w:val="22"/>
          <w:u w:val="single"/>
        </w:rPr>
        <w:tab/>
        <w:tab/>
        <w:tab/>
        <w:tab/>
        <w:tab/>
        <w:tab/>
      </w:r>
    </w:p>
    <w:p>
      <w:pPr>
        <w:pStyle w:val="Normal"/>
        <w:widowControl/>
        <w:bidi w:val="0"/>
        <w:ind w:hanging="0" w:start="0" w:end="0"/>
        <w:jc w:val="start"/>
        <w:rPr>
          <w:sz w:val="22"/>
        </w:rPr>
      </w:pPr>
      <w:r>
        <w:rPr>
          <w:sz w:val="22"/>
        </w:rPr>
      </w:r>
    </w:p>
    <w:p>
      <w:pPr>
        <w:pStyle w:val="Normal"/>
        <w:widowControl/>
        <w:bidi w:val="0"/>
        <w:spacing w:before="0" w:after="240"/>
        <w:ind w:hanging="0" w:start="4320" w:end="0"/>
        <w:jc w:val="start"/>
        <w:rPr/>
      </w:pPr>
      <w:r>
        <w:rPr/>
      </w:r>
    </w:p>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720" w:top="1440" w:footer="835"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Normal"/>
      <w:widowControl/>
      <w:bidi w:val="0"/>
      <w:ind w:hanging="0" w:start="0" w:end="0"/>
      <w:jc w:val="start"/>
      <w:rPr/>
    </w:pPr>
    <w:r>
      <w:rPr/>
    </w:r>
  </w:p>
  <w:p>
    <w:pPr>
      <w:pStyle w:val="Footer"/>
      <w:bidi w:val="0"/>
      <w:jc w:val="center"/>
      <w:rPr>
        <w:rFonts w:ascii="Times New Roman" w:hAnsi="Times New Roman"/>
      </w:rPr>
    </w:pP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Normal"/>
      <w:widowControl/>
      <w:bidi w:val="0"/>
      <w:ind w:hanging="0" w:start="0" w:end="0"/>
      <w:jc w:val="start"/>
      <w:rPr/>
    </w:pPr>
    <w:r>
      <w:rPr/>
    </w:r>
  </w:p>
  <w:p>
    <w:pPr>
      <w:pStyle w:val="Footer"/>
      <w:bidi w:val="0"/>
      <w:jc w:val="center"/>
      <w:rPr>
        <w:rFonts w:ascii="Times New Roman" w:hAnsi="Times New Roman"/>
      </w:rPr>
    </w:pP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/mnt/main-storage/datasets/enron-docs/rtf/3.861315.NJP0FAMURXAJFCLXZVLUY5AZH2GGV0FIB.2.rtf</w:t>
    </w:r>
    <w:r>
      <w:rPr>
        <w:rStyle w:val="PageNumber"/>
        <w:sz w:val="12"/>
        <w:lang w:val="en-US" w:eastAsia="en-US"/>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15</w:t>
                          </w:r>
                          <w:r>
                            <w:rPr>
                              <w:rStyle w:val="PageNumber"/>
                              <w:sz w:val="20"/>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15</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/mnt/main-storage/datasets/enron-docs/rtf/3.861315.NJP0FAMURXAJFCLXZVLUY5AZH2GGV0FIB.2.rtf</w:t>
    </w:r>
    <w:r>
      <w:rPr>
        <w:rStyle w:val="PageNumber"/>
        <w:sz w:val="12"/>
        <w:lang w:val="en-US" w:eastAsia="en-US"/>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15</w:t>
                          </w:r>
                          <w:r>
                            <w:rPr>
                              <w:rStyle w:val="PageNumber"/>
                              <w:sz w:val="20"/>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15</w:t>
                    </w:r>
                    <w:r>
                      <w:rPr>
                        <w:rStyle w:val="PageNumber"/>
                        <w:sz w:val="20"/>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/mnt/main-storage/datasets/enron-docs/rtf/3.861315.NJP0FAMURXAJFCLXZVLUY5AZH2GGV0FIB.2.rtf</w:t>
    </w:r>
    <w:r>
      <w:rPr>
        <w:sz w:val="12"/>
      </w:rPr>
      <w:fldChar w:fldCharType="end"/>
    </w:r>
  </w:p>
  <w:p>
    <w:pPr>
      <w:pStyle w:val="Footer"/>
      <w:bidi w:val="0"/>
      <w:jc w:val="center"/>
      <w:rPr>
        <w:rFonts w:ascii="Times New Roman" w:hAnsi="Times New Roman"/>
        <w:sz w:val="20"/>
      </w:rPr>
    </w:pPr>
    <w:r>
      <w:rPr>
        <w:sz w:val="20"/>
      </w:rPr>
      <w:t>Annex A</w:t>
    </w:r>
  </w:p>
  <w:p>
    <w:pPr>
      <w:pStyle w:val="Footer"/>
      <w:bidi w:val="0"/>
      <w:jc w:val="center"/>
      <w:rPr>
        <w:rFonts w:ascii="Times New Roman" w:hAnsi="Times New Roman"/>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ms Rm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auto"/>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12536</Words>
  <Characters>87752</Characters>
  <CharactersWithSpaces>71456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2001-08-27T16:12:00Z</dcterms:created>
  <dc:creator>mheard</dc:creator>
  <dc:description/>
  <dc:language>en-US</dc:language>
  <cp:lastModifiedBy/>
  <cp:lastPrinted>2001-02-12T17:01:00Z</cp:lastPrinted>
  <dcterms:modified xsi:type="dcterms:W3CDTF">2001-08-27T16:12:00Z</dcterms:modified>
  <cp:revision>2</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kward</vt:lpwstr>
  </property>
</Properties>
</file>