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center"/>
        <w:rPr>
          <w:rFonts w:ascii="Arial Narrow" w:hAnsi="Arial Narrow"/>
          <w:b/>
          <w:sz w:val="18"/>
        </w:rPr>
      </w:pPr>
      <w:r>
        <w:rPr>
          <w:rFonts w:ascii="Arial Narrow" w:hAnsi="Arial Narrow"/>
          <w:b/>
          <w:sz w:val="18"/>
        </w:rPr>
      </w:r>
    </w:p>
    <w:p>
      <w:pPr>
        <w:pStyle w:val="Normal"/>
        <w:bidi w:val="0"/>
        <w:ind w:hanging="0" w:start="0" w:end="0"/>
        <w:jc w:val="center"/>
        <w:rPr>
          <w:rFonts w:ascii="Arial Narrow" w:hAnsi="Arial Narrow"/>
          <w:b/>
          <w:sz w:val="18"/>
        </w:rPr>
      </w:pPr>
      <w:r>
        <w:rPr>
          <w:rFonts w:ascii="Arial Narrow" w:hAnsi="Arial Narrow"/>
          <w:b/>
          <w:sz w:val="18"/>
        </w:rPr>
        <w:t>ENFOLIO</w:t>
      </w:r>
      <w:r>
        <w:rPr>
          <w:rFonts w:ascii="Arial Narrow" w:hAnsi="Arial Narrow"/>
          <w:b/>
          <w:position w:val="6"/>
          <w:sz w:val="18"/>
        </w:rPr>
        <w:t>®</w:t>
      </w:r>
      <w:r>
        <w:rPr>
          <w:rFonts w:ascii="Arial Narrow" w:hAnsi="Arial Narrow"/>
          <w:b/>
          <w:sz w:val="18"/>
        </w:rPr>
        <w:t xml:space="preserve"> MASTER FIRM PURCHASE/SALE AGREEMENT</w:t>
      </w:r>
    </w:p>
    <w:p>
      <w:pPr>
        <w:pStyle w:val="Normal"/>
        <w:bidi w:val="0"/>
        <w:ind w:hanging="0" w:start="0" w:end="0"/>
        <w:jc w:val="both"/>
        <w:rPr>
          <w:rFonts w:ascii="Arial Narrow" w:hAnsi="Arial Narrow"/>
          <w:sz w:val="18"/>
        </w:rPr>
      </w:pPr>
      <w:r>
        <w:rPr>
          <w:rFonts w:ascii="Arial Narrow" w:hAnsi="Arial Narrow"/>
          <w:sz w:val="18"/>
        </w:rPr>
        <w:br/>
        <w:t>Enron North America Corp., a Delaware corporation ("</w:t>
      </w:r>
      <w:r>
        <w:rPr>
          <w:rFonts w:ascii="Arial Narrow" w:hAnsi="Arial Narrow"/>
          <w:sz w:val="18"/>
          <w:u w:val="single"/>
        </w:rPr>
        <w:t>Company</w:t>
      </w:r>
      <w:r>
        <w:rPr>
          <w:rFonts w:ascii="Arial Narrow" w:hAnsi="Arial Narrow"/>
          <w:sz w:val="18"/>
        </w:rPr>
        <w:t>"), and Cargill Energy, a Division of Cargill Incorporated, a Delaware corporation ("</w:t>
      </w:r>
      <w:r>
        <w:rPr>
          <w:rFonts w:ascii="Arial Narrow" w:hAnsi="Arial Narrow"/>
          <w:sz w:val="18"/>
          <w:u w:val="single"/>
        </w:rPr>
        <w:t>Customer</w:t>
      </w:r>
      <w:r>
        <w:rPr>
          <w:rFonts w:ascii="Arial Narrow" w:hAnsi="Arial Narrow"/>
          <w:sz w:val="18"/>
        </w:rPr>
        <w:t>"), referred to collectively as the "</w:t>
      </w:r>
      <w:r>
        <w:rPr>
          <w:rFonts w:ascii="Arial Narrow" w:hAnsi="Arial Narrow"/>
          <w:sz w:val="18"/>
          <w:u w:val="single"/>
        </w:rPr>
        <w:t>Parties</w:t>
      </w:r>
      <w:r>
        <w:rPr>
          <w:rFonts w:ascii="Arial Narrow" w:hAnsi="Arial Narrow"/>
          <w:sz w:val="18"/>
        </w:rPr>
        <w:t>," enter into this Master Firm Purchase/Sale Agreement (together with all Transactions, collectively, this "</w:t>
      </w:r>
      <w:r>
        <w:rPr>
          <w:rFonts w:ascii="Arial Narrow" w:hAnsi="Arial Narrow"/>
          <w:sz w:val="18"/>
          <w:u w:val="single"/>
        </w:rPr>
        <w:t>Agreement</w:t>
      </w:r>
      <w:r>
        <w:rPr>
          <w:rFonts w:ascii="Arial Narrow" w:hAnsi="Arial Narrow"/>
          <w:sz w:val="18"/>
        </w:rPr>
        <w:t>") effective as of the 1</w:t>
      </w:r>
      <w:r>
        <w:rPr>
          <w:rFonts w:ascii="Arial Narrow" w:hAnsi="Arial Narrow"/>
          <w:sz w:val="18"/>
          <w:vertAlign w:val="superscript"/>
        </w:rPr>
        <w:t>st</w:t>
      </w:r>
      <w:r>
        <w:rPr>
          <w:rFonts w:ascii="Arial Narrow" w:hAnsi="Arial Narrow"/>
          <w:sz w:val="18"/>
        </w:rPr>
        <w:t xml:space="preserve"> Day of April, 2001 (the "</w:t>
      </w:r>
      <w:r>
        <w:rPr>
          <w:rFonts w:ascii="Arial Narrow" w:hAnsi="Arial Narrow"/>
          <w:sz w:val="18"/>
          <w:u w:val="single"/>
        </w:rPr>
        <w:t>Effective Date</w:t>
      </w:r>
      <w:r>
        <w:rPr>
          <w:rFonts w:ascii="Arial Narrow" w:hAnsi="Arial Narrow"/>
          <w:sz w:val="18"/>
        </w:rPr>
        <w:t>").  The ENFOLIO</w:t>
      </w:r>
      <w:r>
        <w:rPr>
          <w:rFonts w:ascii="Arial Narrow" w:hAnsi="Arial Narrow"/>
          <w:position w:val="6"/>
          <w:sz w:val="18"/>
        </w:rPr>
        <w:t xml:space="preserve"> </w:t>
      </w:r>
      <w:r>
        <w:rPr>
          <w:rFonts w:ascii="Arial Narrow" w:hAnsi="Arial Narrow"/>
          <w:sz w:val="18"/>
        </w:rPr>
        <w:t xml:space="preserve">General Provisions set forth in </w:t>
      </w:r>
      <w:r>
        <w:rPr>
          <w:rFonts w:ascii="Arial Narrow" w:hAnsi="Arial Narrow"/>
          <w:sz w:val="18"/>
          <w:u w:val="single"/>
        </w:rPr>
        <w:t>Appendix "1"</w:t>
      </w:r>
      <w:r>
        <w:rPr>
          <w:rFonts w:ascii="Arial Narrow" w:hAnsi="Arial Narrow"/>
          <w:sz w:val="18"/>
        </w:rPr>
        <w:t xml:space="preserve"> shall apply to this Agreement.</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sz w:val="18"/>
        </w:rPr>
      </w:pPr>
      <w:r>
        <w:rPr>
          <w:rFonts w:ascii="Arial Narrow" w:hAnsi="Arial Narrow"/>
          <w:b/>
          <w:sz w:val="18"/>
          <w:u w:val="single"/>
        </w:rPr>
        <w:t>ARTICLE 1. TERM</w:t>
      </w:r>
      <w:r>
        <w:rPr>
          <w:rFonts w:ascii="Arial Narrow" w:hAnsi="Arial Narrow"/>
          <w:b/>
          <w:sz w:val="18"/>
        </w:rPr>
        <w:t xml:space="preserve"> </w:t>
      </w:r>
      <w:r>
        <w:rPr>
          <w:rFonts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ascii="Arial Narrow" w:hAnsi="Arial Narrow"/>
          <w:sz w:val="18"/>
          <w:u w:val="single"/>
        </w:rPr>
        <w:t>Section 8.4</w:t>
      </w:r>
      <w:r>
        <w:rPr>
          <w:rFonts w:ascii="Arial Narrow" w:hAnsi="Arial Narrow"/>
          <w:sz w:val="18"/>
        </w:rPr>
        <w:t>.</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2. SCOPE OF AGREEMENT</w:t>
      </w:r>
      <w:r>
        <w:rPr>
          <w:rFonts w:ascii="Arial Narrow" w:hAnsi="Arial Narrow"/>
          <w:b/>
          <w:sz w:val="18"/>
        </w:rPr>
        <w:t xml:space="preserve">  2.1. </w:t>
      </w:r>
      <w:r>
        <w:rPr>
          <w:rFonts w:ascii="Arial Narrow" w:hAnsi="Arial Narrow"/>
          <w:b/>
          <w:sz w:val="18"/>
          <w:u w:val="single"/>
        </w:rPr>
        <w:t>Scope of Agreement</w:t>
      </w:r>
      <w:r>
        <w:rPr>
          <w:rFonts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ascii="Arial Narrow" w:hAnsi="Arial Narrow"/>
          <w:sz w:val="18"/>
          <w:u w:val="single"/>
        </w:rPr>
        <w:t>Article 2</w:t>
      </w:r>
      <w:r>
        <w:rPr>
          <w:rFonts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2.2. </w:t>
      </w:r>
      <w:r>
        <w:rPr>
          <w:rFonts w:ascii="Arial Narrow" w:hAnsi="Arial Narrow"/>
          <w:b/>
          <w:sz w:val="18"/>
          <w:u w:val="single"/>
        </w:rPr>
        <w:t>Transaction Procedures</w:t>
      </w:r>
      <w:r>
        <w:rPr>
          <w:rFonts w:ascii="Arial Narrow" w:hAnsi="Arial Narrow"/>
          <w:sz w:val="18"/>
        </w:rPr>
        <w:t xml:space="preserve">.  It is the intent of the Parties to facilitate Transactions in accordance with the agreed procedures in this </w:t>
      </w:r>
      <w:r>
        <w:rPr>
          <w:rFonts w:ascii="Arial Narrow" w:hAnsi="Arial Narrow"/>
          <w:sz w:val="18"/>
          <w:u w:val="single"/>
        </w:rPr>
        <w:t>Article 2</w:t>
      </w:r>
      <w:r>
        <w:rPr>
          <w:rFonts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ascii="Arial Narrow" w:hAnsi="Arial Narrow"/>
          <w:sz w:val="18"/>
          <w:u w:val="single"/>
        </w:rPr>
        <w:t>Article 2</w:t>
      </w:r>
      <w:r>
        <w:rPr>
          <w:rFonts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2.3. </w:t>
      </w:r>
      <w:r>
        <w:rPr>
          <w:rFonts w:ascii="Arial Narrow" w:hAnsi="Arial Narrow"/>
          <w:b/>
          <w:sz w:val="18"/>
          <w:u w:val="single"/>
        </w:rPr>
        <w:t>Equipment and Transaction Tape</w:t>
      </w:r>
      <w:r>
        <w:rPr>
          <w:rFonts w:ascii="Arial Narrow" w:hAnsi="Arial Narrow"/>
          <w:sz w:val="18"/>
        </w:rPr>
        <w:t>. Each Party shall at its expense maintain equipment necessary to regularly record Transactions on Transaction Tapes and retain Transaction Tapes in such manner as to protect its business records from improper access; provided, neither Party shall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2.4. </w:t>
      </w:r>
      <w:r>
        <w:rPr>
          <w:rFonts w:ascii="Arial Narrow" w:hAnsi="Arial Narrow"/>
          <w:b/>
          <w:sz w:val="18"/>
          <w:u w:val="single"/>
        </w:rPr>
        <w:t>Confirmations</w:t>
      </w:r>
      <w:r>
        <w:rPr>
          <w:rFonts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2.5. </w:t>
      </w:r>
      <w:r>
        <w:rPr>
          <w:rFonts w:ascii="Arial Narrow" w:hAnsi="Arial Narrow"/>
          <w:b/>
          <w:sz w:val="18"/>
          <w:u w:val="single"/>
        </w:rPr>
        <w:t>Enforcement of Transactions</w:t>
      </w:r>
      <w:r>
        <w:rPr>
          <w:rFonts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3.  QUANTITY OBLIGATIONS</w:t>
      </w:r>
      <w:r>
        <w:rPr>
          <w:rFonts w:ascii="Arial Narrow" w:hAnsi="Arial Narrow"/>
          <w:sz w:val="18"/>
        </w:rPr>
        <w:t xml:space="preserve">  </w:t>
      </w:r>
      <w:r>
        <w:rPr>
          <w:rFonts w:ascii="Arial Narrow" w:hAnsi="Arial Narrow"/>
          <w:b/>
          <w:sz w:val="18"/>
        </w:rPr>
        <w:tab/>
        <w:t>3.1.</w:t>
      </w:r>
      <w:r>
        <w:rPr>
          <w:rFonts w:ascii="Arial Narrow" w:hAnsi="Arial Narrow"/>
          <w:sz w:val="18"/>
        </w:rPr>
        <w:t xml:space="preserve"> </w:t>
      </w:r>
      <w:r>
        <w:rPr>
          <w:rFonts w:ascii="Arial Narrow" w:hAnsi="Arial Narrow"/>
          <w:b/>
          <w:sz w:val="18"/>
          <w:u w:val="single"/>
        </w:rPr>
        <w:t>Seller's Sales Obligation</w:t>
      </w:r>
      <w:r>
        <w:rPr>
          <w:rFonts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ascii="Arial Narrow" w:hAnsi="Arial Narrow"/>
          <w:sz w:val="18"/>
          <w:u w:val="single"/>
        </w:rPr>
        <w:t>Buyer's Requested Quantity</w:t>
      </w:r>
      <w:r>
        <w:rPr>
          <w:rFonts w:ascii="Arial Narrow" w:hAnsi="Arial Narrow"/>
          <w:sz w:val="18"/>
        </w:rPr>
        <w:t xml:space="preserve">").  Unless otherwise agreed nothing in this Agreement, and in particular this </w:t>
      </w:r>
      <w:r>
        <w:rPr>
          <w:rFonts w:ascii="Arial Narrow" w:hAnsi="Arial Narrow"/>
          <w:sz w:val="18"/>
          <w:u w:val="single"/>
        </w:rPr>
        <w:t>Article 3</w:t>
      </w:r>
      <w:r>
        <w:rPr>
          <w:rFonts w:ascii="Arial Narrow" w:hAnsi="Arial Narrow"/>
          <w:sz w:val="18"/>
        </w:rPr>
        <w:t>, shall require or permit either Party to Schedule Gas at a point other than a Delivery Point or in excess of the DCQ, Maximum Daily Delivery Point Quantity or MaxDQ, as applicable.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3.2.</w:t>
      </w:r>
      <w:r>
        <w:rPr>
          <w:rFonts w:ascii="Arial Narrow" w:hAnsi="Arial Narrow"/>
          <w:sz w:val="18"/>
        </w:rPr>
        <w:t xml:space="preserve"> </w:t>
      </w:r>
      <w:r>
        <w:rPr>
          <w:rFonts w:ascii="Arial Narrow" w:hAnsi="Arial Narrow"/>
          <w:b/>
          <w:sz w:val="18"/>
          <w:u w:val="single"/>
        </w:rPr>
        <w:t>Seller's Failure to Schedule</w:t>
      </w:r>
      <w:r>
        <w:rPr>
          <w:rFonts w:ascii="Arial Narrow" w:hAnsi="Arial Narrow"/>
          <w:sz w:val="18"/>
        </w:rPr>
        <w:t>.  If on any Gas Day Seller fails to Schedule Buyer's Requested Quantity, then such occurrence shall constitute a "</w:t>
      </w:r>
      <w:r>
        <w:rPr>
          <w:rFonts w:ascii="Arial Narrow" w:hAnsi="Arial Narrow"/>
          <w:sz w:val="18"/>
          <w:u w:val="single"/>
        </w:rPr>
        <w:t>Seller's Deficiency Default</w:t>
      </w:r>
      <w:r>
        <w:rPr>
          <w:rFonts w:ascii="Arial Narrow" w:hAnsi="Arial Narrow"/>
          <w:sz w:val="18"/>
        </w:rPr>
        <w:t>" and "</w:t>
      </w:r>
      <w:r>
        <w:rPr>
          <w:rFonts w:ascii="Arial Narrow" w:hAnsi="Arial Narrow"/>
          <w:sz w:val="18"/>
          <w:u w:val="single"/>
        </w:rPr>
        <w:t>Seller's Deficiency Quantity</w:t>
      </w:r>
      <w:r>
        <w:rPr>
          <w:rFonts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ascii="Arial Narrow" w:hAnsi="Arial Narrow"/>
          <w:sz w:val="18"/>
          <w:u w:val="single"/>
        </w:rPr>
        <w:t>plus</w:t>
      </w:r>
      <w:r>
        <w:rPr>
          <w:rFonts w:ascii="Arial Narrow" w:hAnsi="Arial Narrow"/>
          <w:sz w:val="18"/>
        </w:rPr>
        <w:t xml:space="preserve"> (ii) liquidated damages equal to $0.10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ascii="Arial Narrow" w:hAnsi="Arial Narrow"/>
          <w:sz w:val="18"/>
          <w:u w:val="single"/>
        </w:rPr>
        <w:t>Section 3.5</w:t>
      </w:r>
      <w:r>
        <w:rPr>
          <w:rFonts w:ascii="Arial Narrow" w:hAnsi="Arial Narrow"/>
          <w:sz w:val="18"/>
        </w:rPr>
        <w:t>, payment to Buyer shall be made on the 25th Day of the Month in which Seller receives Buyer's statement for same.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3.3.</w:t>
      </w:r>
      <w:r>
        <w:rPr>
          <w:rFonts w:ascii="Arial Narrow" w:hAnsi="Arial Narrow"/>
          <w:sz w:val="18"/>
        </w:rPr>
        <w:t xml:space="preserve"> </w:t>
      </w:r>
      <w:r>
        <w:rPr>
          <w:rFonts w:ascii="Arial Narrow" w:hAnsi="Arial Narrow"/>
          <w:b/>
          <w:sz w:val="18"/>
          <w:u w:val="single"/>
        </w:rPr>
        <w:t>Buyer's Purchase Obligation</w:t>
      </w:r>
      <w:r>
        <w:rPr>
          <w:rFonts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bidi w:val="0"/>
        <w:ind w:hanging="0" w:start="0" w:end="0"/>
        <w:jc w:val="both"/>
        <w:rPr>
          <w:rFonts w:ascii="Arial Narrow" w:hAnsi="Arial Narrow"/>
          <w:sz w:val="18"/>
        </w:rPr>
      </w:pPr>
      <w:r>
        <w:rPr>
          <w:rFonts w:ascii="Arial Narrow" w:hAnsi="Arial Narrow"/>
          <w:sz w:val="18"/>
        </w:rPr>
      </w:r>
    </w:p>
    <w:p>
      <w:pPr>
        <w:pStyle w:val="Normal"/>
        <w:tabs>
          <w:tab w:val="clear" w:pos="720"/>
          <w:tab w:val="left" w:pos="5130" w:leader="none"/>
          <w:tab w:val="left" w:pos="5184" w:leader="none"/>
        </w:tabs>
        <w:bidi w:val="0"/>
        <w:ind w:hanging="0" w:start="0" w:end="0"/>
        <w:jc w:val="both"/>
        <w:rPr>
          <w:rFonts w:ascii="Arial Narrow" w:hAnsi="Arial Narrow"/>
          <w:sz w:val="18"/>
          <w:u w:val="single"/>
        </w:rPr>
      </w:pPr>
      <w:r>
        <w:rPr>
          <w:rFonts w:ascii="Arial Narrow" w:hAnsi="Arial Narrow"/>
          <w:b/>
          <w:sz w:val="18"/>
        </w:rPr>
        <w:t xml:space="preserve">3.4. </w:t>
      </w:r>
      <w:r>
        <w:rPr>
          <w:rFonts w:ascii="Arial Narrow" w:hAnsi="Arial Narrow"/>
          <w:b/>
          <w:sz w:val="18"/>
          <w:u w:val="single"/>
        </w:rPr>
        <w:t>Buyer's Failure to Schedule</w:t>
      </w:r>
      <w:r>
        <w:rPr>
          <w:rFonts w:ascii="Arial Narrow" w:hAnsi="Arial Narrow"/>
          <w:sz w:val="18"/>
        </w:rPr>
        <w:t>.  If on any Gas Day Buyer fails to Schedule the DCQ or MinDQ, if applicable, then such occurrence shall constitute a "</w:t>
      </w:r>
      <w:r>
        <w:rPr>
          <w:rFonts w:ascii="Arial Narrow" w:hAnsi="Arial Narrow"/>
          <w:sz w:val="18"/>
          <w:u w:val="single"/>
        </w:rPr>
        <w:t>Buyer's Deficiency Default</w:t>
      </w:r>
      <w:r>
        <w:rPr>
          <w:rFonts w:ascii="Arial Narrow" w:hAnsi="Arial Narrow"/>
          <w:sz w:val="18"/>
        </w:rPr>
        <w:t>" and "</w:t>
      </w:r>
      <w:r>
        <w:rPr>
          <w:rFonts w:ascii="Arial Narrow" w:hAnsi="Arial Narrow"/>
          <w:sz w:val="18"/>
          <w:u w:val="single"/>
        </w:rPr>
        <w:t>Buyer's Deficiency Quantity</w:t>
      </w:r>
      <w:r>
        <w:rPr>
          <w:rFonts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ascii="Arial Narrow" w:hAnsi="Arial Narrow"/>
          <w:sz w:val="18"/>
          <w:u w:val="single"/>
        </w:rPr>
        <w:t>plus</w:t>
      </w:r>
      <w:r>
        <w:rPr>
          <w:rFonts w:ascii="Arial Narrow" w:hAnsi="Arial Narrow"/>
          <w:sz w:val="18"/>
        </w:rPr>
        <w:t xml:space="preserve"> (ii) liquidated damages equal to           $0.10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ascii="Arial Narrow" w:hAnsi="Arial Narrow"/>
          <w:sz w:val="18"/>
          <w:u w:val="single"/>
        </w:rPr>
        <w:t>Section 3.5</w:t>
      </w:r>
      <w:r>
        <w:rPr>
          <w:rFonts w:ascii="Arial Narrow" w:hAnsi="Arial Narrow"/>
          <w:sz w:val="18"/>
        </w:rPr>
        <w:t xml:space="preserve">, payment to Seller shall be made in accordance with the Financial Matters provisions set forth in </w:t>
      </w:r>
      <w:r>
        <w:rPr>
          <w:rFonts w:ascii="Arial Narrow" w:hAnsi="Arial Narrow"/>
          <w:sz w:val="18"/>
          <w:u w:val="single"/>
        </w:rPr>
        <w:t>Appendix "1."</w:t>
      </w:r>
    </w:p>
    <w:p>
      <w:pPr>
        <w:pStyle w:val="Normal"/>
        <w:bidi w:val="0"/>
        <w:ind w:hanging="0" w:start="0" w:end="0"/>
        <w:jc w:val="both"/>
        <w:rPr>
          <w:rFonts w:ascii="Arial Narrow" w:hAnsi="Arial Narrow"/>
          <w:sz w:val="18"/>
          <w:u w:val="single"/>
        </w:rPr>
      </w:pPr>
      <w:r>
        <w:rPr>
          <w:rFonts w:ascii="Arial Narrow" w:hAnsi="Arial Narrow"/>
          <w:sz w:val="18"/>
          <w:u w:val="single"/>
        </w:rPr>
      </w:r>
    </w:p>
    <w:p>
      <w:pPr>
        <w:pStyle w:val="Normal"/>
        <w:bidi w:val="0"/>
        <w:ind w:hanging="0" w:start="0" w:end="0"/>
        <w:jc w:val="both"/>
        <w:rPr>
          <w:rFonts w:ascii="Arial Narrow" w:hAnsi="Arial Narrow"/>
          <w:sz w:val="18"/>
        </w:rPr>
      </w:pPr>
      <w:r>
        <w:rPr>
          <w:rFonts w:ascii="Arial Narrow" w:hAnsi="Arial Narrow"/>
          <w:b/>
          <w:sz w:val="18"/>
        </w:rPr>
        <w:t xml:space="preserve">3.5. </w:t>
      </w:r>
      <w:r>
        <w:rPr>
          <w:rFonts w:ascii="Arial Narrow" w:hAnsi="Arial Narrow"/>
          <w:b/>
          <w:sz w:val="18"/>
          <w:u w:val="single"/>
        </w:rPr>
        <w:t>Netting</w:t>
      </w:r>
      <w:r>
        <w:rPr>
          <w:rFonts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4.  DEFAULTS AND REMEDIES</w:t>
      </w:r>
      <w:r>
        <w:rPr>
          <w:rFonts w:ascii="Arial Narrow" w:hAnsi="Arial Narrow"/>
          <w:b/>
          <w:sz w:val="18"/>
        </w:rPr>
        <w:t xml:space="preserve">  4.1.</w:t>
      </w:r>
      <w:r>
        <w:rPr>
          <w:rFonts w:ascii="Arial Narrow" w:hAnsi="Arial Narrow"/>
          <w:sz w:val="18"/>
        </w:rPr>
        <w:t xml:space="preserve"> </w:t>
      </w:r>
      <w:r>
        <w:rPr>
          <w:rFonts w:ascii="Arial Narrow" w:hAnsi="Arial Narrow"/>
          <w:b/>
          <w:sz w:val="18"/>
          <w:u w:val="single"/>
        </w:rPr>
        <w:t>Early Termination</w:t>
      </w:r>
      <w:r>
        <w:rPr>
          <w:rFonts w:ascii="Arial Narrow" w:hAnsi="Arial Narrow"/>
          <w:sz w:val="18"/>
        </w:rPr>
        <w:t xml:space="preserve">.  If a Triggering Event (defined in </w:t>
      </w:r>
      <w:r>
        <w:rPr>
          <w:rFonts w:ascii="Arial Narrow" w:hAnsi="Arial Narrow"/>
          <w:sz w:val="18"/>
          <w:u w:val="single"/>
        </w:rPr>
        <w:t>Section 4.2</w:t>
      </w:r>
      <w:r>
        <w:rPr>
          <w:rFonts w:ascii="Arial Narrow" w:hAnsi="Arial Narrow"/>
          <w:sz w:val="18"/>
        </w:rPr>
        <w:t>) occurs with respect to either Party at any time during the term of this Agreement, the other Party (the "</w:t>
      </w:r>
      <w:r>
        <w:rPr>
          <w:rFonts w:ascii="Arial Narrow" w:hAnsi="Arial Narrow"/>
          <w:sz w:val="18"/>
          <w:u w:val="single"/>
        </w:rPr>
        <w:t>Notifying Party</w:t>
      </w:r>
      <w:r>
        <w:rPr>
          <w:rFonts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ascii="Arial Narrow" w:hAnsi="Arial Narrow"/>
          <w:sz w:val="18"/>
          <w:u w:val="single"/>
        </w:rPr>
        <w:t>Early Termination Date</w:t>
      </w:r>
      <w:r>
        <w:rPr>
          <w:rFonts w:ascii="Arial Narrow" w:hAnsi="Arial Narrow"/>
          <w:sz w:val="18"/>
        </w:rPr>
        <w:t xml:space="preserve">") except as provided in </w:t>
      </w:r>
      <w:r>
        <w:rPr>
          <w:rFonts w:ascii="Arial Narrow" w:hAnsi="Arial Narrow"/>
          <w:sz w:val="18"/>
          <w:u w:val="single"/>
        </w:rPr>
        <w:t>Section 8.4</w:t>
      </w:r>
      <w:r>
        <w:rPr>
          <w:rFonts w:ascii="Arial Narrow" w:hAnsi="Arial Narrow"/>
          <w:sz w:val="18"/>
        </w:rPr>
        <w:t xml:space="preserve">, and (ii) withhold any payments due in respect of such Transactions; provided, upon the occurrence of any Triggering Event listed in item (iv) of </w:t>
      </w:r>
      <w:r>
        <w:rPr>
          <w:rFonts w:ascii="Arial Narrow" w:hAnsi="Arial Narrow"/>
          <w:sz w:val="18"/>
          <w:u w:val="single"/>
        </w:rPr>
        <w:t>Section 4.2</w:t>
      </w:r>
      <w:r>
        <w:rPr>
          <w:rFonts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ascii="Arial Narrow" w:hAnsi="Arial Narrow"/>
          <w:sz w:val="18"/>
          <w:u w:val="single"/>
        </w:rPr>
        <w:t>Section 8.4</w:t>
      </w:r>
      <w:r>
        <w:rPr>
          <w:rFonts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ascii="Arial Narrow" w:hAnsi="Arial Narrow"/>
          <w:sz w:val="18"/>
          <w:u w:val="single"/>
        </w:rPr>
        <w:t>Termination Payment</w:t>
      </w:r>
      <w:r>
        <w:rPr>
          <w:rFonts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ascii="Arial Narrow" w:hAnsi="Arial Narrow"/>
          <w:sz w:val="18"/>
          <w:u w:val="single"/>
        </w:rPr>
        <w:t>Section 4.2</w:t>
      </w:r>
      <w:r>
        <w:rPr>
          <w:rFonts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ascii="Arial Narrow" w:hAnsi="Arial Narrow"/>
          <w:sz w:val="18"/>
          <w:u w:val="single"/>
        </w:rPr>
        <w:t>Article 4</w:t>
      </w:r>
      <w:r>
        <w:rPr>
          <w:rFonts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woes to the Notifying Party ( under this Agreement  or otherwise) against any or all amounts which the Notifying Party owes to the Affected Party (either under this Agreement or otherwise).</w:t>
      </w:r>
    </w:p>
    <w:p>
      <w:pPr>
        <w:pStyle w:val="Normal"/>
        <w:bidi w:val="0"/>
        <w:ind w:hanging="0" w:start="0" w:end="0"/>
        <w:jc w:val="both"/>
        <w:rPr>
          <w:rFonts w:ascii="Arial Narrow" w:hAnsi="Arial Narrow"/>
          <w:sz w:val="18"/>
        </w:rPr>
      </w:pPr>
      <w:r>
        <w:rPr>
          <w:rFonts w:ascii="Arial Narrow" w:hAnsi="Arial Narrow"/>
          <w:sz w:val="18"/>
        </w:rPr>
        <w:t xml:space="preserve"> </w:t>
      </w:r>
    </w:p>
    <w:p>
      <w:pPr>
        <w:pStyle w:val="Normal"/>
        <w:bidi w:val="0"/>
        <w:ind w:hanging="0" w:start="0" w:end="0"/>
        <w:jc w:val="both"/>
        <w:rPr>
          <w:rFonts w:ascii="Arial Narrow" w:hAnsi="Arial Narrow"/>
          <w:sz w:val="18"/>
        </w:rPr>
      </w:pPr>
      <w:r>
        <w:rPr>
          <w:rFonts w:ascii="Arial Narrow" w:hAnsi="Arial Narrow"/>
          <w:b/>
          <w:sz w:val="18"/>
        </w:rPr>
        <w:t>4.2.</w:t>
      </w:r>
      <w:r>
        <w:rPr>
          <w:rFonts w:ascii="Arial Narrow" w:hAnsi="Arial Narrow"/>
          <w:sz w:val="18"/>
        </w:rPr>
        <w:t xml:space="preserve"> </w:t>
      </w:r>
      <w:r>
        <w:rPr>
          <w:rFonts w:ascii="Arial Narrow" w:hAnsi="Arial Narrow"/>
          <w:b/>
          <w:sz w:val="18"/>
          <w:u w:val="single"/>
        </w:rPr>
        <w:t>Triggering Event</w:t>
      </w:r>
      <w:r>
        <w:rPr>
          <w:rFonts w:ascii="Arial Narrow" w:hAnsi="Arial Narrow"/>
          <w:sz w:val="18"/>
        </w:rPr>
        <w:t xml:space="preserve"> shall mean, with respect to a Party (the "</w:t>
      </w:r>
      <w:r>
        <w:rPr>
          <w:rFonts w:ascii="Arial Narrow" w:hAnsi="Arial Narrow"/>
          <w:sz w:val="18"/>
          <w:u w:val="single"/>
        </w:rPr>
        <w:t>Affected Party</w:t>
      </w:r>
      <w:r>
        <w:rPr>
          <w:rFonts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ascii="Arial Narrow" w:hAnsi="Arial Narrow"/>
          <w:sz w:val="18"/>
          <w:u w:val="single"/>
        </w:rPr>
        <w:t>Section 4.2</w:t>
      </w:r>
      <w:r>
        <w:rPr>
          <w:rFonts w:ascii="Arial Narrow" w:hAnsi="Arial Narrow"/>
          <w:sz w:val="18"/>
        </w:rPr>
        <w:t xml:space="preserve"> as a separate Triggering Event), and such failure is not excused by </w:t>
      </w:r>
      <w:r>
        <w:rPr>
          <w:rFonts w:ascii="Arial Narrow" w:hAnsi="Arial Narrow"/>
          <w:sz w:val="18"/>
          <w:u w:val="single"/>
        </w:rPr>
        <w:t>Force Majeure</w:t>
      </w:r>
      <w:r>
        <w:rPr>
          <w:rFonts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ascii="Arial Narrow" w:hAnsi="Arial Narrow"/>
          <w:sz w:val="18"/>
          <w:u w:val="single"/>
        </w:rPr>
        <w:t>sum</w:t>
      </w:r>
      <w:r>
        <w:rPr>
          <w:rFonts w:ascii="Arial Narrow" w:hAnsi="Arial Narrow"/>
          <w:sz w:val="18"/>
        </w:rPr>
        <w:t xml:space="preserve"> of (in each case rounding upwards for </w:t>
      </w:r>
      <w:r>
        <w:rPr>
          <w:rFonts w:ascii="Arial Narrow" w:hAnsi="Arial Narrow"/>
          <w:sz w:val="18"/>
          <w:u w:val="single"/>
        </w:rPr>
        <w:t>any</w:t>
      </w:r>
      <w:r>
        <w:rPr>
          <w:rFonts w:ascii="Arial Narrow" w:hAnsi="Arial Narrow"/>
          <w:sz w:val="18"/>
        </w:rPr>
        <w:t xml:space="preserve"> fractional amount to the next $250,000) (a) the Notifying Party's Termination Payment </w:t>
      </w:r>
      <w:r>
        <w:rPr>
          <w:rFonts w:ascii="Arial Narrow" w:hAnsi="Arial Narrow"/>
          <w:sz w:val="18"/>
          <w:u w:val="single"/>
        </w:rPr>
        <w:t>plus</w:t>
      </w:r>
      <w:r>
        <w:rPr>
          <w:rFonts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$100,000,000, or (viii)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sz w:val="18"/>
        </w:rPr>
      </w:pPr>
      <w:r>
        <w:rPr>
          <w:rFonts w:ascii="Arial Narrow" w:hAnsi="Arial Narrow"/>
          <w:b/>
          <w:sz w:val="18"/>
        </w:rPr>
        <w:t xml:space="preserve">4.3. </w:t>
      </w:r>
      <w:r>
        <w:rPr>
          <w:rFonts w:ascii="Arial Narrow" w:hAnsi="Arial Narrow"/>
          <w:b/>
          <w:sz w:val="18"/>
          <w:u w:val="single"/>
        </w:rPr>
        <w:t>Other Events</w:t>
      </w:r>
      <w:r>
        <w:rPr>
          <w:rFonts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ascii="Arial Narrow" w:hAnsi="Arial Narrow"/>
          <w:sz w:val="18"/>
          <w:u w:val="single"/>
        </w:rPr>
        <w:t>Section 4.1</w:t>
      </w:r>
      <w:r>
        <w:rPr>
          <w:rFonts w:ascii="Arial Narrow" w:hAnsi="Arial Narrow"/>
          <w:sz w:val="18"/>
        </w:rPr>
        <w:t>.</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4.4. </w:t>
      </w:r>
      <w:r>
        <w:rPr>
          <w:rFonts w:ascii="Arial Narrow" w:hAnsi="Arial Narrow"/>
          <w:b/>
          <w:sz w:val="18"/>
          <w:u w:val="single"/>
        </w:rPr>
        <w:t>Offset</w:t>
      </w:r>
      <w:r>
        <w:rPr>
          <w:rFonts w:ascii="Arial Narrow" w:hAnsi="Arial Narrow"/>
          <w:sz w:val="18"/>
        </w:rPr>
        <w:t xml:space="preserve">.  Each Party reserves to itself all rights, set-offs, counterclaims and other remedies and defenses consistent with </w:t>
      </w:r>
      <w:r>
        <w:rPr>
          <w:rFonts w:ascii="Arial Narrow" w:hAnsi="Arial Narrow"/>
          <w:sz w:val="18"/>
          <w:u w:val="single"/>
        </w:rPr>
        <w:t>Section 8.3</w:t>
      </w:r>
      <w:r>
        <w:rPr>
          <w:rFonts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4.5. </w:t>
      </w:r>
      <w:r>
        <w:rPr>
          <w:rFonts w:ascii="Arial Narrow" w:hAnsi="Arial Narrow"/>
          <w:b/>
          <w:sz w:val="18"/>
          <w:u w:val="single"/>
        </w:rPr>
        <w:t>Security</w:t>
      </w:r>
      <w:r>
        <w:rPr>
          <w:rFonts w:ascii="Arial Narrow" w:hAnsi="Arial Narrow"/>
          <w:sz w:val="18"/>
        </w:rPr>
        <w:t xml:space="preserve">.  In order to secure all payment obligations of Company to Customer hereunder, Company has caused its Guarantor to execute and deliver to Customer the guaranty attached as </w:t>
      </w:r>
      <w:r>
        <w:rPr>
          <w:rFonts w:ascii="Arial Narrow" w:hAnsi="Arial Narrow"/>
          <w:sz w:val="18"/>
          <w:u w:val="single"/>
        </w:rPr>
        <w:t>Exhibit "C".</w:t>
      </w:r>
      <w:r>
        <w:rPr>
          <w:rFonts w:ascii="Arial Narrow" w:hAnsi="Arial Narrow"/>
          <w:sz w:val="18"/>
        </w:rPr>
        <w:t xml:space="preserve"> </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4.6. </w:t>
      </w:r>
      <w:r>
        <w:rPr>
          <w:rFonts w:ascii="Arial Narrow" w:hAnsi="Arial Narrow"/>
          <w:b/>
          <w:sz w:val="18"/>
          <w:u w:val="single"/>
        </w:rPr>
        <w:t>Collateral Requirement/Termination Payment Threshold</w:t>
      </w:r>
      <w:r>
        <w:rPr>
          <w:rFonts w:ascii="Arial Narrow" w:hAnsi="Arial Narrow"/>
          <w:sz w:val="18"/>
        </w:rPr>
        <w:t>.  If at any time and from time to time during the term of this Agreement (and notwithstanding whether a Triggering Event has occurred) the Termination Payment that would be owed to a Party in respect of all Transactions then outstanding should exceed $25</w:t>
      </w:r>
      <w:r>
        <w:rPr>
          <w:rFonts w:ascii="Arial Narrow" w:hAnsi="Arial Narrow"/>
          <w:color w:val="0000FF"/>
          <w:sz w:val="18"/>
        </w:rPr>
        <w:t>,000,000</w:t>
      </w:r>
      <w:r>
        <w:rPr>
          <w:rFonts w:ascii="Arial Narrow" w:hAnsi="Arial Narrow"/>
          <w:sz w:val="18"/>
        </w:rPr>
        <w:t xml:space="preserve"> such Party as the Beneficiary Party may request the other Party to establish a Letter of Credit as the Account Party in an amount equal to the Termination Payment in excess of $25</w:t>
      </w:r>
      <w:r>
        <w:rPr>
          <w:rFonts w:ascii="Arial Narrow" w:hAnsi="Arial Narrow"/>
          <w:color w:val="0000FF"/>
          <w:sz w:val="18"/>
        </w:rPr>
        <w:t>,000,000</w:t>
      </w:r>
      <w:r>
        <w:rPr>
          <w:rFonts w:ascii="Arial Narrow" w:hAnsi="Arial Narrow"/>
          <w:sz w:val="18"/>
        </w:rPr>
        <w:t xml:space="preserve"> (rounding upwards for </w:t>
      </w:r>
      <w:r>
        <w:rPr>
          <w:rFonts w:ascii="Arial Narrow" w:hAnsi="Arial Narrow"/>
          <w:sz w:val="18"/>
          <w:u w:val="single"/>
        </w:rPr>
        <w:t>any</w:t>
      </w:r>
      <w:r>
        <w:rPr>
          <w:rFonts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ascii="Arial Narrow" w:hAnsi="Arial Narrow"/>
          <w:sz w:val="18"/>
          <w:u w:val="single"/>
        </w:rPr>
        <w:t>any</w:t>
      </w:r>
      <w:r>
        <w:rPr>
          <w:rFonts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5.  FORCE MAJEURE</w:t>
      </w:r>
      <w:r>
        <w:rPr>
          <w:rFonts w:ascii="Arial Narrow" w:hAnsi="Arial Narrow"/>
          <w:b/>
          <w:sz w:val="18"/>
        </w:rPr>
        <w:t xml:space="preserve">  </w:t>
      </w:r>
      <w:r>
        <w:rPr>
          <w:rFonts w:ascii="Arial Narrow" w:hAnsi="Arial Narrow"/>
          <w:sz w:val="18"/>
        </w:rPr>
        <w:t xml:space="preserve">This </w:t>
      </w:r>
      <w:r>
        <w:rPr>
          <w:rFonts w:ascii="Arial Narrow" w:hAnsi="Arial Narrow"/>
          <w:sz w:val="18"/>
          <w:u w:val="single"/>
        </w:rPr>
        <w:t>Article 5</w:t>
      </w:r>
      <w:r>
        <w:rPr>
          <w:rFonts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ascii="Arial Narrow" w:hAnsi="Arial Narrow"/>
          <w:sz w:val="18"/>
          <w:u w:val="single"/>
        </w:rPr>
        <w:t>Force Majeure</w:t>
      </w:r>
      <w:r>
        <w:rPr>
          <w:rFonts w:ascii="Arial Narrow" w:hAnsi="Arial Narrow"/>
          <w:sz w:val="18"/>
        </w:rPr>
        <w:t xml:space="preserve"> to carry out its obligations hereunder, it is agreed that upon such Party's giving notice and full particulars of such </w:t>
      </w:r>
      <w:r>
        <w:rPr>
          <w:rFonts w:ascii="Arial Narrow" w:hAnsi="Arial Narrow"/>
          <w:sz w:val="18"/>
          <w:u w:val="single"/>
        </w:rPr>
        <w:t>Force Majeure</w:t>
      </w:r>
      <w:r>
        <w:rPr>
          <w:rFonts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ascii="Arial Narrow" w:hAnsi="Arial Narrow"/>
          <w:sz w:val="18"/>
          <w:u w:val="single"/>
        </w:rPr>
        <w:t>Force Majeure</w:t>
      </w:r>
      <w:r>
        <w:rPr>
          <w:rFonts w:ascii="Arial Narrow" w:hAnsi="Arial Narrow"/>
          <w:sz w:val="18"/>
        </w:rPr>
        <w:t xml:space="preserve"> for a period of up to 60 Days in the aggregate during any 12 Month period, but for no longer period.  The Party receiving notice of </w:t>
      </w:r>
      <w:r>
        <w:rPr>
          <w:rFonts w:ascii="Arial Narrow" w:hAnsi="Arial Narrow"/>
          <w:sz w:val="18"/>
          <w:u w:val="single"/>
        </w:rPr>
        <w:t>Force Majeure</w:t>
      </w:r>
      <w:r>
        <w:rPr>
          <w:rFonts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ascii="Arial Narrow" w:hAnsi="Arial Narrow"/>
          <w:sz w:val="18"/>
          <w:u w:val="single"/>
        </w:rPr>
        <w:t>Force Majeure</w:t>
      </w:r>
      <w:r>
        <w:rPr>
          <w:rFonts w:ascii="Arial Narrow" w:hAnsi="Arial Narrow"/>
          <w:sz w:val="18"/>
        </w:rPr>
        <w:t xml:space="preserve"> shall no longer apply to the obligations hereunder and both Buyer and Seller shall be obligated to perform.  The cause of the </w:t>
      </w:r>
      <w:r>
        <w:rPr>
          <w:rFonts w:ascii="Arial Narrow" w:hAnsi="Arial Narrow"/>
          <w:sz w:val="18"/>
          <w:u w:val="single"/>
        </w:rPr>
        <w:t>Force Majeure</w:t>
      </w:r>
      <w:r>
        <w:rPr>
          <w:rFonts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6.  TAXES</w:t>
      </w:r>
      <w:r>
        <w:rPr>
          <w:rFonts w:ascii="Arial Narrow" w:hAnsi="Arial Narrow"/>
          <w:b/>
          <w:sz w:val="18"/>
        </w:rPr>
        <w:t xml:space="preserve">  6.1.</w:t>
      </w:r>
      <w:r>
        <w:rPr>
          <w:rFonts w:ascii="Arial Narrow" w:hAnsi="Arial Narrow"/>
          <w:sz w:val="18"/>
        </w:rPr>
        <w:t xml:space="preserve"> </w:t>
      </w:r>
      <w:r>
        <w:rPr>
          <w:rFonts w:ascii="Arial Narrow" w:hAnsi="Arial Narrow"/>
          <w:b/>
          <w:sz w:val="18"/>
          <w:u w:val="single"/>
        </w:rPr>
        <w:t>Allocation of and Indemnity for Taxes</w:t>
      </w:r>
      <w:r>
        <w:rPr>
          <w:rFonts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6.2.</w:t>
      </w:r>
      <w:r>
        <w:rPr>
          <w:rFonts w:ascii="Arial Narrow" w:hAnsi="Arial Narrow"/>
          <w:sz w:val="18"/>
        </w:rPr>
        <w:t xml:space="preserve"> </w:t>
      </w:r>
      <w:r>
        <w:rPr>
          <w:rFonts w:ascii="Arial Narrow" w:hAnsi="Arial Narrow"/>
          <w:b/>
          <w:sz w:val="18"/>
          <w:u w:val="single"/>
        </w:rPr>
        <w:t>New Taxes</w:t>
      </w:r>
      <w:r>
        <w:rPr>
          <w:rFonts w:ascii="Arial Narrow" w:hAnsi="Arial Narrow"/>
          <w:sz w:val="18"/>
        </w:rPr>
        <w:t xml:space="preserve">.  A.  If (i) a New Tax occurs </w:t>
      </w:r>
      <w:r>
        <w:rPr>
          <w:rFonts w:ascii="Arial Narrow" w:hAnsi="Arial Narrow"/>
          <w:sz w:val="18"/>
          <w:u w:val="single"/>
        </w:rPr>
        <w:t>and</w:t>
      </w:r>
      <w:r>
        <w:rPr>
          <w:rFonts w:ascii="Arial Narrow" w:hAnsi="Arial Narrow"/>
          <w:sz w:val="18"/>
        </w:rPr>
        <w:t xml:space="preserve"> (ii) Buyer or Seller would be responsible for such New Tax if it were a Tax under </w:t>
      </w:r>
      <w:r>
        <w:rPr>
          <w:rFonts w:ascii="Arial Narrow" w:hAnsi="Arial Narrow"/>
          <w:sz w:val="18"/>
          <w:u w:val="single"/>
        </w:rPr>
        <w:t>Section 6.1</w:t>
      </w:r>
      <w:r>
        <w:rPr>
          <w:rFonts w:ascii="Arial Narrow" w:hAnsi="Arial Narrow"/>
          <w:sz w:val="18"/>
        </w:rPr>
        <w:t xml:space="preserve"> </w:t>
      </w:r>
      <w:r>
        <w:rPr>
          <w:rFonts w:ascii="Arial Narrow" w:hAnsi="Arial Narrow"/>
          <w:sz w:val="18"/>
          <w:u w:val="single"/>
        </w:rPr>
        <w:t>and</w:t>
      </w:r>
      <w:r>
        <w:rPr>
          <w:rFonts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ascii="Arial Narrow" w:hAnsi="Arial Narrow"/>
          <w:sz w:val="18"/>
          <w:u w:val="single"/>
        </w:rPr>
        <w:t>Paragraph A</w:t>
      </w:r>
      <w:r>
        <w:rPr>
          <w:rFonts w:ascii="Arial Narrow" w:hAnsi="Arial Narrow"/>
          <w:sz w:val="18"/>
        </w:rPr>
        <w:t xml:space="preserve"> shall not apply.  B.  If (i) a New Tax occurs </w:t>
      </w:r>
      <w:r>
        <w:rPr>
          <w:rFonts w:ascii="Arial Narrow" w:hAnsi="Arial Narrow"/>
          <w:sz w:val="18"/>
          <w:u w:val="single"/>
        </w:rPr>
        <w:t>and</w:t>
      </w:r>
      <w:r>
        <w:rPr>
          <w:rFonts w:ascii="Arial Narrow" w:hAnsi="Arial Narrow"/>
          <w:sz w:val="18"/>
        </w:rPr>
        <w:t xml:space="preserve"> (ii) either Buyer or Seller would be responsible for such New Tax if it were a Tax under </w:t>
      </w:r>
      <w:r>
        <w:rPr>
          <w:rFonts w:ascii="Arial Narrow" w:hAnsi="Arial Narrow"/>
          <w:sz w:val="18"/>
          <w:u w:val="single"/>
        </w:rPr>
        <w:t>Section 6.1</w:t>
      </w:r>
      <w:r>
        <w:rPr>
          <w:rFonts w:ascii="Arial Narrow" w:hAnsi="Arial Narrow"/>
          <w:sz w:val="18"/>
        </w:rPr>
        <w:t xml:space="preserve">, </w:t>
      </w:r>
      <w:r>
        <w:rPr>
          <w:rFonts w:ascii="Arial Narrow" w:hAnsi="Arial Narrow"/>
          <w:sz w:val="18"/>
          <w:u w:val="single"/>
        </w:rPr>
        <w:t>and</w:t>
      </w:r>
      <w:r>
        <w:rPr>
          <w:rFonts w:ascii="Arial Narrow" w:hAnsi="Arial Narrow"/>
          <w:sz w:val="18"/>
        </w:rPr>
        <w:t xml:space="preserve"> (iii) Paragraph A does not apply, such responsible Buyer or Seller (the "</w:t>
      </w:r>
      <w:r>
        <w:rPr>
          <w:rFonts w:ascii="Arial Narrow" w:hAnsi="Arial Narrow"/>
          <w:sz w:val="18"/>
          <w:u w:val="single"/>
        </w:rPr>
        <w:t>Taxed Party</w:t>
      </w:r>
      <w:r>
        <w:rPr>
          <w:rFonts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ascii="Arial Narrow" w:hAnsi="Arial Narrow"/>
          <w:sz w:val="18"/>
          <w:u w:val="single"/>
        </w:rPr>
        <w:t>Section 6.2</w:t>
      </w:r>
      <w:r>
        <w:rPr>
          <w:rFonts w:ascii="Arial Narrow" w:hAnsi="Arial Narrow"/>
          <w:sz w:val="18"/>
        </w:rPr>
        <w:t xml:space="preserve">, New Taxes shall be allocated as if they were Taxes as provided in </w:t>
      </w:r>
      <w:r>
        <w:rPr>
          <w:rFonts w:ascii="Arial Narrow" w:hAnsi="Arial Narrow"/>
          <w:sz w:val="18"/>
          <w:u w:val="single"/>
        </w:rPr>
        <w:t>Section 6.1</w:t>
      </w:r>
      <w:r>
        <w:rPr>
          <w:rFonts w:ascii="Arial Narrow" w:hAnsi="Arial Narrow"/>
          <w:sz w:val="18"/>
        </w:rPr>
        <w:t>:  (a) the Taxed Party must give the non-Taxed Party at least 30 Days prior written notice (the "</w:t>
      </w:r>
      <w:r>
        <w:rPr>
          <w:rFonts w:ascii="Arial Narrow" w:hAnsi="Arial Narrow"/>
          <w:sz w:val="18"/>
          <w:u w:val="single"/>
        </w:rPr>
        <w:t>Agreement Period</w:t>
      </w:r>
      <w:r>
        <w:rPr>
          <w:rFonts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ascii="Arial Narrow" w:hAnsi="Arial Narrow"/>
          <w:sz w:val="18"/>
          <w:u w:val="single"/>
        </w:rPr>
        <w:t>Section 6.2</w:t>
      </w:r>
      <w:r>
        <w:rPr>
          <w:rFonts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ascii="Arial Narrow" w:hAnsi="Arial Narrow"/>
          <w:sz w:val="18"/>
          <w:u w:val="single"/>
        </w:rPr>
        <w:t>Section 4.1</w:t>
      </w:r>
      <w:r>
        <w:rPr>
          <w:rFonts w:ascii="Arial Narrow" w:hAnsi="Arial Narrow"/>
          <w:sz w:val="18"/>
        </w:rPr>
        <w:t xml:space="preserve"> shall be payable; provided, both Seller and Buyer pursuant to </w:t>
      </w:r>
      <w:r>
        <w:rPr>
          <w:rFonts w:ascii="Arial Narrow" w:hAnsi="Arial Narrow"/>
          <w:sz w:val="18"/>
          <w:u w:val="single"/>
        </w:rPr>
        <w:t>Section 4.1</w:t>
      </w:r>
      <w:r>
        <w:rPr>
          <w:rFonts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ascii="Arial Narrow" w:hAnsi="Arial Narrow"/>
          <w:sz w:val="18"/>
          <w:u w:val="single"/>
        </w:rPr>
        <w:t>Section 4.1</w:t>
      </w:r>
      <w:r>
        <w:rPr>
          <w:rFonts w:ascii="Arial Narrow" w:hAnsi="Arial Narrow"/>
          <w:sz w:val="18"/>
        </w:rPr>
        <w:t xml:space="preserve"> and its calculation shall be subject to arbitration as provided in the ENFOLIO General Provisions.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6.3.  </w:t>
      </w:r>
      <w:r>
        <w:rPr>
          <w:rFonts w:ascii="Arial Narrow" w:hAnsi="Arial Narrow"/>
          <w:b/>
          <w:sz w:val="18"/>
          <w:u w:val="single"/>
        </w:rPr>
        <w:t>Cooperation</w:t>
      </w:r>
      <w:r>
        <w:rPr>
          <w:rFonts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br/>
        <w:br/>
        <w:br/>
        <w:br/>
      </w:r>
    </w:p>
    <w:p>
      <w:pPr>
        <w:pStyle w:val="Normal"/>
        <w:bidi w:val="0"/>
        <w:ind w:hanging="0" w:start="0" w:end="0"/>
        <w:jc w:val="both"/>
        <w:rPr>
          <w:rFonts w:ascii="Arial Narrow" w:hAnsi="Arial Narrow"/>
          <w:sz w:val="18"/>
        </w:rPr>
      </w:pPr>
      <w:r>
        <w:rPr>
          <w:rFonts w:ascii="Arial Narrow" w:hAnsi="Arial Narrow"/>
          <w:b/>
          <w:sz w:val="18"/>
          <w:u w:val="single"/>
        </w:rPr>
        <w:t>ARTICLE 7.  TITLE, RISK OF LOSS, INDEMNITY AND BALANCING</w:t>
      </w:r>
      <w:r>
        <w:rPr>
          <w:rFonts w:ascii="Arial Narrow" w:hAnsi="Arial Narrow"/>
          <w:b/>
          <w:sz w:val="18"/>
        </w:rPr>
        <w:t xml:space="preserve">  7.1. </w:t>
      </w:r>
      <w:r>
        <w:rPr>
          <w:rFonts w:ascii="Arial Narrow" w:hAnsi="Arial Narrow"/>
          <w:b/>
          <w:sz w:val="18"/>
          <w:u w:val="single"/>
        </w:rPr>
        <w:t>Title, Risk of Loss and Indemnity</w:t>
      </w:r>
      <w:r>
        <w:rPr>
          <w:rFonts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7.2. </w:t>
      </w:r>
      <w:r>
        <w:rPr>
          <w:rFonts w:ascii="Arial Narrow" w:hAnsi="Arial Narrow"/>
          <w:b/>
          <w:sz w:val="18"/>
          <w:u w:val="single"/>
        </w:rPr>
        <w:t>Correction of Imbalances, Cashouts and Penalties</w:t>
      </w:r>
      <w:r>
        <w:rPr>
          <w:rFonts w:ascii="Arial Narrow" w:hAnsi="Arial Narrow"/>
          <w:sz w:val="18"/>
        </w:rPr>
        <w:t>.  Differences between Scheduled quantities and actual quantities delivered and received hereunder ("</w:t>
      </w:r>
      <w:r>
        <w:rPr>
          <w:rFonts w:ascii="Arial Narrow" w:hAnsi="Arial Narrow"/>
          <w:sz w:val="18"/>
          <w:u w:val="single"/>
        </w:rPr>
        <w:t>Imbalances</w:t>
      </w:r>
      <w:r>
        <w:rPr>
          <w:rFonts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ascii="Arial Narrow" w:hAnsi="Arial Narrow"/>
          <w:sz w:val="18"/>
          <w:u w:val="single"/>
        </w:rPr>
        <w:t>Responsible Party</w:t>
      </w:r>
      <w:r>
        <w:rPr>
          <w:rFonts w:ascii="Arial Narrow" w:hAnsi="Arial Narrow"/>
          <w:sz w:val="18"/>
        </w:rPr>
        <w:t>") or (ii) an Imbalance on Seller's Transporter's system caused by Buyer or Buyer's Transporter's receipt of more or less than the Scheduled quantity for any Gas Day (in which case Buyer shall be the "</w:t>
      </w:r>
      <w:r>
        <w:rPr>
          <w:rFonts w:ascii="Arial Narrow" w:hAnsi="Arial Narrow"/>
          <w:sz w:val="18"/>
          <w:u w:val="single"/>
        </w:rPr>
        <w:t>Responsible Party</w:t>
      </w:r>
      <w:r>
        <w:rPr>
          <w:rFonts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ascii="Arial Narrow" w:hAnsi="Arial Narrow"/>
          <w:sz w:val="18"/>
          <w:u w:val="single"/>
        </w:rPr>
        <w:t>Aggregate Transporter Imbalance</w:t>
      </w:r>
      <w:r>
        <w:rPr>
          <w:rFonts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u w:val="single"/>
        </w:rPr>
        <w:t>ARTICLE 8.  MISCELLANEOUS</w:t>
      </w:r>
      <w:r>
        <w:rPr>
          <w:rFonts w:ascii="Arial Narrow" w:hAnsi="Arial Narrow"/>
          <w:b/>
          <w:sz w:val="18"/>
        </w:rPr>
        <w:t xml:space="preserve">  8.1.</w:t>
      </w:r>
      <w:r>
        <w:rPr>
          <w:rFonts w:ascii="Arial Narrow" w:hAnsi="Arial Narrow"/>
          <w:sz w:val="18"/>
        </w:rPr>
        <w:t xml:space="preserve"> </w:t>
      </w:r>
      <w:r>
        <w:rPr>
          <w:rFonts w:ascii="Arial Narrow" w:hAnsi="Arial Narrow"/>
          <w:b/>
          <w:sz w:val="18"/>
          <w:u w:val="single"/>
        </w:rPr>
        <w:t>Notices</w:t>
      </w:r>
      <w:r>
        <w:rPr>
          <w:rFonts w:ascii="Arial Narrow" w:hAnsi="Arial Narrow"/>
          <w:sz w:val="18"/>
        </w:rPr>
        <w:t xml:space="preserve">.  All notices, including, without limitation, consents, and communications made pursuant to this Agreement shall be made as specified in </w:t>
      </w:r>
      <w:r>
        <w:rPr>
          <w:rFonts w:ascii="Arial Narrow" w:hAnsi="Arial Narrow"/>
          <w:sz w:val="18"/>
          <w:u w:val="single"/>
        </w:rPr>
        <w:t>Exhibit "A."</w:t>
      </w:r>
      <w:r>
        <w:rPr>
          <w:rFonts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ascii="Arial Narrow" w:hAnsi="Arial Narrow"/>
          <w:sz w:val="18"/>
          <w:u w:val="single"/>
        </w:rPr>
        <w:t>Exhibit "A."</w:t>
      </w:r>
      <w:r>
        <w:rPr>
          <w:rFonts w:ascii="Arial Narrow" w:hAnsi="Arial Narrow"/>
          <w:sz w:val="18"/>
        </w:rPr>
        <w:t xml:space="preserve">  Any Party may change its addresses by providing notice of same in accordance herewith. </w:t>
      </w:r>
    </w:p>
    <w:p>
      <w:pPr>
        <w:pStyle w:val="Normal"/>
        <w:bidi w:val="0"/>
        <w:ind w:hanging="0" w:start="0" w:end="0"/>
        <w:jc w:val="both"/>
        <w:rPr>
          <w:rFonts w:ascii="Arial Narrow" w:hAnsi="Arial Narrow"/>
          <w:sz w:val="18"/>
        </w:rPr>
      </w:pPr>
      <w:r>
        <w:rPr>
          <w:rFonts w:ascii="Arial Narrow" w:hAnsi="Arial Narrow"/>
          <w:sz w:val="18"/>
        </w:rPr>
      </w:r>
    </w:p>
    <w:p>
      <w:pPr>
        <w:pStyle w:val="Normal"/>
        <w:bidi w:val="0"/>
        <w:spacing w:before="240" w:after="0"/>
        <w:ind w:hanging="0" w:start="0" w:end="0"/>
        <w:jc w:val="both"/>
        <w:rPr>
          <w:rFonts w:ascii="Arial Narrow" w:hAnsi="Arial Narrow"/>
          <w:sz w:val="18"/>
        </w:rPr>
      </w:pPr>
      <w:r>
        <w:rPr>
          <w:rFonts w:ascii="Arial Narrow" w:hAnsi="Arial Narrow"/>
          <w:b/>
          <w:sz w:val="18"/>
        </w:rPr>
        <w:t>8.2.</w:t>
      </w:r>
      <w:r>
        <w:rPr>
          <w:rFonts w:ascii="Arial Narrow" w:hAnsi="Arial Narrow"/>
          <w:sz w:val="18"/>
        </w:rPr>
        <w:t xml:space="preserve"> </w:t>
      </w:r>
      <w:r>
        <w:rPr>
          <w:rFonts w:ascii="Arial Narrow" w:hAnsi="Arial Narrow"/>
          <w:b/>
          <w:sz w:val="18"/>
          <w:u w:val="single"/>
        </w:rPr>
        <w:t>Transfer</w:t>
      </w:r>
      <w:r>
        <w:rPr>
          <w:rFonts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any person or entity succeeding to all or substantially all of the assets of such Party.  Any Party's transfer in violation of this </w:t>
      </w:r>
      <w:r>
        <w:rPr>
          <w:rFonts w:ascii="Arial Narrow" w:hAnsi="Arial Narrow"/>
          <w:sz w:val="18"/>
          <w:u w:val="single"/>
        </w:rPr>
        <w:t>Section 8.2</w:t>
      </w:r>
      <w:r>
        <w:rPr>
          <w:rFonts w:ascii="Arial Narrow" w:hAnsi="Arial Narrow"/>
          <w:sz w:val="18"/>
        </w:rPr>
        <w:t xml:space="preserve"> shall be void.</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8.3.</w:t>
      </w:r>
      <w:r>
        <w:rPr>
          <w:rFonts w:ascii="Arial Narrow" w:hAnsi="Arial Narrow"/>
          <w:sz w:val="18"/>
        </w:rPr>
        <w:t xml:space="preserve"> </w:t>
      </w:r>
      <w:r>
        <w:rPr>
          <w:rFonts w:ascii="Arial Narrow" w:hAnsi="Arial Narrow"/>
          <w:b/>
          <w:sz w:val="18"/>
          <w:u w:val="single"/>
        </w:rPr>
        <w:t>Limitation of Remedies, Liability and Damages and Mitigation</w:t>
      </w:r>
      <w:r>
        <w:rPr>
          <w:rFonts w:ascii="Arial Narrow" w:hAnsi="Arial Narrow"/>
          <w:sz w:val="18"/>
        </w:rPr>
        <w:t xml:space="preserve">.  </w:t>
      </w:r>
      <w:r>
        <w:rPr>
          <w:rFonts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8.4.</w:t>
      </w:r>
      <w:r>
        <w:rPr>
          <w:rFonts w:ascii="Arial Narrow" w:hAnsi="Arial Narrow"/>
          <w:sz w:val="18"/>
        </w:rPr>
        <w:t xml:space="preserve"> </w:t>
      </w:r>
      <w:r>
        <w:rPr>
          <w:rFonts w:ascii="Arial Narrow" w:hAnsi="Arial Narrow"/>
          <w:b/>
          <w:sz w:val="18"/>
          <w:u w:val="single"/>
        </w:rPr>
        <w:t>Winding Up Arrangements</w:t>
      </w:r>
      <w:r>
        <w:rPr>
          <w:rFonts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bidi w:val="0"/>
        <w:ind w:hanging="0" w:start="0" w:end="0"/>
        <w:jc w:val="both"/>
        <w:rPr>
          <w:rFonts w:ascii="Arial Narrow" w:hAnsi="Arial Narrow"/>
          <w:sz w:val="18"/>
        </w:rPr>
      </w:pPr>
      <w:r>
        <w:rPr>
          <w:rFonts w:ascii="Arial Narrow" w:hAnsi="Arial Narrow"/>
          <w:sz w:val="18"/>
        </w:rPr>
        <w:t xml:space="preserve"> </w:t>
      </w:r>
    </w:p>
    <w:p>
      <w:pPr>
        <w:pStyle w:val="Normal"/>
        <w:bidi w:val="0"/>
        <w:ind w:hanging="0" w:start="0" w:end="0"/>
        <w:jc w:val="both"/>
        <w:rPr>
          <w:rFonts w:ascii="Arial Narrow" w:hAnsi="Arial Narrow"/>
          <w:sz w:val="18"/>
        </w:rPr>
      </w:pPr>
      <w:r>
        <w:rPr>
          <w:rFonts w:ascii="Arial Narrow" w:hAnsi="Arial Narrow"/>
          <w:b/>
          <w:sz w:val="18"/>
        </w:rPr>
        <w:t>8.5.</w:t>
      </w:r>
      <w:r>
        <w:rPr>
          <w:rFonts w:ascii="Arial Narrow" w:hAnsi="Arial Narrow"/>
          <w:sz w:val="18"/>
        </w:rPr>
        <w:t xml:space="preserve"> </w:t>
      </w:r>
      <w:r>
        <w:rPr>
          <w:rFonts w:ascii="Arial Narrow" w:hAnsi="Arial Narrow"/>
          <w:b/>
          <w:sz w:val="18"/>
          <w:u w:val="single"/>
        </w:rPr>
        <w:t>Applicable Law</w:t>
      </w:r>
      <w:r>
        <w:rPr>
          <w:rFonts w:ascii="Arial Narrow" w:hAnsi="Arial Narrow"/>
          <w:sz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THE PARTIES AGREE THAT THIS AGREEMENT AND ALL TRANSACTIONS SHALL BE ACCEPTED AND FORMED IN THE STATE OF TEXAS ACCORDING TO THE PROCEDURES HEREIN SET FORTH.</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8.6.</w:t>
      </w:r>
      <w:r>
        <w:rPr>
          <w:rFonts w:ascii="Arial Narrow" w:hAnsi="Arial Narrow"/>
          <w:sz w:val="18"/>
        </w:rPr>
        <w:t xml:space="preserve"> </w:t>
      </w:r>
      <w:r>
        <w:rPr>
          <w:rFonts w:ascii="Arial Narrow" w:hAnsi="Arial Narrow"/>
          <w:b/>
          <w:sz w:val="18"/>
          <w:u w:val="single"/>
        </w:rPr>
        <w:t>Document, Record Retention and Evidence</w:t>
      </w:r>
      <w:r>
        <w:rPr>
          <w:rFonts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ascii="Arial Narrow" w:hAnsi="Arial Narrow"/>
          <w:sz w:val="18"/>
          <w:u w:val="single"/>
        </w:rPr>
        <w:t>Transaction Procedures</w:t>
      </w:r>
      <w:r>
        <w:rPr>
          <w:rFonts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ascii="Arial Narrow" w:hAnsi="Arial Narrow"/>
          <w:sz w:val="18"/>
          <w:u w:val="single"/>
        </w:rPr>
        <w:t>Imaged Agreement</w:t>
      </w:r>
      <w:r>
        <w:rPr>
          <w:rFonts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8.7.  </w:t>
      </w:r>
      <w:r>
        <w:rPr>
          <w:rFonts w:ascii="Arial Narrow" w:hAnsi="Arial Narrow"/>
          <w:b/>
          <w:sz w:val="18"/>
          <w:u w:val="single"/>
        </w:rPr>
        <w:t>Forward Contract</w:t>
      </w:r>
      <w:r>
        <w:rPr>
          <w:rFonts w:ascii="Arial Narrow" w:hAnsi="Arial Narrow"/>
          <w:b/>
          <w:sz w:val="18"/>
        </w:rPr>
        <w:t xml:space="preserve">.  </w:t>
      </w:r>
      <w:r>
        <w:rPr>
          <w:rFonts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8.8. </w:t>
      </w:r>
      <w:r>
        <w:rPr>
          <w:rFonts w:ascii="Arial Narrow" w:hAnsi="Arial Narrow"/>
          <w:b/>
          <w:sz w:val="18"/>
          <w:u w:val="single"/>
        </w:rPr>
        <w:t>Confidentiality</w:t>
      </w:r>
      <w:r>
        <w:rPr>
          <w:rFonts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ascii="Arial Narrow" w:hAnsi="Arial Narrow"/>
          <w:sz w:val="18"/>
          <w:u w:val="single"/>
        </w:rPr>
        <w:t>Section 8.3</w:t>
      </w:r>
      <w:r>
        <w:rPr>
          <w:rFonts w:ascii="Arial Narrow" w:hAnsi="Arial Narrow"/>
          <w:sz w:val="18"/>
        </w:rPr>
        <w:t>.</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firstLine="720" w:start="0" w:end="0"/>
        <w:jc w:val="both"/>
        <w:rPr>
          <w:rFonts w:ascii="Arial Narrow" w:hAnsi="Arial Narrow"/>
          <w:sz w:val="18"/>
        </w:rPr>
      </w:pPr>
      <w:r>
        <w:rPr>
          <w:rFonts w:ascii="Arial Narrow" w:hAnsi="Arial Narrow"/>
          <w:sz w:val="18"/>
        </w:rPr>
        <w:t>The Parties have executed this Agreement in multiple counterparts to be construed as one effective as of the Effective Date.</w:t>
      </w:r>
    </w:p>
    <w:p>
      <w:pPr>
        <w:pStyle w:val="Normal"/>
        <w:bidi w:val="0"/>
        <w:ind w:hanging="0" w:start="0" w:end="0"/>
        <w:jc w:val="both"/>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t>ENRON  NORTH  AMERICA  CORP.</w:t>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By:</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Printed Name:</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Title:</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t>CARGILL ENERGY a, DIVISION OF CARGILL ,INCORPORATED</w:t>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By:</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Printed Name:</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Title:</w:t>
      </w:r>
      <w:r>
        <w:rPr>
          <w:rFonts w:ascii="Arial Narrow" w:hAnsi="Arial Narrow"/>
          <w:sz w:val="18"/>
          <w:u w:val="single"/>
        </w:rPr>
        <w:tab/>
        <w:tab/>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6"/>
          <w:u w:val="single"/>
        </w:rPr>
      </w:pPr>
      <w:r>
        <w:rPr>
          <w:rFonts w:ascii="Arial Narrow" w:hAnsi="Arial Narrow"/>
          <w:sz w:val="16"/>
          <w:lang w:val="en-CA" w:eastAsia="en-CA"/>
        </w:rPr>
        <w:fldChar w:fldCharType="begin"/>
      </w:r>
      <w:r>
        <w:rPr>
          <w:sz w:val="16"/>
          <w:rFonts w:ascii="Arial Narrow" w:hAnsi="Arial Narrow"/>
          <w:lang w:val="en-CA" w:eastAsia="en-CA"/>
        </w:rPr>
        <w:instrText xml:space="preserve"> FILENAME \p </w:instrText>
      </w:r>
      <w:r>
        <w:rPr>
          <w:sz w:val="16"/>
          <w:rFonts w:ascii="Arial Narrow" w:hAnsi="Arial Narrow"/>
          <w:lang w:val="en-CA" w:eastAsia="en-CA"/>
        </w:rPr>
        <w:fldChar w:fldCharType="separate"/>
      </w:r>
      <w:r>
        <w:rPr>
          <w:sz w:val="16"/>
          <w:rFonts w:ascii="Arial Narrow" w:hAnsi="Arial Narrow"/>
          <w:lang w:val="en-CA" w:eastAsia="en-CA"/>
        </w:rPr>
        <w:t>/mnt/main-storage/datasets/enron-docs/doc/3.826757.MIG3GCBOAEFNF4U22K2WSLSQ1PMGUGDIB.1.doc</w:t>
      </w:r>
      <w:r>
        <w:rPr>
          <w:sz w:val="16"/>
          <w:rFonts w:ascii="Arial Narrow" w:hAnsi="Arial Narrow"/>
          <w:lang w:val="en-CA" w:eastAsia="en-CA"/>
        </w:rPr>
        <w:fldChar w:fldCharType="end"/>
      </w:r>
    </w:p>
    <w:p>
      <w:pPr>
        <w:pStyle w:val="Norma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20" w:top="777" w:footer="720" w:bottom="777"/>
          <w:pgNumType w:start="1" w:fmt="decimal"/>
          <w:cols w:num="2" w:space="432" w:equalWidth="true" w:sep="false"/>
          <w:formProt w:val="false"/>
          <w:titlePg/>
          <w:textDirection w:val="lrTb"/>
          <w:docGrid w:type="default" w:linePitch="100" w:charSpace="0"/>
        </w:sectPr>
      </w:pPr>
    </w:p>
    <w:p>
      <w:pPr>
        <w:pStyle w:val="Normal"/>
        <w:bidi w:val="0"/>
        <w:ind w:hanging="0" w:start="0" w:end="0"/>
        <w:jc w:val="center"/>
        <w:rPr>
          <w:rFonts w:ascii="Arial Narrow" w:hAnsi="Arial Narrow"/>
          <w:b/>
          <w:sz w:val="18"/>
          <w:u w:val="single"/>
        </w:rPr>
      </w:pPr>
      <w:r>
        <w:rPr>
          <w:rFonts w:ascii="Arial Narrow" w:hAnsi="Arial Narrow"/>
          <w:b/>
          <w:sz w:val="18"/>
          <w:u w:val="single"/>
        </w:rPr>
        <w:t>APPENDIX "1"</w:t>
      </w:r>
    </w:p>
    <w:p>
      <w:pPr>
        <w:pStyle w:val="Normal"/>
        <w:bidi w:val="0"/>
        <w:ind w:hanging="0" w:start="0" w:end="0"/>
        <w:jc w:val="center"/>
        <w:rPr>
          <w:rFonts w:ascii="Arial Narrow" w:hAnsi="Arial Narrow"/>
          <w:b/>
          <w:sz w:val="18"/>
          <w:u w:val="single"/>
        </w:rPr>
      </w:pPr>
      <w:r>
        <w:rPr>
          <w:rFonts w:ascii="Arial Narrow" w:hAnsi="Arial Narrow"/>
          <w:b/>
          <w:sz w:val="18"/>
          <w:u w:val="single"/>
        </w:rPr>
        <w:t>ENFOLIO GENERAL PROVISIONS</w:t>
      </w:r>
    </w:p>
    <w:p>
      <w:pPr>
        <w:pStyle w:val="Normal"/>
        <w:bidi w:val="0"/>
        <w:ind w:hanging="0" w:start="0" w:end="0"/>
        <w:jc w:val="both"/>
        <w:rPr>
          <w:rFonts w:ascii="Arial Narrow" w:hAnsi="Arial Narrow"/>
          <w:vanish/>
          <w:color w:val="FF0000"/>
          <w:sz w:val="18"/>
        </w:rPr>
      </w:pPr>
      <w:r>
        <w:rPr>
          <w:rFonts w:eastAsia="Symbol" w:cs="Symbol" w:ascii="Symbol" w:hAnsi="Symbol"/>
          <w:b/>
          <w:sz w:val="18"/>
        </w:rPr>
        <w:sym w:font="Symbol" w:char="b7"/>
      </w:r>
      <w:r>
        <w:rPr>
          <w:rFonts w:ascii="Arial Narrow" w:hAnsi="Arial Narrow"/>
          <w:b/>
          <w:sz w:val="18"/>
          <w:u w:val="single"/>
        </w:rPr>
        <w:t>Usage and Definitions</w:t>
      </w:r>
      <w:r>
        <w:rPr>
          <w:rFonts w:ascii="Arial Narrow" w:hAnsi="Arial Narrow"/>
          <w:sz w:val="18"/>
        </w:rPr>
        <w:t xml:space="preserve"> </w:t>
      </w:r>
    </w:p>
    <w:p>
      <w:pPr>
        <w:pStyle w:val="Normal"/>
        <w:bidi w:val="0"/>
        <w:ind w:hanging="0" w:start="0" w:end="0"/>
        <w:jc w:val="both"/>
        <w:rPr>
          <w:rFonts w:ascii="Arial Narrow" w:hAnsi="Arial Narrow"/>
          <w:sz w:val="18"/>
        </w:rPr>
      </w:pPr>
      <w:r>
        <w:rPr>
          <w:rFonts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bidi w:val="0"/>
        <w:ind w:hanging="0" w:start="360" w:end="0"/>
        <w:jc w:val="both"/>
        <w:rPr>
          <w:rFonts w:ascii="Arial Narrow" w:hAnsi="Arial Narrow"/>
          <w:sz w:val="18"/>
        </w:rPr>
      </w:pPr>
      <w:r>
        <w:rPr>
          <w:rFonts w:ascii="Arial Narrow" w:hAnsi="Arial Narrow"/>
          <w:sz w:val="18"/>
          <w:u w:val="single"/>
        </w:rPr>
        <w:t>"</w:t>
      </w:r>
      <w:r>
        <w:rPr>
          <w:rFonts w:ascii="Arial Narrow" w:hAnsi="Arial Narrow"/>
          <w:b/>
          <w:i/>
          <w:sz w:val="18"/>
          <w:u w:val="single"/>
        </w:rPr>
        <w:t>Affiliate</w:t>
      </w:r>
      <w:r>
        <w:rPr>
          <w:rFonts w:ascii="Arial Narrow" w:hAnsi="Arial Narrow"/>
          <w:sz w:val="18"/>
          <w:u w:val="single"/>
        </w:rPr>
        <w:t>”</w:t>
      </w:r>
      <w:r>
        <w:rPr>
          <w:rFonts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Btu</w:t>
      </w:r>
      <w:r>
        <w:rPr>
          <w:rFonts w:ascii="Arial Narrow" w:hAnsi="Arial Narrow"/>
          <w:sz w:val="18"/>
        </w:rPr>
        <w:t>" means the amount of energy required to raise the temperature of one pound of pure water one degree Fahren</w:t>
        <w:softHyphen/>
        <w:t>heit from 59 degrees Fahrenheit to 60 degrees Fahrenheit.  The term "</w:t>
      </w:r>
      <w:r>
        <w:rPr>
          <w:rFonts w:ascii="Arial Narrow" w:hAnsi="Arial Narrow"/>
          <w:b/>
          <w:i/>
          <w:sz w:val="18"/>
          <w:u w:val="single"/>
        </w:rPr>
        <w:t>MMBtu</w:t>
      </w:r>
      <w:r>
        <w:rPr>
          <w:rFonts w:ascii="Arial Narrow" w:hAnsi="Arial Narrow"/>
          <w:sz w:val="18"/>
        </w:rPr>
        <w:t>" means one million Btus.</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Buyer</w:t>
      </w:r>
      <w:r>
        <w:rPr>
          <w:rFonts w:ascii="Arial Narrow" w:hAnsi="Arial Narrow"/>
          <w:sz w:val="18"/>
        </w:rPr>
        <w:t>" means the Party to a Transaction who is obligated to purchase Gas during a Period of Delivery.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C.T.</w:t>
      </w:r>
      <w:r>
        <w:rPr>
          <w:rFonts w:ascii="Arial Narrow" w:hAnsi="Arial Narrow"/>
          <w:sz w:val="18"/>
        </w:rPr>
        <w:t>" means Central Time.</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Claims</w:t>
      </w:r>
      <w:r>
        <w:rPr>
          <w:rFonts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Confirmation</w:t>
      </w:r>
      <w:r>
        <w:rPr>
          <w:rFonts w:ascii="Arial Narrow" w:hAnsi="Arial Narrow"/>
          <w:sz w:val="18"/>
        </w:rPr>
        <w:t>" means a written notice confirming the specific terms of a Transaction which may be in any form adequate at law; an example of a Confirmation which may be utilized hereunder is shown in "</w:t>
      </w:r>
      <w:r>
        <w:rPr>
          <w:rFonts w:ascii="Arial Narrow" w:hAnsi="Arial Narrow"/>
          <w:sz w:val="18"/>
          <w:u w:val="single"/>
        </w:rPr>
        <w:t>Exhibit B."</w:t>
      </w:r>
    </w:p>
    <w:p>
      <w:pPr>
        <w:pStyle w:val="Normal"/>
        <w:bidi w:val="0"/>
        <w:ind w:hanging="0" w:start="360" w:end="0"/>
        <w:jc w:val="both"/>
        <w:rPr>
          <w:rFonts w:ascii="Arial Narrow" w:hAnsi="Arial Narrow"/>
          <w:sz w:val="18"/>
          <w:u w:val="single"/>
        </w:rPr>
      </w:pPr>
      <w:r>
        <w:rPr>
          <w:rFonts w:ascii="Arial Narrow" w:hAnsi="Arial Narrow"/>
          <w:sz w:val="18"/>
        </w:rPr>
        <w:t>"</w:t>
      </w:r>
      <w:r>
        <w:rPr>
          <w:rFonts w:ascii="Arial Narrow" w:hAnsi="Arial Narrow"/>
          <w:b/>
          <w:i/>
          <w:sz w:val="18"/>
          <w:u w:val="single"/>
        </w:rPr>
        <w:t>Confirm Deadline</w:t>
      </w:r>
      <w:r>
        <w:rPr>
          <w:rFonts w:ascii="Arial Narrow" w:hAnsi="Arial Narrow"/>
          <w:sz w:val="18"/>
        </w:rPr>
        <w:t>" means 24 hours after a Party receives a Confirmation; provided, if the Confirmation is not received during a Business Day it shall be deemed received at the open of the next Business Day.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Contract Price</w:t>
      </w:r>
      <w:r>
        <w:rPr>
          <w:rFonts w:ascii="Arial Narrow" w:hAnsi="Arial Narrow"/>
          <w:sz w:val="18"/>
        </w:rPr>
        <w:t>" means the price for the purchase or sale of Gas pursuant to a Transaction.</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Daily Contract Quantity</w:t>
      </w:r>
      <w:r>
        <w:rPr>
          <w:rFonts w:ascii="Arial Narrow" w:hAnsi="Arial Narrow"/>
          <w:sz w:val="18"/>
          <w:u w:val="single"/>
        </w:rPr>
        <w:t>"</w:t>
      </w:r>
      <w:r>
        <w:rPr>
          <w:rFonts w:ascii="Arial Narrow" w:hAnsi="Arial Narrow"/>
          <w:i/>
          <w:sz w:val="18"/>
          <w:u w:val="single"/>
        </w:rPr>
        <w:t xml:space="preserve"> ("</w:t>
      </w:r>
      <w:r>
        <w:rPr>
          <w:rFonts w:ascii="Arial Narrow" w:hAnsi="Arial Narrow"/>
          <w:b/>
          <w:i/>
          <w:sz w:val="18"/>
          <w:u w:val="single"/>
        </w:rPr>
        <w:t>DCQ</w:t>
      </w:r>
      <w:r>
        <w:rPr>
          <w:rFonts w:ascii="Arial Narrow" w:hAnsi="Arial Narrow"/>
          <w:i/>
          <w:sz w:val="18"/>
          <w:u w:val="single"/>
        </w:rPr>
        <w:t>")</w:t>
      </w:r>
      <w:r>
        <w:rPr>
          <w:rFonts w:ascii="Arial Narrow" w:hAnsi="Arial Narrow"/>
          <w:sz w:val="18"/>
        </w:rPr>
        <w:t xml:space="preserve"> means the quantity of Gas to be Scheduled each Gas Day pursuant to a Transaction.</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Day</w:t>
      </w:r>
      <w:r>
        <w:rPr>
          <w:rFonts w:ascii="Arial Narrow" w:hAnsi="Arial Narrow"/>
          <w:sz w:val="18"/>
        </w:rPr>
        <w:t>" means a period of 24 consecutive hours, beginning at midnight C.T. on any calendar Day.  "</w:t>
      </w:r>
      <w:r>
        <w:rPr>
          <w:rFonts w:ascii="Arial Narrow" w:hAnsi="Arial Narrow"/>
          <w:b/>
          <w:i/>
          <w:sz w:val="18"/>
          <w:u w:val="single"/>
        </w:rPr>
        <w:t>Business Day</w:t>
      </w:r>
      <w:r>
        <w:rPr>
          <w:rFonts w:ascii="Arial Narrow" w:hAnsi="Arial Narrow"/>
          <w:sz w:val="18"/>
        </w:rPr>
        <w:t>" means a Day on which Federal Reserve member banks in New York City are open for business and a Business Day shall open at 8:00 a.m. and close at 5:00 p.m. local time.  "</w:t>
      </w:r>
      <w:r>
        <w:rPr>
          <w:rFonts w:ascii="Arial Narrow" w:hAnsi="Arial Narrow"/>
          <w:b/>
          <w:i/>
          <w:sz w:val="18"/>
          <w:u w:val="single"/>
        </w:rPr>
        <w:t>Gas Day</w:t>
      </w:r>
      <w:r>
        <w:rPr>
          <w:rFonts w:ascii="Arial Narrow" w:hAnsi="Arial Narrow"/>
          <w:sz w:val="18"/>
        </w:rPr>
        <w:t>" means a period of 24 consecutive hours beginning at the time of the applicable Transporter's gas day.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Delivery Point(s)</w:t>
      </w:r>
      <w:r>
        <w:rPr>
          <w:rFonts w:ascii="Arial Narrow" w:hAnsi="Arial Narrow"/>
          <w:sz w:val="18"/>
        </w:rPr>
        <w:t>" means the agreed point(s) of delivery pursuant to a Transaction.</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Force Majeure</w:t>
      </w:r>
      <w:r>
        <w:rPr>
          <w:rFonts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ascii="Arial Narrow" w:hAnsi="Arial Narrow"/>
          <w:sz w:val="18"/>
          <w:u w:val="single"/>
        </w:rPr>
        <w:t>Force Majeure</w:t>
      </w:r>
      <w:r>
        <w:rPr>
          <w:rFonts w:ascii="Arial Narrow" w:hAnsi="Arial Narrow"/>
          <w:sz w:val="18"/>
        </w:rPr>
        <w:t>.  "</w:t>
      </w:r>
      <w:r>
        <w:rPr>
          <w:rFonts w:ascii="Arial Narrow" w:hAnsi="Arial Narrow"/>
          <w:sz w:val="18"/>
          <w:u w:val="single"/>
        </w:rPr>
        <w:t>Force Majeure</w:t>
      </w:r>
      <w:r>
        <w:rPr>
          <w:rFonts w:ascii="Arial Narrow" w:hAnsi="Arial Narrow"/>
          <w:sz w:val="18"/>
        </w:rPr>
        <w:t xml:space="preserve">" shall include an event of </w:t>
      </w:r>
      <w:r>
        <w:rPr>
          <w:rFonts w:ascii="Arial Narrow" w:hAnsi="Arial Narrow"/>
          <w:sz w:val="18"/>
          <w:u w:val="single"/>
        </w:rPr>
        <w:t>Force Majeure</w:t>
      </w:r>
      <w:r>
        <w:rPr>
          <w:rFonts w:ascii="Arial Narrow" w:hAnsi="Arial Narrow"/>
          <w:sz w:val="18"/>
        </w:rPr>
        <w:t xml:space="preserve"> occurring with respect to the facilities or services of Buyer's or Seller's Transporter.</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GAAP</w:t>
      </w:r>
      <w:r>
        <w:rPr>
          <w:rFonts w:ascii="Arial Narrow" w:hAnsi="Arial Narrow"/>
          <w:sz w:val="18"/>
        </w:rPr>
        <w:t>" means generally accepted accounting principles, consistently applied.</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Gas</w:t>
      </w:r>
      <w:r>
        <w:rPr>
          <w:rFonts w:ascii="Arial Narrow" w:hAnsi="Arial Narrow"/>
          <w:sz w:val="18"/>
        </w:rPr>
        <w:t>" means methane and other gaseous hydrocarbons meeting the quality standards and specifications of Buyer's Transporter.</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Guarantor</w:t>
      </w:r>
      <w:r>
        <w:rPr>
          <w:rFonts w:ascii="Arial Narrow" w:hAnsi="Arial Narrow"/>
          <w:sz w:val="18"/>
        </w:rPr>
        <w:t>" means, as to Company, Company's ultimate parent, Enron Corp.</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Indemnified Party</w:t>
      </w:r>
      <w:r>
        <w:rPr>
          <w:rFonts w:ascii="Arial Narrow" w:hAnsi="Arial Narrow"/>
          <w:sz w:val="18"/>
        </w:rPr>
        <w:t>" and "</w:t>
      </w:r>
      <w:r>
        <w:rPr>
          <w:rFonts w:ascii="Arial Narrow" w:hAnsi="Arial Narrow"/>
          <w:b/>
          <w:i/>
          <w:sz w:val="18"/>
          <w:u w:val="single"/>
        </w:rPr>
        <w:t>Indemnifying Party</w:t>
      </w:r>
      <w:r>
        <w:rPr>
          <w:rFonts w:ascii="Arial Narrow" w:hAnsi="Arial Narrow"/>
          <w:sz w:val="18"/>
        </w:rPr>
        <w:t>" mean the Party receiving and providing an indemnity, respectively.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Interest Rate</w:t>
      </w:r>
      <w:r>
        <w:rPr>
          <w:rFonts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Letter of Credit</w:t>
      </w:r>
      <w:r>
        <w:rPr>
          <w:rFonts w:ascii="Arial Narrow" w:hAnsi="Arial Narrow"/>
          <w:sz w:val="18"/>
        </w:rPr>
        <w:t>" means an irrevocable standby letter of credit established by a Party (the "</w:t>
      </w:r>
      <w:r>
        <w:rPr>
          <w:rFonts w:ascii="Arial Narrow" w:hAnsi="Arial Narrow"/>
          <w:sz w:val="18"/>
          <w:u w:val="single"/>
        </w:rPr>
        <w:t>Account Party</w:t>
      </w:r>
      <w:r>
        <w:rPr>
          <w:rFonts w:ascii="Arial Narrow" w:hAnsi="Arial Narrow"/>
          <w:sz w:val="18"/>
        </w:rPr>
        <w:t>") and issued or confirmed in a form and by a commercial bank acceptable to the Party in whose favor it is issued (the "</w:t>
      </w:r>
      <w:r>
        <w:rPr>
          <w:rFonts w:ascii="Arial Narrow" w:hAnsi="Arial Narrow"/>
          <w:sz w:val="18"/>
          <w:u w:val="single"/>
        </w:rPr>
        <w:t>Beneficiary Party</w:t>
      </w:r>
      <w:r>
        <w:rPr>
          <w:rFonts w:ascii="Arial Narrow" w:hAnsi="Arial Narrow"/>
          <w:sz w:val="18"/>
        </w:rPr>
        <w:t>").</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Material Adverse Change</w:t>
      </w:r>
      <w:r>
        <w:rPr>
          <w:rFonts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MaxDQ</w:t>
      </w:r>
      <w:r>
        <w:rPr>
          <w:rFonts w:ascii="Arial Narrow" w:hAnsi="Arial Narrow"/>
          <w:sz w:val="18"/>
        </w:rPr>
        <w:t>" means the maximum quantity of Gas that Seller is required to Schedule per Gas Day pursuant to a Transaction, if applicable.</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Maximum Daily Delivery Point Quantity</w:t>
      </w:r>
      <w:r>
        <w:rPr>
          <w:rFonts w:ascii="Arial Narrow" w:hAnsi="Arial Narrow"/>
          <w:sz w:val="18"/>
        </w:rPr>
        <w:t>" means the maximum quantity of Gas which may be Scheduled per Gas Day at each Delivery Point where there are multiple Delivery Points applicable to a Transaction.</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MinDQ</w:t>
      </w:r>
      <w:r>
        <w:rPr>
          <w:rFonts w:ascii="Arial Narrow" w:hAnsi="Arial Narrow"/>
          <w:sz w:val="18"/>
        </w:rPr>
        <w:t>" means the minimum quantity of Gas that Buyer is required to Schedule per Gas Day pursuant to a Transaction, if applicable.</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MinMQ</w:t>
      </w:r>
      <w:r>
        <w:rPr>
          <w:rFonts w:ascii="Arial Narrow" w:hAnsi="Arial Narrow"/>
          <w:sz w:val="18"/>
        </w:rPr>
        <w:t>" means for any Month the minimum quantity of Gas per Gas Day that Buyer is obligated to Schedule times the number of Days in the Month pursuant to a Transaction, if applicable.</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Month</w:t>
      </w:r>
      <w:r>
        <w:rPr>
          <w:rFonts w:ascii="Arial Narrow" w:hAnsi="Arial Narrow"/>
          <w:sz w:val="18"/>
        </w:rPr>
        <w:t>" means a period of time beginning at midnight C.T. on the first Day of any calendar Month and ending at midnight C.T. on the first Day of the following calendar Month.</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New Taxes</w:t>
      </w:r>
      <w:r>
        <w:rPr>
          <w:rFonts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Period of Delivery</w:t>
      </w:r>
      <w:r>
        <w:rPr>
          <w:rFonts w:ascii="Arial Narrow" w:hAnsi="Arial Narrow"/>
          <w:sz w:val="18"/>
        </w:rPr>
        <w:t>" means the period from the date Scheduling obligations are to commence to the date same are to terminate under a Trans</w:t>
        <w:softHyphen/>
        <w:t xml:space="preserve">action. </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Pipeline</w:t>
      </w:r>
      <w:r>
        <w:rPr>
          <w:rFonts w:ascii="Arial Narrow" w:hAnsi="Arial Narrow"/>
          <w:sz w:val="18"/>
        </w:rPr>
        <w:t>" means a company authorized to ship Gas on behalf of itself or others on physical Gas transmission facilities.</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Pricing Hours</w:t>
      </w:r>
      <w:r>
        <w:rPr>
          <w:rFonts w:ascii="Arial Narrow" w:hAnsi="Arial Narrow"/>
          <w:sz w:val="18"/>
        </w:rPr>
        <w:t>" means the hours C.T. from 8:00 a.m. to 5:00 p.m. of each Business Day.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sz w:val="18"/>
          <w:u w:val="single"/>
        </w:rPr>
        <w:t>Replacement Price Differential</w:t>
      </w:r>
      <w:r>
        <w:rPr>
          <w:rFonts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Scheduling</w:t>
      </w:r>
      <w:r>
        <w:rPr>
          <w:rFonts w:ascii="Arial Narrow" w:hAnsi="Arial Narrow"/>
          <w:sz w:val="18"/>
        </w:rPr>
        <w:t>" or "</w:t>
      </w:r>
      <w:r>
        <w:rPr>
          <w:rFonts w:ascii="Arial Narrow" w:hAnsi="Arial Narrow"/>
          <w:b/>
          <w:i/>
          <w:sz w:val="18"/>
          <w:u w:val="single"/>
        </w:rPr>
        <w:t>Schedule</w:t>
      </w:r>
      <w:r>
        <w:rPr>
          <w:rFonts w:ascii="Arial Narrow" w:hAnsi="Arial Narrow"/>
          <w:i/>
          <w:sz w:val="18"/>
          <w:u w:val="single"/>
        </w:rPr>
        <w:t>,</w:t>
      </w:r>
      <w:r>
        <w:rPr>
          <w:rFonts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Seller</w:t>
      </w:r>
      <w:r>
        <w:rPr>
          <w:rFonts w:ascii="Arial Narrow" w:hAnsi="Arial Narrow"/>
          <w:sz w:val="18"/>
        </w:rPr>
        <w:t>" means the Party to a Transaction who is obligated to sell Gas during a Period of Delivery.</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Spot Price</w:t>
      </w:r>
      <w:r>
        <w:rPr>
          <w:rFonts w:ascii="Arial Narrow" w:hAnsi="Arial Narrow"/>
          <w:sz w:val="18"/>
        </w:rPr>
        <w:t xml:space="preserve">" </w:t>
      </w:r>
      <w:r>
        <w:rPr>
          <w:rFonts w:ascii="Arial Narrow" w:hAnsi="Arial Narrow"/>
          <w:color w:val="000000"/>
          <w:sz w:val="18"/>
        </w:rPr>
        <w:t xml:space="preserve">means the “Daily Midpoint” price set forth in </w:t>
      </w:r>
      <w:r>
        <w:rPr>
          <w:rFonts w:ascii="Arial Narrow" w:hAnsi="Arial Narrow"/>
          <w:color w:val="000000"/>
          <w:sz w:val="18"/>
          <w:u w:val="single"/>
        </w:rPr>
        <w:t>Gas Daily</w:t>
      </w:r>
      <w:r>
        <w:rPr>
          <w:rFonts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ascii="Arial Narrow" w:hAnsi="Arial Narrow"/>
          <w:sz w:val="18"/>
        </w:rPr>
        <w:t xml:space="preserve"> </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Taxes</w:t>
      </w:r>
      <w:r>
        <w:rPr>
          <w:rFonts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w:t>
      </w:r>
      <w:r>
        <w:rPr>
          <w:rFonts w:ascii="Arial Narrow" w:hAnsi="Arial Narrow"/>
          <w:sz w:val="18"/>
        </w:rPr>
        <w:t>" means an agreement and any amendment or modification thereof made in accordance herewith for the purchase or sale of Gas to be performed hereunder.</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 Agreement</w:t>
      </w:r>
      <w:r>
        <w:rPr>
          <w:rFonts w:ascii="Arial Narrow" w:hAnsi="Arial Narrow"/>
          <w:sz w:val="18"/>
        </w:rPr>
        <w:t xml:space="preserve">" means a written paper-based agreement executed by the Parties to form and effectuate a Transaction which may be substantially in the form set forth in </w:t>
      </w:r>
      <w:r>
        <w:rPr>
          <w:rFonts w:ascii="Arial Narrow" w:hAnsi="Arial Narrow"/>
          <w:sz w:val="18"/>
          <w:u w:val="single"/>
        </w:rPr>
        <w:t>Exhibit "B-1."</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 Tape</w:t>
      </w:r>
      <w:r>
        <w:rPr>
          <w:rFonts w:ascii="Arial Narrow" w:hAnsi="Arial Narrow"/>
          <w:sz w:val="18"/>
        </w:rPr>
        <w:t xml:space="preserve">" means the tape recording of a recorded Transaction effectuated in accordance with </w:t>
      </w:r>
      <w:r>
        <w:rPr>
          <w:rFonts w:ascii="Arial Narrow" w:hAnsi="Arial Narrow"/>
          <w:sz w:val="18"/>
          <w:u w:val="single"/>
        </w:rPr>
        <w:t>Article 2</w:t>
      </w:r>
      <w:r>
        <w:rPr>
          <w:rFonts w:ascii="Arial Narrow" w:hAnsi="Arial Narrow"/>
          <w:sz w:val="18"/>
        </w:rPr>
        <w:t xml:space="preserve">. </w:t>
      </w:r>
    </w:p>
    <w:p>
      <w:pPr>
        <w:pStyle w:val="Norma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Transporter</w:t>
      </w:r>
      <w:r>
        <w:rPr>
          <w:rFonts w:ascii="Arial Narrow" w:hAnsi="Arial Narrow"/>
          <w:sz w:val="18"/>
        </w:rPr>
        <w:t>" means either the Pipeline delivering or receiving Gas at a Delivery Point in a Transaction.</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Representations and Warranties</w:t>
      </w:r>
      <w:r>
        <w:rPr>
          <w:rFonts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Operations and Delivery</w:t>
      </w:r>
      <w:r>
        <w:rPr>
          <w:rFonts w:ascii="Arial Narrow" w:hAnsi="Arial Narrow"/>
          <w:sz w:val="18"/>
        </w:rPr>
        <w:t xml:space="preserve">  </w:t>
      </w:r>
      <w:r>
        <w:rPr>
          <w:rFonts w:ascii="Arial Narrow" w:hAnsi="Arial Narrow"/>
          <w:b/>
          <w:sz w:val="18"/>
          <w:u w:val="single"/>
        </w:rPr>
        <w:t>Scheduling Requests</w:t>
      </w:r>
      <w:r>
        <w:rPr>
          <w:rFonts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ascii="Arial Narrow" w:hAnsi="Arial Narrow"/>
          <w:sz w:val="18"/>
          <w:u w:val="single"/>
        </w:rPr>
        <w:t>Exhibit "A."</w:t>
      </w:r>
      <w:r>
        <w:rPr>
          <w:rFonts w:ascii="Arial Narrow" w:hAnsi="Arial Narrow"/>
          <w:sz w:val="18"/>
        </w:rPr>
        <w:t xml:space="preserve">  </w:t>
      </w:r>
    </w:p>
    <w:p>
      <w:pPr>
        <w:pStyle w:val="Normal"/>
        <w:bidi w:val="0"/>
        <w:ind w:hanging="0" w:start="0" w:end="0"/>
        <w:jc w:val="both"/>
        <w:rPr>
          <w:rFonts w:ascii="Arial Narrow" w:hAnsi="Arial Narrow"/>
          <w:sz w:val="18"/>
        </w:rPr>
      </w:pPr>
      <w:r>
        <w:rPr>
          <w:rFonts w:ascii="Arial Narrow" w:hAnsi="Arial Narrow"/>
          <w:b/>
          <w:sz w:val="18"/>
          <w:u w:val="single"/>
        </w:rPr>
        <w:t>Transportation</w:t>
      </w:r>
      <w:r>
        <w:rPr>
          <w:rFonts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bidi w:val="0"/>
        <w:ind w:hanging="0" w:start="0" w:end="0"/>
        <w:jc w:val="both"/>
        <w:rPr>
          <w:rFonts w:ascii="Arial Narrow" w:hAnsi="Arial Narrow"/>
          <w:sz w:val="18"/>
        </w:rPr>
      </w:pPr>
      <w:r>
        <w:rPr>
          <w:rFonts w:ascii="Arial Narrow" w:hAnsi="Arial Narrow"/>
          <w:b/>
          <w:sz w:val="18"/>
          <w:u w:val="single"/>
        </w:rPr>
        <w:t>Gas Specifications</w:t>
      </w:r>
      <w:r>
        <w:rPr>
          <w:rFonts w:ascii="Arial Narrow" w:hAnsi="Arial Narrow"/>
          <w:sz w:val="18"/>
        </w:rPr>
        <w:t>.  Seller represents that all Gas delivered hereunder shall meet or exceed the specifications of Buyer's Transporter.</w:t>
      </w:r>
    </w:p>
    <w:p>
      <w:pPr>
        <w:pStyle w:val="Normal"/>
        <w:bidi w:val="0"/>
        <w:ind w:hanging="0" w:start="0" w:end="0"/>
        <w:jc w:val="both"/>
        <w:rPr>
          <w:rFonts w:ascii="Arial Narrow" w:hAnsi="Arial Narrow"/>
          <w:sz w:val="18"/>
        </w:rPr>
      </w:pPr>
      <w:r>
        <w:rPr>
          <w:rFonts w:ascii="Arial Narrow" w:hAnsi="Arial Narrow"/>
          <w:b/>
          <w:sz w:val="18"/>
          <w:u w:val="single"/>
        </w:rPr>
        <w:t>Multiple Delivery Point Utilization</w:t>
      </w:r>
      <w:r>
        <w:rPr>
          <w:rFonts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bidi w:val="0"/>
        <w:ind w:hanging="0" w:start="0" w:end="0"/>
        <w:jc w:val="both"/>
        <w:rPr>
          <w:rFonts w:ascii="Arial Narrow" w:hAnsi="Arial Narrow"/>
          <w:sz w:val="18"/>
        </w:rPr>
      </w:pPr>
      <w:r>
        <w:rPr>
          <w:rFonts w:ascii="Arial Narrow" w:hAnsi="Arial Narrow"/>
          <w:b/>
          <w:sz w:val="18"/>
          <w:u w:val="single"/>
        </w:rPr>
        <w:t>Operational Flow Orders</w:t>
      </w:r>
      <w:r>
        <w:rPr>
          <w:rFonts w:ascii="Arial Narrow" w:hAnsi="Arial Narrow"/>
          <w:sz w:val="18"/>
        </w:rPr>
        <w:t>.  Should either Party receive an operational flow order or other order or notice from a Transporter requiring action to be taken in connection with this Agreement or Gas flowing under this Agreement ("</w:t>
      </w:r>
      <w:r>
        <w:rPr>
          <w:rFonts w:ascii="Arial Narrow" w:hAnsi="Arial Narrow"/>
          <w:sz w:val="18"/>
          <w:u w:val="single"/>
        </w:rPr>
        <w:t>OFO</w:t>
      </w:r>
      <w:r>
        <w:rPr>
          <w:rFonts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bidi w:val="0"/>
        <w:ind w:hanging="0" w:start="0" w:end="0"/>
        <w:jc w:val="both"/>
        <w:rPr>
          <w:rFonts w:ascii="Arial Narrow" w:hAnsi="Arial Narrow"/>
          <w:sz w:val="18"/>
          <w:u w:val="single"/>
        </w:rPr>
      </w:pPr>
      <w:r>
        <w:rPr>
          <w:rFonts w:eastAsia="Symbol" w:cs="Symbol" w:ascii="Symbol" w:hAnsi="Symbol"/>
          <w:b/>
          <w:sz w:val="18"/>
        </w:rPr>
        <w:sym w:font="Symbol" w:char="b7"/>
      </w:r>
      <w:r>
        <w:rPr>
          <w:rFonts w:ascii="Arial Narrow" w:hAnsi="Arial Narrow"/>
          <w:b/>
          <w:sz w:val="18"/>
          <w:u w:val="single"/>
        </w:rPr>
        <w:t>Financial Matters</w:t>
      </w:r>
      <w:r>
        <w:rPr>
          <w:rFonts w:ascii="Arial Narrow" w:hAnsi="Arial Narrow"/>
          <w:sz w:val="18"/>
        </w:rPr>
        <w:t xml:space="preserve">  </w:t>
      </w:r>
      <w:r>
        <w:rPr>
          <w:rFonts w:ascii="Arial Narrow" w:hAnsi="Arial Narrow"/>
          <w:b/>
          <w:sz w:val="18"/>
          <w:u w:val="single"/>
        </w:rPr>
        <w:t>Billing, Invoice Date, Charges and Payment</w:t>
      </w:r>
      <w:r>
        <w:rPr>
          <w:rFonts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ascii="Arial Narrow" w:hAnsi="Arial Narrow"/>
          <w:sz w:val="18"/>
          <w:u w:val="single"/>
        </w:rPr>
        <w:t>Article 3</w:t>
      </w:r>
      <w:r>
        <w:rPr>
          <w:rFonts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ascii="Arial Narrow" w:hAnsi="Arial Narrow"/>
          <w:sz w:val="18"/>
          <w:u w:val="single"/>
        </w:rPr>
        <w:t>Article 7</w:t>
      </w:r>
      <w:r>
        <w:rPr>
          <w:rFonts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ascii="Arial Narrow" w:hAnsi="Arial Narrow"/>
          <w:sz w:val="18"/>
          <w:u w:val="single"/>
        </w:rPr>
        <w:t>Exhibit "A"</w:t>
      </w:r>
      <w:r>
        <w:rPr>
          <w:rFonts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ascii="Arial Narrow" w:hAnsi="Arial Narrow"/>
          <w:sz w:val="18"/>
          <w:u w:val="single"/>
        </w:rPr>
        <w:t>Exhibit "A."</w:t>
      </w:r>
      <w:r>
        <w:rPr>
          <w:rFonts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ascii="Arial Narrow" w:hAnsi="Arial Narrow"/>
          <w:sz w:val="18"/>
          <w:u w:val="single"/>
        </w:rPr>
        <w:t>Exhibit "A."</w:t>
      </w:r>
    </w:p>
    <w:p>
      <w:pPr>
        <w:pStyle w:val="Normal"/>
        <w:bidi w:val="0"/>
        <w:ind w:hanging="0" w:start="0" w:end="0"/>
        <w:jc w:val="both"/>
        <w:rPr>
          <w:rFonts w:ascii="Arial Narrow" w:hAnsi="Arial Narrow"/>
          <w:sz w:val="18"/>
        </w:rPr>
      </w:pPr>
      <w:r>
        <w:rPr>
          <w:rFonts w:ascii="Arial Narrow" w:hAnsi="Arial Narrow"/>
          <w:b/>
          <w:sz w:val="18"/>
          <w:u w:val="single"/>
        </w:rPr>
        <w:t>Suspension of Performance</w:t>
      </w:r>
      <w:r>
        <w:rPr>
          <w:rFonts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bidi w:val="0"/>
        <w:ind w:hanging="0" w:start="0" w:end="0"/>
        <w:jc w:val="both"/>
        <w:rPr>
          <w:rFonts w:ascii="Arial Narrow" w:hAnsi="Arial Narrow"/>
          <w:sz w:val="18"/>
        </w:rPr>
      </w:pPr>
      <w:r>
        <w:rPr>
          <w:rFonts w:ascii="Arial Narrow" w:hAnsi="Arial Narrow"/>
          <w:b/>
          <w:sz w:val="18"/>
          <w:u w:val="single"/>
        </w:rPr>
        <w:t>Audit Rights</w:t>
      </w:r>
      <w:r>
        <w:rPr>
          <w:rFonts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ascii="Arial Narrow" w:hAnsi="Arial Narrow"/>
          <w:sz w:val="18"/>
          <w:u w:val="single"/>
        </w:rPr>
        <w:t>Section 8.6</w:t>
      </w:r>
      <w:r>
        <w:rPr>
          <w:rFonts w:ascii="Arial Narrow" w:hAnsi="Arial Narrow"/>
          <w:sz w:val="18"/>
        </w:rPr>
        <w:t xml:space="preserve"> for a like period to facilitate the audit rights of the Parties.</w:t>
      </w:r>
    </w:p>
    <w:p>
      <w:pPr>
        <w:pStyle w:val="Normal"/>
        <w:bidi w:val="0"/>
        <w:ind w:hanging="0" w:start="0" w:end="0"/>
        <w:jc w:val="both"/>
        <w:rPr>
          <w:rFonts w:ascii="Arial Narrow" w:hAnsi="Arial Narrow"/>
          <w:sz w:val="18"/>
        </w:rPr>
      </w:pPr>
      <w:r>
        <w:rPr>
          <w:rFonts w:ascii="Arial Narrow" w:hAnsi="Arial Narrow"/>
          <w:b/>
          <w:sz w:val="18"/>
          <w:u w:val="single"/>
        </w:rPr>
        <w:t>Financial Information</w:t>
      </w:r>
      <w:r>
        <w:rPr>
          <w:rFonts w:ascii="Arial Narrow" w:hAnsi="Arial Narrow"/>
          <w:sz w:val="18"/>
        </w:rPr>
        <w:t>.  If requested by Customer, Company shall deliver  within 120 Days following the end of each fiscal year, a copy of the annual report of Enron Corp. containing consolidated financial statements for such fiscal year certified by independent certified public accountants. If requested by Company, Customer shall deliver within 120 Days following the end of each fiscal year, a copy of its annual report containing consolidated financial statements for such fiscal year certified by independent certified public accountants.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Warranty of Title to Gas</w:t>
      </w:r>
      <w:r>
        <w:rPr>
          <w:rFonts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Alternate Price Redetermination</w:t>
      </w:r>
      <w:r>
        <w:rPr>
          <w:rFonts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ascii="Arial Narrow" w:hAnsi="Arial Narrow"/>
          <w:sz w:val="18"/>
          <w:u w:val="single"/>
        </w:rPr>
        <w:t>Alternate Price</w:t>
      </w:r>
      <w:r>
        <w:rPr>
          <w:rFonts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ascii="Arial Narrow" w:hAnsi="Arial Narrow"/>
          <w:sz w:val="18"/>
          <w:u w:val="single"/>
        </w:rPr>
        <w:t>Renegotiation Date</w:t>
      </w:r>
      <w:r>
        <w:rPr>
          <w:rFonts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Effect of Waiver or Consent</w:t>
      </w:r>
      <w:r>
        <w:rPr>
          <w:rFonts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Indemnifications</w:t>
      </w:r>
      <w:r>
        <w:rPr>
          <w:rFonts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Arbitration</w:t>
      </w:r>
      <w:r>
        <w:rPr>
          <w:rFonts w:ascii="Arial Narrow" w:hAnsi="Arial Narrow"/>
          <w:sz w:val="18"/>
        </w:rPr>
        <w:t xml:space="preserve"> </w:t>
      </w:r>
      <w:r>
        <w:rPr>
          <w:rFonts w:ascii="Arial Narrow" w:hAnsi="Arial Narrow"/>
          <w:b/>
          <w:sz w:val="18"/>
          <w:u w:val="single"/>
        </w:rPr>
        <w:t>Disputes to be Arbitrated</w:t>
      </w:r>
      <w:r>
        <w:rPr>
          <w:rFonts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ascii="Arial Narrow" w:hAnsi="Arial Narrow"/>
          <w:sz w:val="18"/>
          <w:u w:val="single"/>
        </w:rPr>
        <w:t>Disputes</w:t>
      </w:r>
      <w:r>
        <w:rPr>
          <w:rFonts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New York, New York, or other location mutually agreed upon by the Parties. Within 30 Days of the notice initiating the arbitration procedure, each Party shall designate one arbitrator, who shall  be impartial.  If a Party fails to designate an arbitrator, the other Party may have an arbitrator appointed by applying to the United States District Court for the Eastern District of New York.  The two arbitrators shall select a third arbitrator.  If the two arbitrators chosen by the Parties fail to agree upon the third arbitrator, both or either of the Parties may apply to the  United States District Court for the Eastern District of New York  for the appointment of a third arbitrator.  The third arbitrator shall take an oath of neutrality.  </w:t>
      </w:r>
    </w:p>
    <w:p>
      <w:pPr>
        <w:pStyle w:val="Normal"/>
        <w:bidi w:val="0"/>
        <w:ind w:hanging="0" w:start="0" w:end="0"/>
        <w:jc w:val="both"/>
        <w:rPr>
          <w:rFonts w:ascii="Arial Narrow" w:hAnsi="Arial Narrow"/>
          <w:sz w:val="18"/>
        </w:rPr>
      </w:pPr>
      <w:r>
        <w:rPr>
          <w:rFonts w:ascii="Arial Narrow" w:hAnsi="Arial Narrow"/>
          <w:b/>
          <w:sz w:val="18"/>
          <w:u w:val="single"/>
        </w:rPr>
        <w:t>Arbitration Procedures</w:t>
      </w:r>
      <w:r>
        <w:rPr>
          <w:rFonts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bidi w:val="0"/>
        <w:ind w:hanging="0" w:start="0" w:end="0"/>
        <w:jc w:val="both"/>
        <w:rPr>
          <w:rFonts w:ascii="Arial Narrow" w:hAnsi="Arial Narrow"/>
          <w:sz w:val="18"/>
        </w:rPr>
      </w:pPr>
      <w:r>
        <w:rPr>
          <w:rFonts w:ascii="Arial Narrow" w:hAnsi="Arial Narrow"/>
          <w:b/>
          <w:sz w:val="18"/>
          <w:u w:val="single"/>
        </w:rPr>
        <w:t>Arbitration Award</w:t>
      </w:r>
      <w:r>
        <w:rPr>
          <w:rFonts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Authority for Transactions</w:t>
      </w:r>
      <w:r>
        <w:rPr>
          <w:rFonts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bidi w:val="0"/>
        <w:ind w:hanging="0" w:start="0" w:end="0"/>
        <w:jc w:val="both"/>
        <w:rPr>
          <w:rFonts w:ascii="Arial Narrow" w:hAnsi="Arial Narrow"/>
          <w:b/>
          <w:sz w:val="18"/>
        </w:rPr>
      </w:pPr>
      <w:r>
        <w:rPr>
          <w:rFonts w:eastAsia="Symbol" w:cs="Symbol" w:ascii="Symbol" w:hAnsi="Symbol"/>
          <w:b/>
          <w:sz w:val="18"/>
        </w:rPr>
        <w:sym w:font="Symbol" w:char="b7"/>
      </w:r>
      <w:r>
        <w:rPr>
          <w:rFonts w:ascii="Arial Narrow" w:hAnsi="Arial Narrow"/>
          <w:b/>
          <w:sz w:val="18"/>
          <w:u w:val="single"/>
        </w:rPr>
        <w:t>Flexible Pricing</w:t>
      </w:r>
      <w:r>
        <w:rPr>
          <w:rFonts w:ascii="Arial Narrow" w:hAnsi="Arial Narrow"/>
          <w:sz w:val="18"/>
        </w:rPr>
        <w:t xml:space="preserve"> During the Period of Delivery for a Transaction expressly providing for "</w:t>
      </w:r>
      <w:r>
        <w:rPr>
          <w:rFonts w:ascii="Arial Narrow" w:hAnsi="Arial Narrow"/>
          <w:sz w:val="18"/>
          <w:u w:val="single"/>
        </w:rPr>
        <w:t>Flexible Pricing</w:t>
      </w:r>
      <w:r>
        <w:rPr>
          <w:rFonts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ascii="Arial Narrow" w:hAnsi="Arial Narrow"/>
          <w:sz w:val="18"/>
          <w:u w:val="single"/>
        </w:rPr>
        <w:t>Article 2</w:t>
      </w:r>
      <w:r>
        <w:rPr>
          <w:rFonts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ascii="Arial Narrow" w:hAnsi="Arial Narrow"/>
          <w:sz w:val="18"/>
          <w:u w:val="single"/>
        </w:rPr>
        <w:t>Section 2.4</w:t>
      </w:r>
      <w:r>
        <w:rPr>
          <w:rFonts w:ascii="Arial Narrow" w:hAnsi="Arial Narrow"/>
          <w:sz w:val="18"/>
        </w:rPr>
        <w:t>.  "</w:t>
      </w:r>
      <w:r>
        <w:rPr>
          <w:rFonts w:ascii="Arial Narrow" w:hAnsi="Arial Narrow"/>
          <w:sz w:val="18"/>
          <w:u w:val="single"/>
        </w:rPr>
        <w:t>Fixed Price</w:t>
      </w:r>
      <w:r>
        <w:rPr>
          <w:rFonts w:ascii="Arial Narrow" w:hAnsi="Arial Narrow"/>
          <w:sz w:val="18"/>
        </w:rPr>
        <w:t>" means a fixed dollar amount agreed to by the Parties.  "</w:t>
      </w:r>
      <w:r>
        <w:rPr>
          <w:rFonts w:ascii="Arial Narrow" w:hAnsi="Arial Narrow"/>
          <w:sz w:val="18"/>
          <w:u w:val="single"/>
        </w:rPr>
        <w:t>Fixed Basis Price</w:t>
      </w:r>
      <w:r>
        <w:rPr>
          <w:rFonts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ascii="Arial Narrow" w:hAnsi="Arial Narrow"/>
          <w:sz w:val="18"/>
          <w:u w:val="single"/>
        </w:rPr>
        <w:t>Average Settlement Price</w:t>
      </w:r>
      <w:r>
        <w:rPr>
          <w:rFonts w:ascii="Arial Narrow" w:hAnsi="Arial Narrow"/>
          <w:sz w:val="18"/>
        </w:rPr>
        <w:t xml:space="preserve">") </w:t>
      </w:r>
      <w:r>
        <w:rPr>
          <w:rFonts w:ascii="Arial Narrow" w:hAnsi="Arial Narrow"/>
          <w:sz w:val="18"/>
          <w:u w:val="single"/>
        </w:rPr>
        <w:t>plus</w:t>
      </w:r>
      <w:r>
        <w:rPr>
          <w:rFonts w:ascii="Arial Narrow" w:hAnsi="Arial Narrow"/>
          <w:sz w:val="18"/>
        </w:rPr>
        <w:t xml:space="preserve"> a fixed dollar amount basis adjustment agreed to by the Parties.  "</w:t>
      </w:r>
      <w:r>
        <w:rPr>
          <w:rFonts w:ascii="Arial Narrow" w:hAnsi="Arial Narrow"/>
          <w:sz w:val="18"/>
          <w:u w:val="single"/>
        </w:rPr>
        <w:t>Floating Basis Price</w:t>
      </w:r>
      <w:r>
        <w:rPr>
          <w:rFonts w:ascii="Arial Narrow" w:hAnsi="Arial Narrow"/>
          <w:sz w:val="18"/>
        </w:rPr>
        <w:t xml:space="preserve">" means a price equal to the sum of a fixed dollar amount agreed to by the Parties </w:t>
      </w:r>
      <w:r>
        <w:rPr>
          <w:rFonts w:ascii="Arial Narrow" w:hAnsi="Arial Narrow"/>
          <w:sz w:val="18"/>
          <w:u w:val="single"/>
        </w:rPr>
        <w:t>plus</w:t>
      </w:r>
      <w:r>
        <w:rPr>
          <w:rFonts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720" w:right="720" w:gutter="0" w:header="720" w:top="777" w:footer="720" w:bottom="777"/>
          <w:pgNumType w:start="1" w:fmt="decimal"/>
          <w:cols w:num="2" w:space="432" w:equalWidth="true" w:sep="false"/>
          <w:formProt w:val="false"/>
          <w:titlePg/>
          <w:textDirection w:val="lrTb"/>
          <w:docGrid w:type="default" w:linePitch="100" w:charSpace="0"/>
        </w:sectPr>
      </w:pPr>
    </w:p>
    <w:p>
      <w:pPr>
        <w:pStyle w:val="Normal"/>
        <w:bidi w:val="0"/>
        <w:ind w:hanging="0" w:start="0" w:end="0"/>
        <w:jc w:val="center"/>
        <w:rPr>
          <w:rFonts w:ascii="Arial Narrow" w:hAnsi="Arial Narrow"/>
          <w:b/>
          <w:sz w:val="18"/>
        </w:rPr>
      </w:pPr>
      <w:r>
        <w:rPr>
          <w:rFonts w:ascii="Arial Narrow" w:hAnsi="Arial Narrow"/>
          <w:b/>
          <w:sz w:val="18"/>
        </w:rPr>
        <w:t>EXHIBIT "A"</w:t>
      </w:r>
    </w:p>
    <w:p>
      <w:pPr>
        <w:pStyle w:val="Normal"/>
        <w:bidi w:val="0"/>
        <w:ind w:hanging="0" w:start="0" w:end="0"/>
        <w:jc w:val="center"/>
        <w:rPr>
          <w:rFonts w:ascii="Arial Narrow" w:hAnsi="Arial Narrow"/>
          <w:sz w:val="18"/>
        </w:rPr>
      </w:pPr>
      <w:r>
        <w:rPr>
          <w:rFonts w:ascii="Arial Narrow" w:hAnsi="Arial Narrow"/>
          <w:sz w:val="18"/>
        </w:rPr>
        <w:t>ENFOLIO MASTER FIRM PURCHASE/SALE AGREEMENT</w:t>
      </w:r>
    </w:p>
    <w:p>
      <w:pPr>
        <w:pStyle w:val="Normal"/>
        <w:bidi w:val="0"/>
        <w:ind w:hanging="0" w:start="0" w:end="0"/>
        <w:jc w:val="start"/>
        <w:rPr>
          <w:rFonts w:ascii="Arial Narrow" w:hAnsi="Arial Narrow"/>
          <w:sz w:val="18"/>
        </w:rPr>
      </w:pPr>
      <w:r>
        <w:rPr>
          <w:rFonts w:ascii="Arial Narrow" w:hAnsi="Arial Narrow"/>
          <w:sz w:val="18"/>
        </w:rPr>
      </w:r>
    </w:p>
    <w:p>
      <w:pPr>
        <w:pStyle w:val="Normal"/>
        <w:tabs>
          <w:tab w:val="clear" w:pos="720"/>
          <w:tab w:val="center" w:pos="10800" w:leader="none"/>
        </w:tabs>
        <w:bidi w:val="0"/>
        <w:ind w:hanging="0" w:start="0" w:end="0"/>
        <w:jc w:val="center"/>
        <w:rPr>
          <w:rFonts w:ascii="Arial Narrow" w:hAnsi="Arial Narrow"/>
          <w:sz w:val="18"/>
        </w:rPr>
      </w:pPr>
      <w:r>
        <w:rPr>
          <w:rFonts w:ascii="Arial Narrow" w:hAnsi="Arial Narrow"/>
          <w:sz w:val="18"/>
        </w:rPr>
        <w:t>NOTICE / COMMUNICATION / PAYMENT</w:t>
      </w:r>
    </w:p>
    <w:p>
      <w:pPr>
        <w:pStyle w:val="Normal"/>
        <w:tabs>
          <w:tab w:val="clear" w:pos="720"/>
          <w:tab w:val="center" w:pos="10800" w:leader="none"/>
        </w:tabs>
        <w:bidi w:val="0"/>
        <w:ind w:hanging="0" w:start="0" w:end="0"/>
        <w:jc w:val="center"/>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b/>
          <w:sz w:val="18"/>
        </w:rPr>
      </w:pPr>
      <w:r>
        <w:rPr>
          <w:rFonts w:ascii="Arial Narrow" w:hAnsi="Arial Narrow"/>
          <w:b/>
          <w:sz w:val="18"/>
        </w:rPr>
        <w:t>TO COMPANY:</w:t>
      </w:r>
    </w:p>
    <w:p>
      <w:pPr>
        <w:pStyle w:val="Normal"/>
        <w:bidi w:val="0"/>
        <w:ind w:hanging="0" w:start="0" w:end="0"/>
        <w:jc w:val="both"/>
        <w:rPr>
          <w:rFonts w:ascii="Arial Narrow" w:hAnsi="Arial Narrow"/>
          <w:b/>
          <w:sz w:val="18"/>
        </w:rPr>
      </w:pPr>
      <w:r>
        <w:rPr>
          <w:rFonts w:ascii="Arial Narrow" w:hAnsi="Arial Narrow"/>
          <w:b/>
          <w:sz w:val="18"/>
        </w:rPr>
        <w:t xml:space="preserve">Notices/Correspondence:      </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P.O. Box 4428</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Houston, Texas  77210-4428</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 xml:space="preserve">Attn:  Documentation and Deal Clearing Desk </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Facsimile No.  (713) 646-4816</w:t>
      </w:r>
    </w:p>
    <w:p>
      <w:pPr>
        <w:pStyle w:val="Normal"/>
        <w:tabs>
          <w:tab w:val="clear" w:pos="720"/>
          <w:tab w:val="center" w:pos="5760" w:leader="none"/>
        </w:tabs>
        <w:bidi w:val="0"/>
        <w:ind w:hanging="0" w:start="0" w:end="0"/>
        <w:jc w:val="both"/>
        <w:rPr>
          <w:rFonts w:ascii="Arial Narrow" w:hAnsi="Arial Narrow"/>
          <w:b/>
          <w:sz w:val="18"/>
        </w:rPr>
      </w:pPr>
      <w:r>
        <w:rPr>
          <w:rFonts w:ascii="Arial Narrow" w:hAnsi="Arial Narrow"/>
          <w:sz w:val="18"/>
        </w:rPr>
        <w:t>Termination Notice Facsimile No.  (713) 646-4818</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b/>
          <w:sz w:val="18"/>
        </w:rPr>
      </w:pPr>
      <w:r>
        <w:rPr>
          <w:rFonts w:ascii="Arial Narrow" w:hAnsi="Arial Narrow"/>
          <w:b/>
          <w:sz w:val="18"/>
        </w:rPr>
        <w:t>Invoices:</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P.O. Box 4428</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Houston, Texas  77210-4428</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Attn:  Client Services</w:t>
      </w:r>
    </w:p>
    <w:p>
      <w:pPr>
        <w:pStyle w:val="Normal"/>
        <w:tabs>
          <w:tab w:val="clear" w:pos="720"/>
          <w:tab w:val="center" w:pos="5760" w:leader="none"/>
        </w:tabs>
        <w:bidi w:val="0"/>
        <w:ind w:hanging="0" w:start="0" w:end="0"/>
        <w:jc w:val="both"/>
        <w:rPr>
          <w:rFonts w:ascii="Arial Narrow" w:hAnsi="Arial Narrow"/>
          <w:b/>
          <w:sz w:val="18"/>
        </w:rPr>
      </w:pPr>
      <w:r>
        <w:rPr>
          <w:rFonts w:ascii="Arial Narrow" w:hAnsi="Arial Narrow"/>
          <w:sz w:val="18"/>
        </w:rPr>
        <w:t>Facsimile No.  (713) 646-8420</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b/>
          <w:sz w:val="18"/>
        </w:rPr>
      </w:pPr>
      <w:r>
        <w:rPr>
          <w:rFonts w:ascii="Arial Narrow" w:hAnsi="Arial Narrow"/>
          <w:b/>
          <w:sz w:val="18"/>
        </w:rPr>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b/>
          <w:sz w:val="18"/>
        </w:rPr>
        <w:t>Payments:</w:t>
      </w:r>
      <w:r>
        <w:rPr>
          <w:rFonts w:ascii="Arial Narrow" w:hAnsi="Arial Narrow"/>
          <w:sz w:val="18"/>
        </w:rPr>
        <w:t xml:space="preserve"> </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Enron North America Corp.</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ABA Routing 111000012 Bank of America</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Dallas, Texas</w:t>
      </w:r>
    </w:p>
    <w:p>
      <w:pPr>
        <w:pStyle w:val="Normal"/>
        <w:tabs>
          <w:tab w:val="clear" w:pos="720"/>
          <w:tab w:val="center" w:pos="5760" w:leader="none"/>
        </w:tabs>
        <w:bidi w:val="0"/>
        <w:ind w:hanging="0" w:start="0" w:end="0"/>
        <w:jc w:val="both"/>
        <w:rPr>
          <w:rFonts w:ascii="Arial Narrow" w:hAnsi="Arial Narrow"/>
          <w:sz w:val="18"/>
        </w:rPr>
      </w:pPr>
      <w:r>
        <w:rPr>
          <w:rFonts w:ascii="Arial Narrow" w:hAnsi="Arial Narrow"/>
          <w:sz w:val="18"/>
        </w:rPr>
        <w:t>Account 3750494099</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b/>
          <w:sz w:val="18"/>
        </w:rPr>
      </w:pPr>
      <w:r>
        <w:rPr>
          <w:rFonts w:ascii="Arial Narrow" w:hAnsi="Arial Narrow"/>
          <w:b/>
          <w:sz w:val="18"/>
        </w:rPr>
        <w:t xml:space="preserve">Nominations:  </w:t>
      </w:r>
      <w:r>
        <w:rPr>
          <w:rFonts w:ascii="Arial Narrow" w:hAnsi="Arial Narrow"/>
          <w:sz w:val="18"/>
        </w:rPr>
        <w:t>1(800) 356-9427/1(800) FLOWGAS</w:t>
      </w:r>
    </w:p>
    <w:p>
      <w:pPr>
        <w:pStyle w:val="Normal"/>
        <w:bidi w:val="0"/>
        <w:ind w:hanging="0" w:start="0" w:end="0"/>
        <w:jc w:val="both"/>
        <w:rPr>
          <w:rFonts w:ascii="Arial Narrow" w:hAnsi="Arial Narrow"/>
          <w:b/>
          <w:sz w:val="18"/>
        </w:rPr>
      </w:pPr>
      <w:r>
        <w:rPr>
          <w:rFonts w:ascii="Arial Narrow" w:hAnsi="Arial Narrow"/>
          <w:b/>
          <w:sz w:val="18"/>
        </w:rPr>
        <w:t xml:space="preserve">Confirmations:  </w:t>
      </w:r>
      <w:r>
        <w:rPr>
          <w:rFonts w:ascii="Arial Narrow" w:hAnsi="Arial Narrow"/>
          <w:sz w:val="18"/>
        </w:rPr>
        <w:t>Enron North America Gas Trading 1(713) 646-2531</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b/>
          <w:sz w:val="18"/>
        </w:rPr>
      </w:pPr>
      <w:r>
        <w:rPr>
          <w:rFonts w:ascii="Arial Narrow" w:hAnsi="Arial Narrow"/>
          <w:b/>
          <w:sz w:val="18"/>
        </w:rPr>
        <w:t>TO CUSTOMER:</w:t>
      </w:r>
    </w:p>
    <w:p>
      <w:pPr>
        <w:pStyle w:val="Normal"/>
        <w:bidi w:val="0"/>
        <w:ind w:hanging="0" w:start="0" w:end="0"/>
        <w:jc w:val="both"/>
        <w:rPr>
          <w:rFonts w:ascii="Arial Narrow" w:hAnsi="Arial Narrow"/>
          <w:sz w:val="18"/>
        </w:rPr>
      </w:pPr>
      <w:r>
        <w:rPr>
          <w:rFonts w:ascii="Arial Narrow" w:hAnsi="Arial Narrow"/>
          <w:b/>
          <w:sz w:val="18"/>
        </w:rPr>
        <w:t>Notices/Correspondence:</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sz w:val="18"/>
        </w:rPr>
      </w:pPr>
      <w:r>
        <w:rPr>
          <w:rFonts w:ascii="Arial Narrow" w:hAnsi="Arial Narrow"/>
          <w:sz w:val="18"/>
        </w:rPr>
        <w:t>Cargill, Inc.</w:t>
      </w:r>
    </w:p>
    <w:p>
      <w:pPr>
        <w:pStyle w:val="Normal"/>
        <w:bidi w:val="0"/>
        <w:ind w:hanging="0" w:start="0" w:end="0"/>
        <w:jc w:val="both"/>
        <w:rPr>
          <w:rFonts w:ascii="Arial Narrow" w:hAnsi="Arial Narrow"/>
          <w:sz w:val="18"/>
        </w:rPr>
      </w:pPr>
      <w:r>
        <w:rPr>
          <w:rFonts w:ascii="Arial Narrow" w:hAnsi="Arial Narrow"/>
          <w:sz w:val="18"/>
        </w:rPr>
        <w:t>12700 Whitewater Drive</w:t>
      </w:r>
    </w:p>
    <w:p>
      <w:pPr>
        <w:pStyle w:val="Normal"/>
        <w:bidi w:val="0"/>
        <w:ind w:hanging="0" w:start="0" w:end="0"/>
        <w:jc w:val="both"/>
        <w:rPr>
          <w:rFonts w:ascii="Arial Narrow" w:hAnsi="Arial Narrow"/>
          <w:sz w:val="18"/>
        </w:rPr>
      </w:pPr>
      <w:r>
        <w:rPr>
          <w:rFonts w:ascii="Arial Narrow" w:hAnsi="Arial Narrow"/>
          <w:sz w:val="18"/>
        </w:rPr>
        <w:t>Minnetonka, Minnesota 55343-9497</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b/>
          <w:sz w:val="18"/>
        </w:rPr>
      </w:pPr>
      <w:r>
        <w:rPr>
          <w:rFonts w:ascii="Arial Narrow" w:hAnsi="Arial Narrow"/>
          <w:b/>
          <w:sz w:val="18"/>
        </w:rPr>
        <w:t>Invoices:</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sz w:val="18"/>
        </w:rPr>
        <w:t>Kathy Gerken  Phone: 952-984-3220  Fax: 952-984-3341</w:t>
      </w:r>
    </w:p>
    <w:p>
      <w:pPr>
        <w:pStyle w:val="Normal"/>
        <w:bidi w:val="0"/>
        <w:ind w:hanging="0" w:start="0" w:end="0"/>
        <w:jc w:val="both"/>
        <w:rPr>
          <w:rFonts w:ascii="Arial Narrow" w:hAnsi="Arial Narrow"/>
          <w:sz w:val="18"/>
        </w:rPr>
      </w:pPr>
      <w:r>
        <w:rPr>
          <w:rFonts w:ascii="Arial Narrow" w:hAnsi="Arial Narrow"/>
          <w:sz w:val="18"/>
        </w:rPr>
        <w:t>Cargill, Inc.</w:t>
      </w:r>
    </w:p>
    <w:p>
      <w:pPr>
        <w:pStyle w:val="Normal"/>
        <w:bidi w:val="0"/>
        <w:ind w:hanging="0" w:start="0" w:end="0"/>
        <w:jc w:val="both"/>
        <w:rPr>
          <w:rFonts w:ascii="Arial Narrow" w:hAnsi="Arial Narrow"/>
          <w:sz w:val="18"/>
        </w:rPr>
      </w:pPr>
      <w:r>
        <w:rPr>
          <w:rFonts w:ascii="Arial Narrow" w:hAnsi="Arial Narrow"/>
          <w:sz w:val="18"/>
        </w:rPr>
        <w:t>12700 Whitewater Drive</w:t>
      </w:r>
    </w:p>
    <w:p>
      <w:pPr>
        <w:pStyle w:val="Normal"/>
        <w:bidi w:val="0"/>
        <w:ind w:hanging="0" w:start="0" w:end="0"/>
        <w:jc w:val="both"/>
        <w:rPr>
          <w:rFonts w:ascii="Arial Narrow" w:hAnsi="Arial Narrow"/>
          <w:sz w:val="18"/>
        </w:rPr>
      </w:pPr>
      <w:r>
        <w:rPr>
          <w:rFonts w:ascii="Arial Narrow" w:hAnsi="Arial Narrow"/>
          <w:sz w:val="18"/>
        </w:rPr>
        <w:t>Minnetonka, Minnesota 55343-9497</w:t>
      </w:r>
    </w:p>
    <w:p>
      <w:pPr>
        <w:pStyle w:val="Normal"/>
        <w:bidi w:val="0"/>
        <w:ind w:hanging="0" w:start="0" w:end="0"/>
        <w:jc w:val="both"/>
        <w:rPr>
          <w:rFonts w:ascii="Arial Narrow" w:hAnsi="Arial Narrow"/>
          <w:b/>
          <w:sz w:val="18"/>
        </w:rPr>
      </w:pPr>
      <w:r>
        <w:rPr>
          <w:rFonts w:ascii="Arial Narrow" w:hAnsi="Arial Narrow"/>
          <w:b/>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Payments:  </w:t>
      </w:r>
    </w:p>
    <w:p>
      <w:pPr>
        <w:pStyle w:val="Normal"/>
        <w:bidi w:val="0"/>
        <w:ind w:hanging="0" w:start="0" w:end="0"/>
        <w:jc w:val="both"/>
        <w:rPr>
          <w:sz w:val="18"/>
        </w:rPr>
      </w:pPr>
      <w:r>
        <w:rPr>
          <w:sz w:val="18"/>
        </w:rPr>
      </w:r>
    </w:p>
    <w:p>
      <w:pPr>
        <w:pStyle w:val="Normal"/>
        <w:bidi w:val="0"/>
        <w:ind w:hanging="0" w:start="0" w:end="0"/>
        <w:jc w:val="both"/>
        <w:rPr>
          <w:rFonts w:ascii="Arial Narrow" w:hAnsi="Arial Narrow"/>
          <w:sz w:val="18"/>
        </w:rPr>
      </w:pPr>
      <w:r>
        <w:rPr>
          <w:sz w:val="18"/>
        </w:rPr>
        <w:t>Kathy Gerken  Phone: 952-984-3220  Fax: 952-984-3341</w:t>
      </w:r>
    </w:p>
    <w:p>
      <w:pPr>
        <w:pStyle w:val="Normal"/>
        <w:bidi w:val="0"/>
        <w:ind w:hanging="0" w:start="0" w:end="0"/>
        <w:jc w:val="both"/>
        <w:rPr>
          <w:rFonts w:ascii="Arial Narrow" w:hAnsi="Arial Narrow"/>
          <w:sz w:val="18"/>
        </w:rPr>
      </w:pPr>
      <w:r>
        <w:rPr>
          <w:rFonts w:ascii="Arial Narrow" w:hAnsi="Arial Narrow"/>
          <w:sz w:val="18"/>
        </w:rPr>
        <w:t>Wire Transfer: Chase Manhattan Bank New York, NY</w:t>
      </w:r>
    </w:p>
    <w:p>
      <w:pPr>
        <w:pStyle w:val="Normal"/>
        <w:bidi w:val="0"/>
        <w:ind w:hanging="0" w:start="0" w:end="0"/>
        <w:jc w:val="both"/>
        <w:rPr>
          <w:rFonts w:ascii="Arial Narrow" w:hAnsi="Arial Narrow"/>
          <w:sz w:val="18"/>
        </w:rPr>
      </w:pPr>
      <w:r>
        <w:rPr>
          <w:rFonts w:ascii="Arial Narrow" w:hAnsi="Arial Narrow"/>
          <w:sz w:val="18"/>
        </w:rPr>
        <w:t>ABA# 21000021</w:t>
      </w:r>
    </w:p>
    <w:p>
      <w:pPr>
        <w:pStyle w:val="Normal"/>
        <w:bidi w:val="0"/>
        <w:ind w:hanging="0" w:start="0" w:end="0"/>
        <w:jc w:val="both"/>
        <w:rPr>
          <w:rFonts w:ascii="Arial Narrow" w:hAnsi="Arial Narrow"/>
          <w:sz w:val="18"/>
        </w:rPr>
      </w:pPr>
      <w:r>
        <w:rPr>
          <w:rFonts w:ascii="Arial Narrow" w:hAnsi="Arial Narrow"/>
          <w:sz w:val="18"/>
        </w:rPr>
        <w:t>Acct# 9102714038</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b/>
          <w:sz w:val="18"/>
        </w:rPr>
        <w:t xml:space="preserve">Nominations:  </w:t>
      </w:r>
      <w:r>
        <w:rPr>
          <w:rFonts w:ascii="Arial Narrow" w:hAnsi="Arial Narrow"/>
          <w:sz w:val="18"/>
        </w:rPr>
        <w:t>Phone: 952-984-3664     Fax: 952-984-3817</w:t>
      </w:r>
    </w:p>
    <w:p>
      <w:pPr>
        <w:pStyle w:val="Normal"/>
        <w:bidi w:val="0"/>
        <w:ind w:hanging="0" w:start="0" w:end="0"/>
        <w:jc w:val="both"/>
        <w:rPr>
          <w:rFonts w:ascii="Arial Narrow" w:hAnsi="Arial Narrow"/>
          <w:sz w:val="18"/>
        </w:rPr>
      </w:pPr>
      <w:r>
        <w:rPr>
          <w:rFonts w:ascii="Arial Narrow" w:hAnsi="Arial Narrow"/>
          <w:b/>
          <w:sz w:val="18"/>
        </w:rPr>
        <w:t xml:space="preserve">Confirmations: </w:t>
      </w:r>
      <w:r>
        <w:rPr>
          <w:rFonts w:ascii="Arial Narrow" w:hAnsi="Arial Narrow"/>
          <w:sz w:val="18"/>
        </w:rPr>
        <w:t>Phone: 952-984-3664     Fax: 952-984-3817</w:t>
      </w:r>
    </w:p>
    <w:p>
      <w:pPr>
        <w:pStyle w:val="Normal"/>
        <w:bidi w:val="0"/>
        <w:ind w:hanging="0" w:start="0" w:end="0"/>
        <w:jc w:val="start"/>
        <w:rPr>
          <w:rFonts w:ascii="Arial Narrow" w:hAnsi="Arial Narrow"/>
          <w:sz w:val="18"/>
        </w:rPr>
      </w:pPr>
      <w:r>
        <w:rPr>
          <w:rFonts w:ascii="Arial Narrow" w:hAnsi="Arial Narrow"/>
          <w:sz w:val="18"/>
        </w:rPr>
      </w:r>
    </w:p>
    <w:p>
      <w:pPr>
        <w:sectPr>
          <w:headerReference w:type="default" r:id="rId14"/>
          <w:headerReference w:type="first" r:id="rId15"/>
          <w:footerReference w:type="even" r:id="rId16"/>
          <w:footerReference w:type="default" r:id="rId17"/>
          <w:footerReference w:type="first" r:id="rId18"/>
          <w:type w:val="nextPage"/>
          <w:pgSz w:w="12240" w:h="15840"/>
          <w:pgMar w:left="720" w:right="720" w:gutter="0" w:header="720" w:top="777" w:footer="720" w:bottom="777"/>
          <w:pgNumType w:start="1" w:fmt="decimal"/>
          <w:formProt w:val="false"/>
          <w:textDirection w:val="lrTb"/>
          <w:docGrid w:type="default" w:linePitch="100" w:charSpace="0"/>
        </w:sectPr>
        <w:pStyle w:val="Normal"/>
        <w:bidi w:val="0"/>
        <w:ind w:hanging="0" w:start="0" w:end="0"/>
        <w:jc w:val="start"/>
        <w:rPr>
          <w:rFonts w:ascii="Arial Narrow" w:hAnsi="Arial Narrow"/>
          <w:sz w:val="18"/>
        </w:rPr>
      </w:pPr>
      <w:r>
        <w:rPr>
          <w:rFonts w:ascii="Arial Narrow" w:hAnsi="Arial Narrow"/>
          <w:sz w:val="18"/>
        </w:rPr>
      </w:r>
    </w:p>
    <w:p>
      <w:pPr>
        <w:pStyle w:val="Normal"/>
        <w:bidi w:val="0"/>
        <w:ind w:hanging="0" w:start="0" w:end="0"/>
        <w:jc w:val="center"/>
        <w:rPr>
          <w:rFonts w:ascii="Arial Narrow" w:hAnsi="Arial Narrow"/>
          <w:b/>
          <w:sz w:val="18"/>
        </w:rPr>
      </w:pPr>
      <w:r>
        <w:rPr>
          <w:rFonts w:ascii="Arial Narrow" w:hAnsi="Arial Narrow"/>
          <w:b/>
          <w:sz w:val="18"/>
        </w:rPr>
        <w:t>EXHIBIT "B"</w:t>
      </w:r>
    </w:p>
    <w:p>
      <w:pPr>
        <w:pStyle w:val="Normal"/>
        <w:tabs>
          <w:tab w:val="clear" w:pos="720"/>
          <w:tab w:val="left" w:pos="9450" w:leader="none"/>
        </w:tabs>
        <w:bidi w:val="0"/>
        <w:ind w:hanging="0" w:start="0" w:end="0"/>
        <w:jc w:val="center"/>
        <w:rPr>
          <w:rFonts w:ascii="Arial Narrow" w:hAnsi="Arial Narrow"/>
          <w:sz w:val="18"/>
        </w:rPr>
      </w:pPr>
      <w:r>
        <w:rPr>
          <w:rFonts w:ascii="Arial Narrow" w:hAnsi="Arial Narrow"/>
          <w:sz w:val="18"/>
        </w:rPr>
        <w:t>ENFOLIO MASTER FIRM PURCHASE/SALE AGREEMENT</w:t>
      </w:r>
    </w:p>
    <w:p>
      <w:pPr>
        <w:pStyle w:val="Normal"/>
        <w:bidi w:val="0"/>
        <w:ind w:hanging="0" w:start="0" w:end="0"/>
        <w:jc w:val="start"/>
        <w:rPr>
          <w:rFonts w:ascii="Arial Narrow" w:hAnsi="Arial Narrow"/>
          <w:sz w:val="18"/>
        </w:rPr>
      </w:pPr>
      <w:r>
        <w:rPr>
          <w:rFonts w:ascii="Arial Narrow" w:hAnsi="Arial Narrow"/>
          <w:sz w:val="18"/>
        </w:rPr>
      </w:r>
    </w:p>
    <w:p>
      <w:pPr>
        <w:pStyle w:val="Normal"/>
        <w:bidi w:val="0"/>
        <w:ind w:hanging="0" w:start="0" w:end="0"/>
        <w:jc w:val="center"/>
        <w:rPr>
          <w:rFonts w:ascii="Arial Narrow" w:hAnsi="Arial Narrow"/>
          <w:sz w:val="18"/>
          <w:u w:val="single"/>
        </w:rPr>
      </w:pPr>
      <w:r>
        <w:rPr>
          <w:rFonts w:ascii="Arial Narrow" w:hAnsi="Arial Narrow"/>
          <w:sz w:val="18"/>
        </w:rPr>
        <w:t xml:space="preserve">EXAMPLE OF CONFIRMATION ON COMPANY LETTERHEAD (INCLUDING NAME AND ADDRESS) TO CONFIRM TELEPHONIC TRANSACTIONS UNDER </w:t>
      </w:r>
      <w:r>
        <w:rPr>
          <w:rFonts w:ascii="Arial Narrow" w:hAnsi="Arial Narrow"/>
          <w:sz w:val="18"/>
          <w:u w:val="single"/>
        </w:rPr>
        <w:t>SECTION 2.4</w:t>
      </w:r>
    </w:p>
    <w:p>
      <w:pPr>
        <w:pStyle w:val="Normal"/>
        <w:bidi w:val="0"/>
        <w:ind w:hanging="0" w:start="0" w:end="0"/>
        <w:jc w:val="start"/>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This Confirmation shall confirm the Transaction agreed to on ___________, _______ and binding between _____________________ ("</w:t>
      </w:r>
      <w:r>
        <w:rPr>
          <w:rFonts w:ascii="Arial Narrow" w:hAnsi="Arial Narrow"/>
          <w:sz w:val="18"/>
          <w:u w:val="single"/>
        </w:rPr>
        <w:t>Customer</w:t>
      </w:r>
      <w:r>
        <w:rPr>
          <w:rFonts w:ascii="Arial Narrow" w:hAnsi="Arial Narrow"/>
          <w:sz w:val="18"/>
        </w:rPr>
        <w:t>") and ______________________ ("</w:t>
      </w:r>
      <w:r>
        <w:rPr>
          <w:rFonts w:ascii="Arial Narrow" w:hAnsi="Arial Narrow"/>
          <w:sz w:val="18"/>
          <w:u w:val="single"/>
        </w:rPr>
        <w:t>Company</w:t>
      </w:r>
      <w:r>
        <w:rPr>
          <w:rFonts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bidi w:val="0"/>
        <w:ind w:hanging="0" w:start="0" w:end="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DAILY CONTRACT QUANTITY (DCQ):</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MAXDQ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MINMQ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MINDQ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DELIVERY POINT(S):</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CONTRACT PRICE (per MMBtu):</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 xml:space="preserve">PERIOD OF DELIVERY:  </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SPOT PRICE LOCATION:</w:t>
        <w:tab/>
        <w:t>____________________________</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ascii="Arial Narrow" w:hAnsi="Arial Narrow"/>
          <w:sz w:val="18"/>
          <w:u w:val="single"/>
        </w:rPr>
        <w:t>Adjustment</w:t>
      </w:r>
      <w:r>
        <w:rPr>
          <w:rFonts w:ascii="Arial Narrow" w:hAnsi="Arial Narrow"/>
          <w:sz w:val="18"/>
        </w:rPr>
        <w:t>").  The "</w:t>
      </w:r>
      <w:r>
        <w:rPr>
          <w:rFonts w:ascii="Arial Narrow" w:hAnsi="Arial Narrow"/>
          <w:sz w:val="18"/>
          <w:u w:val="single"/>
        </w:rPr>
        <w:t>EFP Posted Price</w:t>
      </w:r>
      <w:r>
        <w:rPr>
          <w:rFonts w:ascii="Arial Narrow" w:hAnsi="Arial Narrow"/>
          <w:sz w:val="18"/>
        </w:rPr>
        <w:t>" shall be in accordance with Rule 220.17 of the rules and regulations of the NYMEX pertaining to Gas futures contracts for the Period of Delivery as set forth below:</w:t>
      </w:r>
    </w:p>
    <w:p>
      <w:pPr>
        <w:pStyle w:val="Normal"/>
        <w:bidi w:val="0"/>
        <w:ind w:hanging="0" w:start="0" w:end="0"/>
        <w:jc w:val="both"/>
        <w:rPr>
          <w:rFonts w:ascii="Arial Narrow" w:hAnsi="Arial Narrow"/>
          <w:sz w:val="18"/>
        </w:rPr>
      </w:pPr>
      <w:r>
        <w:rPr>
          <w:rFonts w:eastAsia="Symbol" w:cs="Symbol" w:ascii="Symbol" w:hAnsi="Symbol"/>
          <w:sz w:val="18"/>
        </w:rPr>
        <w:sym w:font="Symbol" w:char="de"/>
      </w:r>
      <w:r>
        <w:rPr>
          <w:rFonts w:ascii="Arial Narrow" w:hAnsi="Arial Narrow"/>
          <w:sz w:val="18"/>
        </w:rPr>
        <w:t xml:space="preserve"> Buyer agrees to exchange its long position in [_# OF CONTRACTS, MONTH, YEAR_] NYMEX contracts with Seller for Seller's short position in  [_# OF CONTRACTS, MONTH,  YEAR_] NYMEX contracts at a price of $_____ .</w:t>
      </w:r>
    </w:p>
    <w:p>
      <w:pPr>
        <w:pStyle w:val="Normal"/>
        <w:bidi w:val="0"/>
        <w:ind w:hanging="0" w:start="0" w:end="0"/>
        <w:jc w:val="both"/>
        <w:rPr>
          <w:rFonts w:ascii="Arial Narrow" w:hAnsi="Arial Narrow"/>
          <w:caps/>
          <w:sz w:val="18"/>
        </w:rPr>
      </w:pPr>
      <w:r>
        <w:rPr>
          <w:rFonts w:ascii="Arial Narrow" w:hAnsi="Arial Narrow"/>
          <w:sz w:val="18"/>
        </w:rPr>
        <w:t xml:space="preserve">[REPEAT TEXT AFTER </w:t>
      </w:r>
      <w:r>
        <w:rPr>
          <w:rFonts w:eastAsia="Symbol" w:cs="Symbol" w:ascii="Symbol" w:hAnsi="Symbol"/>
          <w:sz w:val="18"/>
        </w:rPr>
        <w:sym w:font="Symbol" w:char="de"/>
      </w:r>
      <w:r>
        <w:rPr>
          <w:rFonts w:ascii="Arial Narrow" w:hAnsi="Arial Narrow"/>
          <w:sz w:val="18"/>
        </w:rPr>
        <w:t xml:space="preserve"> FOR EACH DELIVERY MONTH OF THE PERIOD OF DELIVERY FOR WHICH THE EFP </w:t>
      </w:r>
      <w:r>
        <w:rPr>
          <w:rFonts w:ascii="Arial Narrow" w:hAnsi="Arial Narrow"/>
          <w:caps/>
          <w:sz w:val="18"/>
        </w:rPr>
        <w:t>Posted Price is agreed as of the preparation of this Confirmation]</w:t>
      </w:r>
    </w:p>
    <w:p>
      <w:pPr>
        <w:pStyle w:val="Normal"/>
        <w:bidi w:val="0"/>
        <w:ind w:hanging="0" w:start="0" w:end="0"/>
        <w:jc w:val="both"/>
        <w:rPr>
          <w:rFonts w:ascii="Arial Narrow" w:hAnsi="Arial Narrow"/>
          <w:sz w:val="18"/>
        </w:rPr>
      </w:pPr>
      <w:r>
        <w:rPr>
          <w:rFonts w:ascii="Arial Narrow" w:hAnsi="Arial Narrow"/>
          <w:caps/>
          <w:sz w:val="18"/>
        </w:rPr>
        <w:t>i</w:t>
      </w:r>
      <w:r>
        <w:rPr>
          <w:rFonts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ascii="Arial Narrow" w:hAnsi="Arial Narrow"/>
          <w:sz w:val="18"/>
          <w:u w:val="single"/>
        </w:rPr>
        <w:t>Trading Day</w:t>
      </w:r>
      <w:r>
        <w:rPr>
          <w:rFonts w:ascii="Arial Narrow" w:hAnsi="Arial Narrow"/>
          <w:sz w:val="18"/>
        </w:rPr>
        <w:t>" means any Day for which a NYMEX Gas contract is determinable.}</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both"/>
        <w:rPr>
          <w:rFonts w:ascii="Arial Narrow" w:hAnsi="Arial Narrow"/>
          <w:sz w:val="18"/>
        </w:rPr>
      </w:pPr>
      <w:r>
        <w:rPr>
          <w:rFonts w:ascii="Arial Narrow" w:hAnsi="Arial Narrow"/>
          <w:sz w:val="18"/>
        </w:rPr>
        <w:t>This Confirmation is being provided pursuant to and in accordance with the ENFOLIO Master Firm Purchase/Sale Agreement in effect between Customer and Company (the "</w:t>
      </w:r>
      <w:r>
        <w:rPr>
          <w:rFonts w:ascii="Arial Narrow" w:hAnsi="Arial Narrow"/>
          <w:sz w:val="18"/>
          <w:u w:val="single"/>
        </w:rPr>
        <w:t>Agreement</w:t>
      </w:r>
      <w:r>
        <w:rPr>
          <w:rFonts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bidi w:val="0"/>
        <w:ind w:hanging="0" w:start="0" w:end="0"/>
        <w:jc w:val="both"/>
        <w:rPr>
          <w:rFonts w:ascii="Arial Narrow" w:hAnsi="Arial Narrow"/>
          <w:b/>
          <w:sz w:val="18"/>
        </w:rPr>
      </w:pPr>
      <w:r>
        <w:rPr>
          <w:rFonts w:ascii="Arial Narrow" w:hAnsi="Arial Narrow"/>
          <w:b/>
          <w:sz w:val="18"/>
        </w:rPr>
        <w:t>____________________________________________________________________________________________________________________</w:t>
        <w:softHyphen/>
        <w:softHyphen/>
        <w:softHyphen/>
        <w:t>_________</w:t>
      </w:r>
    </w:p>
    <w:p>
      <w:pPr>
        <w:pStyle w:val="Normal"/>
        <w:bidi w:val="0"/>
        <w:ind w:hanging="0" w:start="0" w:end="0"/>
        <w:jc w:val="both"/>
        <w:rPr>
          <w:rFonts w:ascii="Arial Narrow" w:hAnsi="Arial Narrow"/>
          <w:sz w:val="18"/>
        </w:rPr>
      </w:pPr>
      <w:r>
        <w:rPr>
          <w:rFonts w:ascii="Arial Narrow" w:hAnsi="Arial Narrow"/>
          <w:sz w:val="18"/>
        </w:rPr>
      </w:r>
    </w:p>
    <w:p>
      <w:pPr>
        <w:pStyle w:val="Normal"/>
        <w:bidi w:val="0"/>
        <w:ind w:hanging="0" w:start="0" w:end="0"/>
        <w:jc w:val="center"/>
        <w:rPr>
          <w:rFonts w:ascii="Arial Narrow" w:hAnsi="Arial Narrow"/>
          <w:sz w:val="18"/>
        </w:rPr>
      </w:pPr>
      <w:r>
        <w:rPr>
          <w:rFonts w:ascii="Arial Narrow" w:hAnsi="Arial Narrow"/>
          <w:b/>
          <w:sz w:val="18"/>
        </w:rPr>
        <w:t>EXHIBIT "B-1"</w:t>
      </w:r>
    </w:p>
    <w:p>
      <w:pPr>
        <w:pStyle w:val="Normal"/>
        <w:bidi w:val="0"/>
        <w:ind w:hanging="0" w:start="0" w:end="0"/>
        <w:jc w:val="center"/>
        <w:rPr>
          <w:rFonts w:ascii="Arial Narrow" w:hAnsi="Arial Narrow"/>
          <w:sz w:val="18"/>
        </w:rPr>
      </w:pPr>
      <w:r>
        <w:rPr>
          <w:rFonts w:ascii="Arial Narrow" w:hAnsi="Arial Narrow"/>
          <w:sz w:val="18"/>
        </w:rPr>
        <w:t>ENFOLIO MASTER FIRM PURCHASE/SALE AGREEMENT</w:t>
      </w:r>
    </w:p>
    <w:p>
      <w:pPr>
        <w:pStyle w:val="Normal"/>
        <w:bidi w:val="0"/>
        <w:ind w:hanging="0" w:start="0" w:end="0"/>
        <w:jc w:val="center"/>
        <w:rPr>
          <w:rFonts w:ascii="Arial Narrow" w:hAnsi="Arial Narrow"/>
          <w:sz w:val="18"/>
        </w:rPr>
      </w:pPr>
      <w:r>
        <w:rPr>
          <w:rFonts w:ascii="Arial Narrow" w:hAnsi="Arial Narrow"/>
          <w:sz w:val="18"/>
        </w:rPr>
      </w:r>
    </w:p>
    <w:p>
      <w:pPr>
        <w:pStyle w:val="Normal"/>
        <w:bidi w:val="0"/>
        <w:ind w:hanging="0" w:start="0" w:end="0"/>
        <w:jc w:val="center"/>
        <w:rPr>
          <w:rFonts w:ascii="Arial Narrow" w:hAnsi="Arial Narrow"/>
          <w:sz w:val="18"/>
          <w:u w:val="single"/>
        </w:rPr>
      </w:pPr>
      <w:r>
        <w:rPr>
          <w:rFonts w:ascii="Arial Narrow" w:hAnsi="Arial Narrow"/>
          <w:sz w:val="18"/>
        </w:rPr>
        <w:t xml:space="preserve">SUGGESTED FORM OF TRANSACTION AGREEMENT FOR USE WITH TRANSACTIONS FORMED UNDER </w:t>
      </w:r>
      <w:r>
        <w:rPr>
          <w:rFonts w:ascii="Arial Narrow" w:hAnsi="Arial Narrow"/>
          <w:sz w:val="18"/>
          <w:u w:val="single"/>
        </w:rPr>
        <w:t>SECTION 2.2(i)</w:t>
      </w:r>
      <w:r>
        <w:rPr>
          <w:rFonts w:ascii="Arial Narrow" w:hAnsi="Arial Narrow"/>
          <w:sz w:val="18"/>
        </w:rPr>
        <w:t xml:space="preserve"> </w:t>
      </w:r>
    </w:p>
    <w:p>
      <w:pPr>
        <w:pStyle w:val="Normal"/>
        <w:bidi w:val="0"/>
        <w:ind w:hanging="0" w:start="0" w:end="0"/>
        <w:jc w:val="center"/>
        <w:rPr>
          <w:rFonts w:ascii="Arial Narrow" w:hAnsi="Arial Narrow"/>
          <w:sz w:val="18"/>
          <w:u w:val="single"/>
        </w:rPr>
      </w:pPr>
      <w:r>
        <w:rPr>
          <w:rFonts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shall form and effectuate the current proposal between _____________________ ("</w:t>
      </w:r>
      <w:r>
        <w:rPr>
          <w:rFonts w:ascii="Arial Narrow" w:hAnsi="Arial Narrow"/>
          <w:sz w:val="18"/>
          <w:u w:val="single"/>
        </w:rPr>
        <w:t>Customer</w:t>
      </w:r>
      <w:r>
        <w:rPr>
          <w:rFonts w:ascii="Arial Narrow" w:hAnsi="Arial Narrow"/>
          <w:sz w:val="18"/>
        </w:rPr>
        <w:t>") and _____________ ("</w:t>
      </w:r>
      <w:r>
        <w:rPr>
          <w:rFonts w:ascii="Arial Narrow" w:hAnsi="Arial Narrow"/>
          <w:sz w:val="18"/>
          <w:u w:val="single"/>
        </w:rPr>
        <w:t>Company</w:t>
      </w:r>
      <w:r>
        <w:rPr>
          <w:rFonts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DAILY CONTRACT QUANTITY (DCQ):</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MAXDQ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MINMQ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MINDQ (if applicable):</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DELIVERY POINT(S):</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CONTRACT PRICE (per MMBtu):</w:t>
        <w:tab/>
        <w:t>____________________________</w:t>
      </w:r>
    </w:p>
    <w:p>
      <w:pPr>
        <w:pStyle w:val="Norma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 xml:space="preserve">PERIOD OF DELIVERY:  </w:t>
        <w:tab/>
        <w:t>____________________________</w:t>
      </w:r>
    </w:p>
    <w:p>
      <w:pPr>
        <w:pStyle w:val="Normal"/>
        <w:tabs>
          <w:tab w:val="clear" w:pos="720"/>
          <w:tab w:val="left" w:pos="8640" w:leader="none"/>
        </w:tabs>
        <w:bidi w:val="0"/>
        <w:ind w:hanging="5580" w:start="5580" w:end="0"/>
        <w:jc w:val="both"/>
        <w:rPr>
          <w:rFonts w:ascii="Arial Narrow" w:hAnsi="Arial Narrow"/>
          <w:sz w:val="18"/>
        </w:rPr>
      </w:pPr>
      <w:r>
        <w:rPr>
          <w:rFonts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bidi w:val="0"/>
        <w:ind w:hanging="0" w:start="0" w:end="0"/>
        <w:jc w:val="center"/>
        <w:rPr>
          <w:rFonts w:ascii="Arial Narrow" w:hAnsi="Arial Narrow"/>
          <w:b/>
          <w:sz w:val="18"/>
        </w:rPr>
      </w:pPr>
      <w:r>
        <w:rPr>
          <w:rFonts w:ascii="Arial Narrow" w:hAnsi="Arial Narrow"/>
          <w:b/>
          <w:sz w:val="18"/>
        </w:rPr>
        <w:t>SIGNATURE LINES FOR CUSTOMER AND COMPANY</w:t>
      </w:r>
      <w:r>
        <w:br w:type="page"/>
      </w:r>
    </w:p>
    <w:p>
      <w:pPr>
        <w:pStyle w:val="Normal"/>
        <w:bidi w:val="0"/>
        <w:ind w:hanging="0" w:start="0" w:end="0"/>
        <w:jc w:val="start"/>
        <w:rPr>
          <w:sz w:val="20"/>
        </w:rPr>
      </w:pPr>
      <w:r>
        <w:rPr>
          <w:sz w:val="20"/>
        </w:rPr>
      </w:r>
    </w:p>
    <w:sectPr>
      <w:headerReference w:type="default" r:id="rId19"/>
      <w:headerReference w:type="first" r:id="rId20"/>
      <w:footerReference w:type="even" r:id="rId21"/>
      <w:footerReference w:type="default" r:id="rId22"/>
      <w:footerReference w:type="first" r:id="rId23"/>
      <w:type w:val="nextPage"/>
      <w:pgSz w:w="12240" w:h="15840"/>
      <w:pgMar w:left="720" w:right="720" w:gutter="0" w:header="720" w:top="777"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ind w:hanging="0" w:start="0" w:end="0"/>
      <w:jc w:val="center"/>
      <w:rPr>
        <w:sz w:val="20"/>
      </w:rPr>
    </w:pPr>
    <w:r>
      <w:rPr>
        <w:sz w:val="2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ind w:hanging="0" w:start="0" w:end="0"/>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18"/>
      </w:rPr>
    </w:pP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6</w:t>
    </w:r>
    <w:r>
      <w:rPr>
        <w:sz w:val="18"/>
        <w:rFonts w:ascii="Arial Narrow" w:hAnsi="Arial Narrow"/>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18"/>
      </w:rPr>
    </w:pP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1</w:t>
    </w:r>
    <w:r>
      <w:rPr>
        <w:sz w:val="18"/>
        <w:rFonts w:ascii="Arial Narrow" w:hAnsi="Arial Narrow"/>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18"/>
      </w:rPr>
    </w:pPr>
    <w:r>
      <w:rPr>
        <w:rFonts w:ascii="Arial Narrow" w:hAnsi="Arial Narrow"/>
        <w:sz w:val="18"/>
      </w:rPr>
      <w:t>"1"-</w:t>
    </w: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4</w:t>
    </w:r>
    <w:r>
      <w:rPr>
        <w:sz w:val="18"/>
        <w:rFonts w:ascii="Arial Narrow" w:hAnsi="Arial Narrow"/>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18"/>
      </w:rPr>
    </w:pPr>
    <w:r>
      <w:rPr>
        <w:rFonts w:ascii="Arial Narrow" w:hAnsi="Arial Narrow"/>
        <w:sz w:val="18"/>
        <w:lang w:val="en-CA" w:eastAsia="en-CA"/>
      </w:rPr>
      <w:fldChar w:fldCharType="begin"/>
    </w:r>
    <w:r>
      <w:rPr>
        <w:sz w:val="18"/>
        <w:rFonts w:ascii="Arial Narrow" w:hAnsi="Arial Narrow"/>
        <w:lang w:val="en-CA" w:eastAsia="en-CA"/>
      </w:rPr>
      <w:instrText xml:space="preserve"> PAGE </w:instrText>
    </w:r>
    <w:r>
      <w:rPr>
        <w:sz w:val="18"/>
        <w:rFonts w:ascii="Arial Narrow" w:hAnsi="Arial Narrow"/>
        <w:lang w:val="en-CA" w:eastAsia="en-CA"/>
      </w:rPr>
      <w:fldChar w:fldCharType="separate"/>
    </w:r>
    <w:r>
      <w:rPr>
        <w:sz w:val="18"/>
        <w:rFonts w:ascii="Arial Narrow" w:hAnsi="Arial Narrow"/>
        <w:lang w:val="en-CA" w:eastAsia="en-CA"/>
      </w:rPr>
      <w:t>1</w:t>
    </w:r>
    <w:r>
      <w:rPr>
        <w:sz w:val="18"/>
        <w:rFonts w:ascii="Arial Narrow" w:hAnsi="Arial Narrow"/>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ind w:hanging="0" w:start="0" w:end="0"/>
      <w:jc w:val="center"/>
      <w:rPr>
        <w:b/>
        <w:sz w:val="20"/>
      </w:rPr>
    </w:pPr>
    <w:r>
      <w:rPr>
        <w:sz w:val="18"/>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ind w:hanging="0" w:start="0" w:end="0"/>
      <w:jc w:val="center"/>
      <w:rPr>
        <w:b/>
        <w:sz w:val="20"/>
      </w:rPr>
    </w:pPr>
    <w:r>
      <w:rPr>
        <w:sz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Arial" w:hAnsi="Arial"/>
        <w:b/>
        <w:sz w:val="18"/>
      </w:rPr>
    </w:pPr>
    <w:r>
      <w:rPr>
        <w:rFonts w:ascii="Arial" w:hAnsi="Arial"/>
        <w:b/>
        <w:sz w:val="18"/>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Arial" w:hAnsi="Arial"/>
        <w:b/>
        <w:sz w:val="18"/>
      </w:rPr>
    </w:pPr>
    <w:r>
      <w:rPr>
        <w:rFonts w:ascii="Arial" w:hAnsi="Arial"/>
        <w:b/>
        <w:sz w:val="1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settings.xml><?xml version="1.0" encoding="utf-8"?>
<w:settings xmlns:w="http://schemas.openxmlformats.org/wordprocessingml/2006/main">
  <w:zoom w:percent="15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Arial Narrow"/>
      <w:color w:val="auto"/>
      <w:kern w:val="2"/>
      <w:sz w:val="24"/>
      <w:szCs w:val="24"/>
      <w:lang w:val="en-US" w:eastAsia="en-US" w:bidi="hi-IN"/>
    </w:rPr>
  </w:style>
  <w:style w:type="paragraph" w:styleId="Heading2">
    <w:name w:val="heading 2"/>
    <w:basedOn w:val="Normal"/>
    <w:qFormat/>
    <w:pPr>
      <w:widowControl/>
      <w:spacing w:before="0" w:after="120"/>
      <w:ind w:hanging="0" w:start="0" w:end="0"/>
      <w:jc w:val="both"/>
      <w:textAlignment w:val="auto"/>
    </w:pPr>
    <w:rPr>
      <w:sz w:val="22"/>
      <w:lang w:val="en-US" w:eastAsia="en-US"/>
    </w:rPr>
  </w:style>
  <w:style w:type="character" w:styleId="DefaultParagraphFont">
    <w:name w:val="Default Paragraph Font"/>
    <w:qFormat/>
    <w:rPr/>
  </w:style>
  <w:style w:type="character" w:styleId="CommentReference">
    <w:name w:val="annotation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CommentText">
    <w:name w:val="annotation text"/>
    <w:basedOn w:val="Normal"/>
    <w:pPr>
      <w:widowControl/>
      <w:ind w:hanging="0" w:start="0" w:end="0"/>
      <w:jc w:val="start"/>
      <w:textAlignment w:val="auto"/>
    </w:pPr>
    <w:rPr>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11520</Words>
  <Characters>80640</Characters>
  <CharactersWithSpaces>65664</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2001-02-23T15:09:00Z</dcterms:created>
  <dc:creator>dperlin</dc:creator>
  <dc:description/>
  <dc:language>en-CA</dc:language>
  <cp:lastModifiedBy/>
  <cp:lastPrinted>2001-04-12T16:34:00Z</cp:lastPrinted>
  <dcterms:modified xsi:type="dcterms:W3CDTF">2001-04-12T16:38:00Z</dcterms:modified>
  <cp:revision>12</cp:revision>
  <dc:subject/>
  <dc:title>ENFOLIO® MASTER FIRM PURCHASE/SALE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dperlin</vt:lpwstr>
  </property>
</Properties>
</file>