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widowControl/>
        <w:bidi w:val="0"/>
        <w:jc w:val="start"/>
        <w:rPr>
          <w:b w:val="false"/>
          <w:u w:val="none"/>
        </w:rPr>
      </w:pPr>
      <w:r>
        <w:rPr>
          <w:b w:val="false"/>
          <w:strike/>
          <w:u w:val="none"/>
        </w:rPr>
        <w:t>March 16</w:t>
      </w:r>
      <w:r>
        <w:rPr>
          <w:b w:val="false"/>
          <w:u w:val="none"/>
        </w:rPr>
        <w:t xml:space="preserve"> </w:t>
      </w:r>
      <w:r>
        <w:rPr>
          <w:b w:val="false"/>
          <w:u w:val="double"/>
        </w:rPr>
        <w:t>{April 11}</w:t>
      </w:r>
      <w:r>
        <w:rPr>
          <w:b w:val="false"/>
          <w:u w:val="none"/>
        </w:rPr>
        <w:t>, 2001</w:t>
      </w:r>
    </w:p>
    <w:p>
      <w:pPr>
        <w:pStyle w:val="Title"/>
        <w:widowControl/>
        <w:bidi w:val="0"/>
        <w:rPr/>
      </w:pPr>
      <w:r>
        <w:rPr/>
        <w:t>LEGAL STATUS REPORT – ENRON CANADA</w:t>
      </w:r>
    </w:p>
    <w:p>
      <w:pPr>
        <w:pStyle w:val="Normal"/>
        <w:widowControl/>
        <w:bidi w:val="0"/>
        <w:jc w:val="both"/>
        <w:rPr>
          <w:rFonts w:ascii="Arial" w:hAnsi="Arial"/>
        </w:rPr>
      </w:pPr>
      <w:r>
        <w:rPr>
          <w:rFonts w:ascii="Arial" w:hAnsi="Arial"/>
        </w:rPr>
      </w:r>
    </w:p>
    <w:tbl>
      <w:tblPr>
        <w:tblW w:w="13158" w:type="dxa"/>
        <w:jc w:val="start"/>
        <w:tblInd w:w="7" w:type="dxa"/>
        <w:tblLayout w:type="fixed"/>
        <w:tblCellMar>
          <w:top w:w="0" w:type="dxa"/>
          <w:start w:w="108" w:type="dxa"/>
          <w:bottom w:w="0" w:type="dxa"/>
          <w:end w:w="108" w:type="dxa"/>
        </w:tblCellMar>
      </w:tblPr>
      <w:tblGrid>
        <w:gridCol w:w="2177"/>
        <w:gridCol w:w="1891"/>
        <w:gridCol w:w="1889"/>
        <w:gridCol w:w="1711"/>
        <w:gridCol w:w="5490"/>
      </w:tblGrid>
      <w:tr>
        <w:trPr>
          <w:tblHeader w:val="true"/>
        </w:trPr>
        <w:tc>
          <w:tcPr>
            <w:tcW w:w="2177" w:type="dxa"/>
            <w:tcBorders>
              <w:top w:val="single" w:sz="6" w:space="0" w:color="000000"/>
              <w:start w:val="single" w:sz="6" w:space="0" w:color="000000"/>
              <w:bottom w:val="single" w:sz="6" w:space="0" w:color="000000"/>
              <w:end w:val="single" w:sz="6" w:space="0" w:color="000000"/>
            </w:tcBorders>
          </w:tcPr>
          <w:p>
            <w:pPr>
              <w:pStyle w:val="Subtitle"/>
              <w:widowControl/>
              <w:tabs>
                <w:tab w:val="clear" w:pos="720"/>
              </w:tabs>
              <w:bidi w:val="0"/>
              <w:jc w:val="start"/>
              <w:rPr/>
            </w:pPr>
            <w:r>
              <w:rPr/>
              <w:t>PROJECT</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rFonts w:ascii="Arial" w:hAnsi="Arial"/>
                <w:b/>
              </w:rPr>
              <w:t>RESPONSIBLE ATTORNEY</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rFonts w:ascii="Arial" w:hAnsi="Arial"/>
                <w:b/>
              </w:rPr>
              <w:t>BUSINESS PERSON</w:t>
            </w:r>
          </w:p>
        </w:tc>
        <w:tc>
          <w:tcPr>
            <w:tcW w:w="171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rFonts w:ascii="Arial" w:hAnsi="Arial"/>
                <w:b/>
              </w:rPr>
              <w:t>PROJECTED CLOSING</w:t>
            </w:r>
          </w:p>
        </w:tc>
        <w:tc>
          <w:tcPr>
            <w:tcW w:w="54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rFonts w:ascii="Arial" w:hAnsi="Arial"/>
                <w:b/>
              </w:rPr>
              <w:t>STATUS</w:t>
            </w:r>
            <w:r>
              <w:rPr>
                <w:rFonts w:ascii="Arial" w:hAnsi="Arial"/>
                <w:b/>
                <w:u w:val="double"/>
              </w:rPr>
              <w: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Arial" w:hAnsi="Arial"/>
                <w:u w:val="double"/>
              </w:rPr>
              <w:t>Co-op Supply Arrangement</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both"/>
              <w:rPr>
                <w:rFonts w:ascii="Arial" w:hAnsi="Arial"/>
                <w:u w:val="double"/>
              </w:rPr>
            </w:pPr>
            <w:r>
              <w:rPr>
                <w:rFonts w:ascii="Arial" w:hAnsi="Arial"/>
                <w:u w:val="double"/>
              </w:rPr>
              <w:t>Greg Johnston</w:t>
            </w:r>
          </w:p>
          <w:p>
            <w:pPr>
              <w:pStyle w:val="Normal"/>
              <w:widowControl/>
              <w:tabs>
                <w:tab w:val="clear" w:pos="720"/>
              </w:tabs>
              <w:bidi w:val="0"/>
              <w:jc w:val="both"/>
              <w:rPr/>
            </w:pPr>
            <w:r>
              <w:rPr>
                <w:rFonts w:ascii="Arial" w:hAnsi="Arial"/>
                <w:u w:val="double"/>
              </w:rPr>
              <w:t>Mark Powell</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rFonts w:ascii="Arial" w:hAnsi="Arial"/>
                <w:u w:val="double"/>
              </w:rPr>
            </w:pPr>
            <w:r>
              <w:rPr>
                <w:rFonts w:ascii="Arial" w:hAnsi="Arial"/>
                <w:u w:val="double"/>
              </w:rPr>
              <w:t>Shawn Anderson</w:t>
            </w:r>
          </w:p>
          <w:p>
            <w:pPr>
              <w:pStyle w:val="Normal"/>
              <w:widowControl/>
              <w:tabs>
                <w:tab w:val="clear" w:pos="720"/>
              </w:tabs>
              <w:bidi w:val="0"/>
              <w:jc w:val="start"/>
              <w:rPr/>
            </w:pPr>
            <w:r>
              <w:rPr>
                <w:rFonts w:ascii="Arial" w:hAnsi="Arial"/>
                <w:u w:val="double"/>
              </w:rPr>
              <w:t>Jason Biever</w:t>
            </w:r>
          </w:p>
        </w:tc>
        <w:tc>
          <w:tcPr>
            <w:tcW w:w="1711"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rFonts w:ascii="Arial" w:hAnsi="Arial"/>
                <w:u w:val="double"/>
              </w:rPr>
            </w:pPr>
            <w:r>
              <w:rPr>
                <w:rFonts w:ascii="Arial" w:hAnsi="Arial"/>
                <w:u w:val="double"/>
              </w:rPr>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u w:val="double"/>
              </w:rPr>
              <w:t>5-year, 14MW retail supply arrangement to 127 store chain of supermarkets through Enron Direct (power sourced through ECC and ECPC under the PPA)}</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Arial" w:hAnsi="Arial"/>
              </w:rPr>
              <w:t>Petro-Canada Outsourcing Arrangement</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w:hAnsi="Arial"/>
              </w:rPr>
              <w:t>Eric LeDain</w:t>
            </w:r>
          </w:p>
        </w:tc>
        <w:tc>
          <w:tcPr>
            <w:tcW w:w="1711"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 xml:space="preserve"> </w:t>
            </w:r>
            <w:r>
              <w:rPr>
                <w:rFonts w:ascii="Arial" w:hAnsi="Arial"/>
                <w:strike/>
              </w:rPr>
              <w:t>Negotiating</w:t>
            </w:r>
            <w:r>
              <w:rPr>
                <w:rFonts w:ascii="Arial" w:hAnsi="Arial"/>
              </w:rPr>
              <w:t xml:space="preserve"> 5-year term extension and fee restructuring.    </w:t>
            </w:r>
            <w:r>
              <w:rPr>
                <w:rFonts w:ascii="Arial" w:hAnsi="Arial"/>
                <w:u w:val="double"/>
              </w:rPr>
              <w:t>{Letter agreement executed.    Redrafting Outsourcing Agreement.}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Arial" w:hAnsi="Arial"/>
              </w:rPr>
              <w:t>Alberta PPA</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Peter Keohane</w:t>
            </w:r>
          </w:p>
          <w:p>
            <w:pPr>
              <w:pStyle w:val="Normal"/>
              <w:widowControl/>
              <w:bidi w:val="0"/>
              <w:jc w:val="both"/>
              <w:rPr/>
            </w:pPr>
            <w:r>
              <w:rPr>
                <w:rFonts w:ascii="Arial" w:hAnsi="Arial"/>
              </w:rPr>
              <w:t>Greg Johnston</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rFonts w:ascii="Arial" w:hAnsi="Arial"/>
              </w:rPr>
            </w:pPr>
            <w:r>
              <w:rPr>
                <w:rFonts w:ascii="Arial" w:hAnsi="Arial"/>
              </w:rPr>
              <w:t>John Zufferli</w:t>
            </w:r>
          </w:p>
          <w:p>
            <w:pPr>
              <w:pStyle w:val="Normal"/>
              <w:widowControl/>
              <w:bidi w:val="0"/>
              <w:jc w:val="start"/>
              <w:rPr/>
            </w:pPr>
            <w:r>
              <w:rPr>
                <w:rFonts w:ascii="Arial" w:hAnsi="Arial"/>
              </w:rPr>
              <w:t>Derek Davies</w:t>
            </w:r>
          </w:p>
        </w:tc>
        <w:tc>
          <w:tcPr>
            <w:tcW w:w="1711"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rFonts w:ascii="Arial" w:hAnsi="Arial"/>
                <w:strike/>
              </w:rPr>
            </w:pPr>
            <w:r>
              <w:rPr>
                <w:rFonts w:ascii="Arial" w:hAnsi="Arial"/>
              </w:rPr>
              <w:t xml:space="preserve">Enron Canada Power Corp. acquired the Sundance "B" PPA </w:t>
            </w:r>
            <w:r>
              <w:rPr>
                <w:rFonts w:ascii="Arial" w:hAnsi="Arial"/>
                <w:strike/>
              </w:rPr>
              <w:t>pursuant to the auction</w:t>
            </w:r>
            <w:r>
              <w:rPr>
                <w:rFonts w:ascii="Arial" w:hAnsi="Arial"/>
              </w:rPr>
              <w:t xml:space="preserve"> for 706 MW for a term of 20 years, commencing January 1, </w:t>
            </w:r>
            <w:r>
              <w:rPr>
                <w:rFonts w:ascii="Arial" w:hAnsi="Arial"/>
                <w:strike/>
              </w:rPr>
              <w:t>2001. Market deregulation commenced January 1,</w:t>
            </w:r>
            <w:r>
              <w:rPr>
                <w:rFonts w:ascii="Arial" w:hAnsi="Arial"/>
              </w:rPr>
              <w:t xml:space="preserve"> 2001.    Numerous ongoing activities respecting trading and origination opportunities, monetization structures, regulatory and market rule issues, system access and transmission issues, market surveillance, etc. </w:t>
            </w:r>
            <w:r>
              <w:rPr>
                <w:rFonts w:ascii="Arial" w:hAnsi="Arial"/>
                <w:strike/>
              </w:rPr>
              <w:t xml:space="preserve"> Secondary Alberta Power Purchase Auction (Plan B) Peter Keohane</w:t>
            </w:r>
          </w:p>
          <w:p>
            <w:pPr>
              <w:pStyle w:val="Header"/>
              <w:widowControl/>
              <w:tabs>
                <w:tab w:val="clear" w:pos="4320"/>
                <w:tab w:val="clear" w:pos="8640"/>
              </w:tabs>
              <w:bidi w:val="0"/>
              <w:jc w:val="both"/>
              <w:rPr>
                <w:rFonts w:ascii="Arial" w:hAnsi="Arial"/>
                <w:strike/>
              </w:rPr>
            </w:pPr>
            <w:r>
              <w:rPr>
                <w:rFonts w:ascii="Arial" w:hAnsi="Arial"/>
                <w:strike/>
              </w:rPr>
              <w:t>Greg Johnston John Zufferli</w:t>
            </w:r>
          </w:p>
          <w:p>
            <w:pPr>
              <w:pStyle w:val="Header"/>
              <w:widowControl/>
              <w:tabs>
                <w:tab w:val="clear" w:pos="4320"/>
                <w:tab w:val="clear" w:pos="8640"/>
              </w:tabs>
              <w:bidi w:val="0"/>
              <w:jc w:val="both"/>
              <w:rPr/>
            </w:pPr>
            <w:r>
              <w:rPr>
                <w:rFonts w:ascii="Arial" w:hAnsi="Arial"/>
                <w:strike/>
              </w:rPr>
              <w:t>Derek Davies Not Applicable Enron Canada Power Corp. acquired Cal 01 50MWs; Cal 02 25MWs; Cal 02 46MWs; Cal 03 5 MWs. Market deregulation commenced January 1, 2001.</w:t>
            </w:r>
            <w:r>
              <w:rPr>
                <w:rFonts w:ascii="Arial" w:hAnsi="Arial"/>
              </w:rPr>
              <w:t xml:space="preserve"> </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w:hAnsi="Arial"/>
              </w:rPr>
              <w:t>Project Red Ball</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Greg Johnston</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Kyle Kitagawa</w:t>
            </w:r>
          </w:p>
        </w:tc>
        <w:tc>
          <w:tcPr>
            <w:tcW w:w="1711"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Arial" w:hAnsi="Arial"/>
              </w:rPr>
              <w:t>2</w:t>
            </w:r>
            <w:r>
              <w:rPr>
                <w:rFonts w:ascii="Arial" w:hAnsi="Arial"/>
                <w:vertAlign w:val="superscript"/>
              </w:rPr>
              <w:t>nd</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rFonts w:ascii="Arial" w:hAnsi="Arial"/>
              </w:rPr>
            </w:pPr>
            <w:r>
              <w:rPr>
                <w:rFonts w:ascii="Arial" w:hAnsi="Arial"/>
              </w:rPr>
              <w:t>Pursuing long-term financing for acquisition of Alberta PPA with various institutions.</w:t>
            </w:r>
          </w:p>
          <w:p>
            <w:pPr>
              <w:pStyle w:val="Header"/>
              <w:widowControl/>
              <w:tabs>
                <w:tab w:val="clear" w:pos="4320"/>
                <w:tab w:val="clear" w:pos="8640"/>
              </w:tabs>
              <w:bidi w:val="0"/>
              <w:jc w:val="both"/>
              <w:rPr/>
            </w:pPr>
            <w:r>
              <w:rPr>
                <w:rFonts w:ascii="Arial" w:hAnsi="Arial"/>
              </w:rPr>
              <w:t>Negotiating proposed Change of Law insurance product.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Arial" w:hAnsi="Arial"/>
              </w:rPr>
              <w:t>British Energy Canada</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Peter Keohane</w:t>
            </w:r>
          </w:p>
          <w:p>
            <w:pPr>
              <w:pStyle w:val="Normal"/>
              <w:widowControl/>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Arial" w:hAnsi="Arial"/>
              </w:rPr>
              <w:t>Ontario Market Opening (Projected for 4</w:t>
            </w:r>
            <w:r>
              <w:rPr>
                <w:rFonts w:ascii="Arial" w:hAnsi="Arial"/>
                <w:vertAlign w:val="superscript"/>
              </w:rPr>
              <w:t>th</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3-year term firm PPA for 500 MW/h executed, conditional on Ontario market deregulation by November 30, 2001.</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w:hAnsi="Arial"/>
              </w:rPr>
              <w:t>Off-Take of British Energy Power</w:t>
            </w:r>
          </w:p>
        </w:tc>
        <w:tc>
          <w:tcPr>
            <w:tcW w:w="1891"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rFonts w:ascii="Arial" w:hAnsi="Arial"/>
              </w:rPr>
            </w:pPr>
            <w:r>
              <w:rPr>
                <w:rFonts w:ascii="Arial" w:hAnsi="Arial"/>
              </w:rPr>
              <w:t xml:space="preserve">Peter Keohane </w:t>
            </w:r>
          </w:p>
          <w:p>
            <w:pPr>
              <w:pStyle w:val="Header"/>
              <w:widowControl/>
              <w:tabs>
                <w:tab w:val="clear" w:pos="4320"/>
                <w:tab w:val="clear" w:pos="8640"/>
              </w:tabs>
              <w:bidi w:val="0"/>
              <w:jc w:val="start"/>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w:hAnsi="Arial"/>
              </w:rPr>
              <w:t>Ontario Market Opening (Projected for 4</w:t>
            </w:r>
            <w:r>
              <w:rPr>
                <w:rFonts w:ascii="Arial" w:hAnsi="Arial"/>
                <w:vertAlign w:val="superscript"/>
              </w:rPr>
              <w:t>th</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Firm PPAs, conditional on Ontario market deregulation by November 30, 2001, being discussed with various counterparties to hedge British Energy position.</w:t>
            </w:r>
          </w:p>
          <w:p>
            <w:pPr>
              <w:pStyle w:val="Normal"/>
              <w:widowControl/>
              <w:bidi w:val="0"/>
              <w:jc w:val="both"/>
              <w:rPr>
                <w:rFonts w:ascii="Arial" w:hAnsi="Arial"/>
              </w:rPr>
            </w:pPr>
            <w:r>
              <w:rPr>
                <w:rFonts w:ascii="Arial" w:hAnsi="Arial"/>
              </w:rPr>
              <w:t>36 MW, 3-year contract executed with Sunoco.</w:t>
            </w:r>
          </w:p>
          <w:p>
            <w:pPr>
              <w:pStyle w:val="Normal"/>
              <w:widowControl/>
              <w:bidi w:val="0"/>
              <w:jc w:val="both"/>
              <w:rPr>
                <w:rFonts w:ascii="Arial" w:hAnsi="Arial"/>
              </w:rPr>
            </w:pPr>
            <w:r>
              <w:rPr>
                <w:rFonts w:ascii="Arial" w:hAnsi="Arial"/>
              </w:rPr>
              <w:t>100 MW, 2-year contract executed with TransCanada Energy.</w:t>
            </w:r>
          </w:p>
          <w:p>
            <w:pPr>
              <w:pStyle w:val="Normal"/>
              <w:widowControl/>
              <w:bidi w:val="0"/>
              <w:jc w:val="both"/>
              <w:rPr>
                <w:rFonts w:ascii="Arial" w:hAnsi="Arial"/>
              </w:rPr>
            </w:pPr>
            <w:r>
              <w:rPr>
                <w:rFonts w:ascii="Arial" w:hAnsi="Arial"/>
              </w:rPr>
              <w:t>48 MW, 3-year contract executed with IVACO.</w:t>
            </w:r>
          </w:p>
          <w:p>
            <w:pPr>
              <w:pStyle w:val="Normal"/>
              <w:widowControl/>
              <w:bidi w:val="0"/>
              <w:jc w:val="both"/>
              <w:rPr/>
            </w:pPr>
            <w:r>
              <w:rPr>
                <w:rFonts w:ascii="Arial" w:hAnsi="Arial"/>
              </w:rPr>
              <w:t>Commenced negotiations with Bowater Inc. (50+ MW), Cadillac Fairview (40+ MW), Nitrochem (6 MW) and Atlantic Packaging (30+ MW).    Draft agreement being reviewed by several other counterparties.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Helv" w:hAnsi="Helv"/>
                <w:color w:val="000000"/>
              </w:rPr>
              <w:t>G-6 Energy Corp</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Helv" w:hAnsi="Helv"/>
                <w:color w:val="000000"/>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Helv" w:hAnsi="Helv"/>
                <w:color w:val="000000"/>
              </w:rPr>
            </w:pPr>
            <w:r>
              <w:rPr>
                <w:rFonts w:ascii="Helv" w:hAnsi="Helv"/>
                <w:color w:val="000000"/>
              </w:rPr>
              <w:t>Paul DeVries</w:t>
            </w:r>
          </w:p>
          <w:p>
            <w:pPr>
              <w:pStyle w:val="Normal"/>
              <w:widowControl/>
              <w:bidi w:val="0"/>
              <w:jc w:val="both"/>
              <w:rPr/>
            </w:pPr>
            <w:r>
              <w:rPr>
                <w:rFonts w:ascii="Helv" w:hAnsi="Helv"/>
                <w:color w:val="000000"/>
              </w:rPr>
              <w:t>Jan Wilson</w:t>
            </w:r>
          </w:p>
        </w:tc>
        <w:tc>
          <w:tcPr>
            <w:tcW w:w="1711"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Helv" w:hAnsi="Helv"/>
                <w:color w:val="000000"/>
              </w:rPr>
              <w:t>1st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Helv" w:hAnsi="Helv"/>
                <w:color w:val="000000"/>
              </w:rPr>
              <w:t>Structured transaction forming a retail electricity provider with 4 large Ontario Municipal Electrical Utilities.    Enron Canada to provide services and exclusive wholesale electricity supply.    Enron Canada to take a 20% equity share in the G-6 and be granted an option to increase holdings to 50%.    Definitive Agreements being reviewed by MEUs.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w:hAnsi="Arial"/>
              </w:rPr>
              <w:t>ENERconnect</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Peter Keohane</w:t>
            </w:r>
          </w:p>
          <w:p>
            <w:pPr>
              <w:pStyle w:val="Normal"/>
              <w:widowControl/>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Rob Milnthorp</w:t>
            </w:r>
          </w:p>
          <w:p>
            <w:pPr>
              <w:pStyle w:val="Normal"/>
              <w:widowControl/>
              <w:bidi w:val="0"/>
              <w:jc w:val="both"/>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Arial" w:hAnsi="Arial"/>
              </w:rPr>
              <w:t>Commencing on Ontario Market Opening (Projected for 4</w:t>
            </w:r>
            <w:r>
              <w:rPr>
                <w:rFonts w:ascii="Arial" w:hAnsi="Arial"/>
                <w:vertAlign w:val="superscript"/>
              </w:rPr>
              <w:t>th</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3-year retail electricity services and alliance agreement.    Negotiating terms for extension and release of non-competes, failing market opening by July/01.</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w:hAnsi="Arial"/>
              </w:rPr>
              <w:t>Mobile Turbine Joint Venture</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Greg Johnston</w:t>
            </w:r>
          </w:p>
          <w:p>
            <w:pPr>
              <w:pStyle w:val="Normal"/>
              <w:widowControl/>
              <w:bidi w:val="0"/>
              <w:jc w:val="both"/>
              <w:rPr>
                <w:rFonts w:ascii="Arial" w:hAnsi="Arial"/>
              </w:rPr>
            </w:pPr>
            <w:r>
              <w:rPr>
                <w:rFonts w:ascii="Arial" w:hAnsi="Arial"/>
              </w:rPr>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Kyle Kitagawa</w:t>
            </w:r>
          </w:p>
          <w:p>
            <w:pPr>
              <w:pStyle w:val="Normal"/>
              <w:widowControl/>
              <w:bidi w:val="0"/>
              <w:jc w:val="both"/>
              <w:rPr/>
            </w:pPr>
            <w:r>
              <w:rPr>
                <w:rFonts w:ascii="Arial" w:hAnsi="Arial"/>
              </w:rPr>
              <w:t>Duncan Croasdale</w:t>
            </w:r>
          </w:p>
        </w:tc>
        <w:tc>
          <w:tcPr>
            <w:tcW w:w="171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2</w:t>
            </w:r>
            <w:r>
              <w:rPr>
                <w:rFonts w:ascii="Arial" w:hAnsi="Arial"/>
                <w:vertAlign w:val="superscript"/>
              </w:rPr>
              <w:t>nd</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Closed funding and structuring of Advanced Mobile Power Systems, with ENA obtaining an 85% interest.    ENA assets have been transferred into AMPS.    Vendor contracts regarding the supply of various components to complete the manufacture of one beta unit by July 2001 have all been executed.    Staffing of AMPS is underway.    Currently marketing test unit for sale.    Ongoing legal review of all marketing, employment and contractual documentation.    Enron has agreed to provide legal services to AMPS for the first six months of its operation.</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rFonts w:ascii="Arial" w:hAnsi="Arial"/>
              </w:rPr>
            </w:pPr>
            <w:r>
              <w:rPr>
                <w:rFonts w:ascii="Arial" w:hAnsi="Arial"/>
              </w:rPr>
              <w:t>Government of Ontario NUG</w:t>
            </w:r>
          </w:p>
          <w:p>
            <w:pPr>
              <w:pStyle w:val="Normal"/>
              <w:widowControl/>
              <w:bidi w:val="0"/>
              <w:jc w:val="start"/>
              <w:rPr/>
            </w:pPr>
            <w:r>
              <w:rPr>
                <w:rFonts w:ascii="Arial" w:hAnsi="Arial"/>
              </w:rPr>
              <w:t>Contract RFP</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Peter Keohane</w:t>
            </w:r>
          </w:p>
          <w:p>
            <w:pPr>
              <w:pStyle w:val="Normal"/>
              <w:widowControl/>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Arial" w:hAnsi="Arial"/>
              </w:rPr>
              <w:t>2</w:t>
            </w:r>
            <w:r>
              <w:rPr>
                <w:rFonts w:ascii="Arial" w:hAnsi="Arial"/>
                <w:vertAlign w:val="superscript"/>
              </w:rPr>
              <w:t>nd</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RFP for management of the Non-Utility Generation Contracts on behalf of the Government of Ontario.    Enron Canada awarded RFP.    Due diligence and negotiation of Definitive Agreement.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Arial" w:hAnsi="Arial"/>
              </w:rPr>
              <w:t>Enron Direct Canadian Retail (Power and Gas) Initiative</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Peter Keohane</w:t>
            </w:r>
          </w:p>
          <w:p>
            <w:pPr>
              <w:pStyle w:val="Normal"/>
              <w:widowControl/>
              <w:bidi w:val="0"/>
              <w:jc w:val="both"/>
              <w:rPr/>
            </w:pPr>
            <w:r>
              <w:rPr>
                <w:rFonts w:ascii="Arial" w:hAnsi="Arial"/>
              </w:rPr>
              <w:t>Mark Powell</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Rob Milnthorp</w:t>
            </w:r>
          </w:p>
          <w:p>
            <w:pPr>
              <w:pStyle w:val="Normal"/>
              <w:widowControl/>
              <w:bidi w:val="0"/>
              <w:jc w:val="both"/>
              <w:rPr/>
            </w:pPr>
            <w:r>
              <w:rPr>
                <w:rFonts w:ascii="Arial" w:hAnsi="Arial"/>
              </w:rPr>
              <w:t>Kate Joslyn</w:t>
            </w:r>
          </w:p>
        </w:tc>
        <w:tc>
          <w:tcPr>
            <w:tcW w:w="171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Retail electricity and natural gas affiliate for Canadian jurisdictions.    Developing and negotiating retail gas contracts.    Reviewing, commenting and amending proposed mechanics of infrastructure service for power through regulatory hearings dealing with the wire service providers and amending Power Pool of Alberta rules.    Acquiring office space, licenses, support contracts and addressing numerous other necessary new market and business matters.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w:hAnsi="Arial"/>
              </w:rPr>
              <w:t>Papier Masson Ltee</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Peter Keohane</w:t>
            </w:r>
          </w:p>
          <w:p>
            <w:pPr>
              <w:pStyle w:val="Normal"/>
              <w:widowControl/>
              <w:bidi w:val="0"/>
              <w:jc w:val="both"/>
              <w:rPr>
                <w:rFonts w:ascii="Arial" w:hAnsi="Arial"/>
              </w:rPr>
            </w:pPr>
            <w:r>
              <w:rPr>
                <w:rFonts w:ascii="Arial" w:hAnsi="Arial"/>
              </w:rPr>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Ongoing monitoring of TMP construction, equity investments and loan guarantees.    Currently reviewing acquisition/disposition opportunities.    Negotiating potential buy-out of other shareholders.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w:hAnsi="Arial"/>
              </w:rPr>
              <w:t>Invasion Energy Inc.</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Kyle Kitagawa</w:t>
            </w:r>
          </w:p>
        </w:tc>
        <w:tc>
          <w:tcPr>
            <w:tcW w:w="171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Ongoing monitoring of equity and debt investments. Sale anticipated for 4</w:t>
            </w:r>
            <w:r>
              <w:rPr>
                <w:rFonts w:ascii="Arial" w:hAnsi="Arial"/>
                <w:vertAlign w:val="superscript"/>
              </w:rPr>
              <w:t>th</w:t>
            </w:r>
            <w:r>
              <w:rPr>
                <w:rFonts w:ascii="Arial" w:hAnsi="Arial"/>
              </w:rPr>
              <w:t xml:space="preserve"> Qtr. 2001.</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Arial" w:hAnsi="Arial"/>
              </w:rPr>
              <w:t>Energy Services Agreements</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Paul DeVries</w:t>
            </w:r>
          </w:p>
          <w:p>
            <w:pPr>
              <w:pStyle w:val="Normal"/>
              <w:widowControl/>
              <w:bidi w:val="0"/>
              <w:jc w:val="both"/>
              <w:rPr>
                <w:rFonts w:ascii="Arial" w:hAnsi="Arial"/>
              </w:rPr>
            </w:pPr>
            <w:r>
              <w:rPr>
                <w:rFonts w:ascii="Arial" w:hAnsi="Arial"/>
              </w:rPr>
              <w:t>Jeff Borg</w:t>
            </w:r>
          </w:p>
          <w:p>
            <w:pPr>
              <w:pStyle w:val="Normal"/>
              <w:widowControl/>
              <w:bidi w:val="0"/>
              <w:jc w:val="both"/>
              <w:rPr/>
            </w:pPr>
            <w:r>
              <w:rPr>
                <w:rFonts w:ascii="Arial" w:hAnsi="Arial"/>
              </w:rPr>
              <w:t>Jan Wilson</w:t>
            </w:r>
          </w:p>
        </w:tc>
        <w:tc>
          <w:tcPr>
            <w:tcW w:w="171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4</w:t>
            </w:r>
            <w:r>
              <w:rPr>
                <w:rFonts w:ascii="Arial" w:hAnsi="Arial"/>
                <w:vertAlign w:val="superscript"/>
              </w:rPr>
              <w:t>th</w:t>
            </w:r>
            <w:r>
              <w:rPr>
                <w:rFonts w:ascii="Arial" w:hAnsi="Arial"/>
              </w:rPr>
              <w:t xml:space="preserve"> Qtr. 2000</w:t>
            </w:r>
          </w:p>
          <w:p>
            <w:pPr>
              <w:pStyle w:val="Normal"/>
              <w:widowControl/>
              <w:bidi w:val="0"/>
              <w:jc w:val="both"/>
              <w:rPr/>
            </w:pPr>
            <w:r>
              <w:rPr>
                <w:rFonts w:ascii="Arial" w:hAnsi="Arial"/>
              </w:rPr>
              <w:t>1</w:t>
            </w:r>
            <w:r>
              <w:rPr>
                <w:rFonts w:ascii="Arial" w:hAnsi="Arial"/>
                <w:vertAlign w:val="superscript"/>
              </w:rPr>
              <w:t>st</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Negotiating services agreements with various counterparties, including Bowater, Cadillac Fairview, Magna, Nitrochem and Ivaco.    Executed Agreement with Sunoco (3 yr. term).</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w:hAnsi="Arial"/>
              </w:rPr>
              <w:t>Blue Range Resource Corporation</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Rob Milnthorp</w:t>
            </w:r>
          </w:p>
        </w:tc>
        <w:tc>
          <w:tcPr>
            <w:tcW w:w="171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Ongoing administration of estate wind-up and final dividend payment.</w:t>
            </w:r>
            <w:r>
              <w:rPr>
                <w:rFonts w:ascii="Arial" w:hAnsi="Arial"/>
                <w:strike/>
              </w:rPr>
              <w:t xml:space="preserve"> $.05 ($2.5MM) dividend approved for payment first week of February, 2001. $.02 ($1MM) dividend approved for payment end of March, 2001, pending leave to appeal on CIBC claims.</w:t>
            </w:r>
            <w:r>
              <w:rPr>
                <w:rFonts w:ascii="Arial" w:hAnsi="Arial"/>
              </w:rPr>
              <w:t>    Final $.05 ($2.5MM) dividend anticipated for Q2 or Q3, 2001.</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w:hAnsi="Arial"/>
              </w:rPr>
              <w:t>Moore Power Project</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Greg Johnston</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 xml:space="preserve">Kyle Kitagawa </w:t>
            </w:r>
          </w:p>
          <w:p>
            <w:pPr>
              <w:pStyle w:val="Normal"/>
              <w:widowControl/>
              <w:bidi w:val="0"/>
              <w:jc w:val="both"/>
              <w:rPr/>
            </w:pPr>
            <w:r>
              <w:rPr>
                <w:rFonts w:ascii="Arial" w:hAnsi="Arial"/>
              </w:rPr>
              <w:t>Eric Le Dain</w:t>
            </w:r>
          </w:p>
        </w:tc>
        <w:tc>
          <w:tcPr>
            <w:tcW w:w="171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Packaging project for sale (turbines, queue position, land option, permitting) to potential third parties.    Discussions currently with various potential purchasers.    Turbine purchase agreements have been distributed to the potential buyers for review.    U.S. Department of Energy permit application regarding the international power line is being submitted.</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w:hAnsi="Arial"/>
              </w:rPr>
              <w:t>Shell/Sierra Pacific</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Mark Powell</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Eric Le Dain</w:t>
            </w:r>
          </w:p>
          <w:p>
            <w:pPr>
              <w:pStyle w:val="Normal"/>
              <w:widowControl/>
              <w:bidi w:val="0"/>
              <w:jc w:val="both"/>
              <w:rPr/>
            </w:pPr>
            <w:r>
              <w:rPr>
                <w:rFonts w:ascii="Arial" w:hAnsi="Arial"/>
              </w:rPr>
              <w:t>Barry Tycholiz</w:t>
            </w:r>
          </w:p>
        </w:tc>
        <w:tc>
          <w:tcPr>
            <w:tcW w:w="171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May 31, 2001</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Preparing and coordinating actual assignments to satisfy conditions precedent to Assignment of long-term transportation capacity from Shell to Sierra through ECC/ENA.</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w:hAnsi="Arial"/>
              </w:rPr>
              <w:t>BC Gas</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Mark Powell</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Grant Oh</w:t>
            </w:r>
          </w:p>
        </w:tc>
        <w:tc>
          <w:tcPr>
            <w:tcW w:w="171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Unknown</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Development of license and/or other documentation to permit Enron Online data to be posted by BC Gas.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w:hAnsi="Arial"/>
              </w:rPr>
              <w:t>Hunt Oil Company of Canada Inc.</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Mark Powell</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Grant Oh</w:t>
            </w:r>
          </w:p>
        </w:tc>
        <w:tc>
          <w:tcPr>
            <w:tcW w:w="171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Unknown</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Management Services Agreement relating to the management of pipeline capacity.</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w:hAnsi="Arial"/>
              </w:rPr>
              <w:t>Forms</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both"/>
              <w:rPr>
                <w:rFonts w:ascii="Arial" w:hAnsi="Arial"/>
              </w:rPr>
            </w:pPr>
            <w:r>
              <w:rPr>
                <w:rFonts w:ascii="Arial" w:hAnsi="Arial"/>
              </w:rPr>
              <w:t>Greg Johnston</w:t>
            </w:r>
          </w:p>
          <w:p>
            <w:pPr>
              <w:pStyle w:val="Normal"/>
              <w:widowControl/>
              <w:tabs>
                <w:tab w:val="clear" w:pos="720"/>
              </w:tabs>
              <w:bidi w:val="0"/>
              <w:jc w:val="both"/>
              <w:rPr>
                <w:rFonts w:ascii="Arial" w:hAnsi="Arial"/>
              </w:rPr>
            </w:pPr>
            <w:r>
              <w:rPr>
                <w:rFonts w:ascii="Arial" w:hAnsi="Arial"/>
              </w:rPr>
              <w:t>Chris Gaffney</w:t>
            </w:r>
          </w:p>
          <w:p>
            <w:pPr>
              <w:pStyle w:val="Normal"/>
              <w:widowControl/>
              <w:tabs>
                <w:tab w:val="clear" w:pos="720"/>
              </w:tabs>
              <w:bidi w:val="0"/>
              <w:jc w:val="both"/>
              <w:rPr>
                <w:rFonts w:ascii="Arial" w:hAnsi="Arial"/>
              </w:rPr>
            </w:pPr>
            <w:r>
              <w:rPr>
                <w:rFonts w:ascii="Arial" w:hAnsi="Arial"/>
              </w:rPr>
              <w:t>Mark Powell</w:t>
            </w:r>
          </w:p>
          <w:p>
            <w:pPr>
              <w:pStyle w:val="Normal"/>
              <w:widowControl/>
              <w:tabs>
                <w:tab w:val="clear" w:pos="720"/>
              </w:tabs>
              <w:bidi w:val="0"/>
              <w:jc w:val="both"/>
              <w:rPr/>
            </w:pPr>
            <w:r>
              <w:rPr>
                <w:rFonts w:ascii="Arial" w:hAnsi="Arial"/>
              </w:rPr>
              <w:t>Mary Cook</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both"/>
              <w:rPr/>
            </w:pPr>
            <w:r>
              <w:rPr>
                <w:rFonts w:ascii="Arial" w:hAnsi="Arial"/>
              </w:rPr>
              <w:t>Derek Davies</w:t>
            </w:r>
          </w:p>
        </w:tc>
        <w:tc>
          <w:tcPr>
            <w:tcW w:w="171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both"/>
              <w:rPr/>
            </w:pPr>
            <w:r>
              <w:rPr>
                <w:rFonts w:ascii="Arial" w:hAnsi="Arial"/>
              </w:rPr>
              <w:t>1</w:t>
            </w:r>
            <w:r>
              <w:rPr>
                <w:rFonts w:ascii="Arial" w:hAnsi="Arial"/>
                <w:vertAlign w:val="superscript"/>
              </w:rPr>
              <w:t>st</w:t>
            </w:r>
            <w:r>
              <w:rPr>
                <w:rFonts w:ascii="Arial" w:hAnsi="Arial"/>
              </w:rPr>
              <w:t xml:space="preserve"> Qtr.</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rFonts w:ascii="Arial" w:hAnsi="Arial"/>
              </w:rPr>
            </w:pPr>
            <w:r>
              <w:rPr>
                <w:rFonts w:ascii="Arial" w:hAnsi="Arial"/>
              </w:rPr>
              <w:t>Have prepared a form of one-off physical power supply agreement, based upon our Canadian form of Master Agreement.</w:t>
            </w:r>
          </w:p>
          <w:p>
            <w:pPr>
              <w:pStyle w:val="Header"/>
              <w:widowControl/>
              <w:tabs>
                <w:tab w:val="clear" w:pos="4320"/>
                <w:tab w:val="clear" w:pos="8640"/>
              </w:tabs>
              <w:bidi w:val="0"/>
              <w:jc w:val="both"/>
              <w:rPr>
                <w:rFonts w:ascii="Arial" w:hAnsi="Arial"/>
              </w:rPr>
            </w:pPr>
            <w:r>
              <w:rPr>
                <w:rFonts w:ascii="Arial" w:hAnsi="Arial"/>
              </w:rPr>
              <w:t>Have revived “industrial” Master Agreement as alternative to ISDA Master Agreement for limited use with industrial counterparties, for small volumes, gas/power only, and no cross-border, cross-currency issues.</w:t>
            </w:r>
          </w:p>
          <w:p>
            <w:pPr>
              <w:pStyle w:val="Header"/>
              <w:widowControl/>
              <w:tabs>
                <w:tab w:val="clear" w:pos="4320"/>
                <w:tab w:val="clear" w:pos="8640"/>
              </w:tabs>
              <w:bidi w:val="0"/>
              <w:jc w:val="both"/>
              <w:rPr/>
            </w:pPr>
            <w:r>
              <w:rPr>
                <w:rFonts w:ascii="Arial" w:hAnsi="Arial"/>
              </w:rPr>
              <w:t>Preparation of Ontario standard physical (power) master agreement with committee of Ontario market participants based on EEI form.</w:t>
            </w:r>
          </w:p>
        </w:tc>
      </w:tr>
    </w:tbl>
    <w:p>
      <w:pPr>
        <w:pStyle w:val="Normal"/>
        <w:widowControl/>
        <w:bidi w:val="0"/>
        <w:jc w:val="both"/>
        <w:rPr>
          <w:rFonts w:ascii="Arial" w:hAnsi="Arial"/>
        </w:rPr>
      </w:pPr>
      <w:r>
        <w:rPr>
          <w:rFonts w:ascii="Arial" w:hAnsi="Arial"/>
        </w:rPr>
      </w:r>
    </w:p>
    <w:p>
      <w:pPr>
        <w:pStyle w:val="Normal"/>
        <w:widowControl/>
        <w:bidi w:val="0"/>
        <w:jc w:val="both"/>
        <w:rPr>
          <w:rFonts w:ascii="Arial" w:hAnsi="Arial"/>
        </w:rPr>
      </w:pPr>
      <w:r>
        <w:rPr>
          <w:rFonts w:ascii="Arial" w:hAnsi="Arial"/>
        </w:rPr>
      </w:r>
    </w:p>
    <w:p>
      <w:pPr>
        <w:pStyle w:val="Normal"/>
        <w:widowControl/>
        <w:bidi w:val="0"/>
        <w:ind w:hanging="3600" w:start="3600"/>
        <w:jc w:val="both"/>
        <w:rPr>
          <w:rFonts w:ascii="Arial" w:hAnsi="Arial"/>
          <w:u w:val="single"/>
        </w:rPr>
      </w:pPr>
      <w:r>
        <w:rPr>
          <w:rFonts w:ascii="Arial" w:hAnsi="Arial"/>
          <w:u w:val="single"/>
        </w:rPr>
        <w:t>Non-Transactional/Other Matters:</w:t>
      </w:r>
    </w:p>
    <w:p>
      <w:pPr>
        <w:pStyle w:val="Normal"/>
        <w:widowControl/>
        <w:bidi w:val="0"/>
        <w:ind w:hanging="3600" w:start="3600"/>
        <w:jc w:val="both"/>
        <w:rPr>
          <w:rFonts w:ascii="Arial" w:hAnsi="Arial"/>
        </w:rPr>
      </w:pPr>
      <w:r>
        <w:rPr>
          <w:rFonts w:ascii="Arial" w:hAnsi="Arial"/>
        </w:rPr>
      </w:r>
    </w:p>
    <w:p>
      <w:pPr>
        <w:pStyle w:val="Normal"/>
        <w:widowControl/>
        <w:numPr>
          <w:ilvl w:val="0"/>
          <w:numId w:val="1"/>
        </w:numPr>
        <w:tabs>
          <w:tab w:val="left" w:pos="720" w:leader="none"/>
        </w:tabs>
        <w:bidi w:val="0"/>
        <w:jc w:val="both"/>
        <w:rPr>
          <w:rFonts w:ascii="Arial" w:hAnsi="Arial"/>
        </w:rPr>
      </w:pPr>
      <w:r>
        <w:rPr>
          <w:rFonts w:ascii="Arial" w:hAnsi="Arial"/>
        </w:rPr>
        <w:t>Ongoing consultations/disputes with Alberta Government regarding Sundance B PPA, Market Rule Changes and No Harm Commitment (Peter Keohane).    Complaint filed with Market Surveillance Administrator regarding the Balancing Pool’s Clover Bar offer strategy (Peter Keohane).</w:t>
      </w:r>
    </w:p>
    <w:p>
      <w:pPr>
        <w:pStyle w:val="Normal"/>
        <w:widowControl/>
        <w:numPr>
          <w:ilvl w:val="0"/>
          <w:numId w:val="5"/>
        </w:numPr>
        <w:tabs>
          <w:tab w:val="left" w:pos="720" w:leader="none"/>
        </w:tabs>
        <w:bidi w:val="0"/>
        <w:jc w:val="both"/>
        <w:rPr>
          <w:rFonts w:ascii="Arial" w:hAnsi="Arial"/>
        </w:rPr>
      </w:pPr>
      <w:r>
        <w:rPr>
          <w:rFonts w:ascii="Arial" w:hAnsi="Arial"/>
        </w:rPr>
        <w:t xml:space="preserve">Competition Law Seminar – Completed for Calgary, December 4, 2000; scheduled for Toronto for </w:t>
      </w:r>
      <w:r>
        <w:rPr>
          <w:rFonts w:ascii="Arial" w:hAnsi="Arial"/>
          <w:strike/>
        </w:rPr>
        <w:t>March</w:t>
      </w:r>
      <w:r>
        <w:rPr>
          <w:rFonts w:ascii="Arial" w:hAnsi="Arial"/>
        </w:rPr>
        <w:t xml:space="preserve"> </w:t>
      </w:r>
      <w:r>
        <w:rPr>
          <w:rFonts w:ascii="Arial" w:hAnsi="Arial"/>
          <w:u w:val="double"/>
        </w:rPr>
        <w:t>{April}</w:t>
      </w:r>
      <w:r>
        <w:rPr>
          <w:rFonts w:ascii="Arial" w:hAnsi="Arial"/>
        </w:rPr>
        <w:t>, 2001 (Peter Keohane).</w:t>
      </w:r>
    </w:p>
    <w:p>
      <w:pPr>
        <w:pStyle w:val="Normal"/>
        <w:widowControl/>
        <w:numPr>
          <w:ilvl w:val="0"/>
          <w:numId w:val="6"/>
        </w:numPr>
        <w:tabs>
          <w:tab w:val="left" w:pos="720" w:leader="none"/>
        </w:tabs>
        <w:bidi w:val="0"/>
        <w:jc w:val="both"/>
        <w:rPr>
          <w:rFonts w:ascii="Arial" w:hAnsi="Arial"/>
          <w:sz w:val="22"/>
        </w:rPr>
      </w:pPr>
      <w:r>
        <w:rPr>
          <w:rFonts w:ascii="Arial" w:hAnsi="Arial"/>
        </w:rPr>
        <w:t>NGX/Canadian Enerdata litigation (Peter Keohane) – Settlement discussions.    Exchange of draft Settlement Agreements providing for inclusion of EOL data into indices.</w:t>
      </w:r>
    </w:p>
    <w:p>
      <w:pPr>
        <w:pStyle w:val="Normal"/>
        <w:widowControl/>
        <w:numPr>
          <w:ilvl w:val="0"/>
          <w:numId w:val="7"/>
        </w:numPr>
        <w:tabs>
          <w:tab w:val="left" w:pos="720" w:leader="none"/>
        </w:tabs>
        <w:bidi w:val="0"/>
        <w:jc w:val="both"/>
        <w:rPr>
          <w:rFonts w:ascii="Arial" w:hAnsi="Arial"/>
          <w:sz w:val="22"/>
        </w:rPr>
      </w:pPr>
      <w:r>
        <w:rPr>
          <w:rFonts w:ascii="Arial" w:hAnsi="Arial"/>
          <w:sz w:val="22"/>
        </w:rPr>
      </w:r>
    </w:p>
    <w:p>
      <w:pPr>
        <w:pStyle w:val="Normal"/>
        <w:widowControl/>
        <w:numPr>
          <w:ilvl w:val="0"/>
          <w:numId w:val="8"/>
        </w:numPr>
        <w:tabs>
          <w:tab w:val="left" w:pos="720" w:leader="none"/>
        </w:tabs>
        <w:bidi w:val="0"/>
        <w:jc w:val="both"/>
        <w:rPr>
          <w:rFonts w:ascii="Arial" w:hAnsi="Arial"/>
          <w:sz w:val="22"/>
        </w:rPr>
      </w:pPr>
      <w:r>
        <w:rPr>
          <w:rFonts w:ascii="Arial" w:hAnsi="Arial"/>
          <w:sz w:val="22"/>
        </w:rPr>
        <w:t xml:space="preserve">This redlined draft, generated by CompareRite (TM) - The Instant Redliner, shows the differences between - </w:t>
      </w:r>
    </w:p>
    <w:p>
      <w:pPr>
        <w:pStyle w:val="Normal"/>
        <w:widowControl/>
        <w:numPr>
          <w:ilvl w:val="0"/>
          <w:numId w:val="9"/>
        </w:numPr>
        <w:tabs>
          <w:tab w:val="left" w:pos="720" w:leader="none"/>
        </w:tabs>
        <w:bidi w:val="0"/>
        <w:jc w:val="both"/>
        <w:rPr>
          <w:rFonts w:ascii="Arial" w:hAnsi="Arial"/>
          <w:sz w:val="22"/>
        </w:rPr>
      </w:pPr>
      <w:r>
        <w:rPr>
          <w:rFonts w:ascii="Arial" w:hAnsi="Arial"/>
          <w:sz w:val="22"/>
        </w:rPr>
        <w:t>original document      : I:\LEGAL\DEPT\REPORTS\FINANCE22.REPORT.DOC</w:t>
      </w:r>
    </w:p>
    <w:p>
      <w:pPr>
        <w:pStyle w:val="Normal"/>
        <w:widowControl/>
        <w:numPr>
          <w:ilvl w:val="0"/>
          <w:numId w:val="10"/>
        </w:numPr>
        <w:tabs>
          <w:tab w:val="left" w:pos="720" w:leader="none"/>
        </w:tabs>
        <w:bidi w:val="0"/>
        <w:jc w:val="both"/>
        <w:rPr>
          <w:rFonts w:ascii="Arial" w:hAnsi="Arial"/>
          <w:sz w:val="22"/>
        </w:rPr>
      </w:pPr>
      <w:r>
        <w:rPr>
          <w:rFonts w:ascii="Arial" w:hAnsi="Arial"/>
          <w:sz w:val="22"/>
        </w:rPr>
        <w:t>and revised document: I:\LEGAL\DEPT\REPORTS\FINANCE23.REPORT.DOC</w:t>
      </w:r>
    </w:p>
    <w:p>
      <w:pPr>
        <w:pStyle w:val="Normal"/>
        <w:widowControl/>
        <w:numPr>
          <w:ilvl w:val="0"/>
          <w:numId w:val="11"/>
        </w:numPr>
        <w:tabs>
          <w:tab w:val="left" w:pos="720" w:leader="none"/>
        </w:tabs>
        <w:bidi w:val="0"/>
        <w:jc w:val="both"/>
        <w:rPr>
          <w:rFonts w:ascii="Arial" w:hAnsi="Arial"/>
          <w:sz w:val="22"/>
        </w:rPr>
      </w:pPr>
      <w:r>
        <w:rPr>
          <w:rFonts w:ascii="Arial" w:hAnsi="Arial"/>
          <w:sz w:val="22"/>
        </w:rPr>
      </w:r>
    </w:p>
    <w:p>
      <w:pPr>
        <w:pStyle w:val="Normal"/>
        <w:widowControl/>
        <w:numPr>
          <w:ilvl w:val="0"/>
          <w:numId w:val="12"/>
        </w:numPr>
        <w:tabs>
          <w:tab w:val="left" w:pos="720" w:leader="none"/>
        </w:tabs>
        <w:bidi w:val="0"/>
        <w:jc w:val="both"/>
        <w:rPr>
          <w:rFonts w:ascii="Arial" w:hAnsi="Arial"/>
          <w:sz w:val="22"/>
        </w:rPr>
      </w:pPr>
      <w:r>
        <w:rPr>
          <w:rFonts w:ascii="Arial" w:hAnsi="Arial"/>
          <w:sz w:val="22"/>
        </w:rPr>
        <w:t>CompareRite found        9 change(s) in the text</w:t>
      </w:r>
    </w:p>
    <w:p>
      <w:pPr>
        <w:pStyle w:val="Normal"/>
        <w:widowControl/>
        <w:numPr>
          <w:ilvl w:val="0"/>
          <w:numId w:val="13"/>
        </w:numPr>
        <w:tabs>
          <w:tab w:val="left" w:pos="720" w:leader="none"/>
        </w:tabs>
        <w:bidi w:val="0"/>
        <w:jc w:val="both"/>
        <w:rPr>
          <w:rFonts w:ascii="Arial" w:hAnsi="Arial"/>
          <w:sz w:val="22"/>
        </w:rPr>
      </w:pPr>
      <w:r>
        <w:rPr>
          <w:rFonts w:ascii="Arial" w:hAnsi="Arial"/>
          <w:sz w:val="22"/>
        </w:rPr>
      </w:r>
    </w:p>
    <w:p>
      <w:pPr>
        <w:pStyle w:val="Normal"/>
        <w:widowControl/>
        <w:numPr>
          <w:ilvl w:val="0"/>
          <w:numId w:val="14"/>
        </w:numPr>
        <w:tabs>
          <w:tab w:val="left" w:pos="720" w:leader="none"/>
        </w:tabs>
        <w:bidi w:val="0"/>
        <w:jc w:val="both"/>
        <w:rPr>
          <w:rFonts w:ascii="Arial" w:hAnsi="Arial"/>
          <w:sz w:val="22"/>
        </w:rPr>
      </w:pPr>
      <w:r>
        <w:rPr>
          <w:rFonts w:ascii="Arial" w:hAnsi="Arial"/>
          <w:sz w:val="22"/>
        </w:rPr>
        <w:t xml:space="preserve">Deletions appear as Overstrike text </w:t>
      </w:r>
    </w:p>
    <w:p>
      <w:pPr>
        <w:pStyle w:val="Normal"/>
        <w:widowControl/>
        <w:numPr>
          <w:ilvl w:val="0"/>
          <w:numId w:val="15"/>
        </w:numPr>
        <w:tabs>
          <w:tab w:val="left" w:pos="720" w:leader="none"/>
        </w:tabs>
        <w:bidi w:val="0"/>
        <w:jc w:val="both"/>
        <w:rPr>
          <w:rFonts w:ascii="Arial" w:hAnsi="Arial"/>
          <w:sz w:val="22"/>
        </w:rPr>
      </w:pPr>
      <w:r>
        <w:rPr>
          <w:rFonts w:ascii="Arial" w:hAnsi="Arial"/>
          <w:sz w:val="22"/>
        </w:rPr>
        <w:t>Additions appear as Double Underline text surrounded by {}</w:t>
      </w:r>
    </w:p>
    <w:sectPr>
      <w:headerReference w:type="even" r:id="rId2"/>
      <w:headerReference w:type="default" r:id="rId3"/>
      <w:headerReference w:type="first" r:id="rId4"/>
      <w:footerReference w:type="even" r:id="rId5"/>
      <w:footerReference w:type="default" r:id="rId6"/>
      <w:footerReference w:type="first" r:id="rId7"/>
      <w:type w:val="nextPage"/>
      <w:pgSz w:orient="landscape" w:w="15840" w:h="12240"/>
      <w:pgMar w:left="1440" w:right="1440" w:gutter="0" w:header="720" w:top="777" w:footer="288" w:bottom="72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Helv">
    <w:altName w:val="Arial"/>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left" w:pos="5760" w:leader="none"/>
        <w:tab w:val="left" w:pos="10800" w:leader="none"/>
      </w:tabs>
      <w:bidi w:val="0"/>
      <w:jc w:val="start"/>
      <w:rPr>
        <w:rFonts w:ascii="Times New Roman" w:hAnsi="Times New Roman"/>
      </w:rPr>
    </w:pPr>
    <w:r>
      <w:rPr>
        <w:rFonts w:ascii="Arial Narrow" w:hAnsi="Arial Narrow"/>
        <w:sz w:val="16"/>
      </w:rPr>
      <w:fldChar w:fldCharType="begin"/>
    </w:r>
    <w:r>
      <w:rPr>
        <w:sz w:val="16"/>
        <w:rFonts w:ascii="Arial Narrow" w:hAnsi="Arial Narrow"/>
      </w:rPr>
      <w:instrText xml:space="preserve"> FILENAME \p </w:instrText>
    </w:r>
    <w:r>
      <w:rPr>
        <w:sz w:val="16"/>
        <w:rFonts w:ascii="Arial Narrow" w:hAnsi="Arial Narrow"/>
      </w:rPr>
      <w:fldChar w:fldCharType="separate"/>
    </w:r>
    <w:r>
      <w:rPr>
        <w:sz w:val="16"/>
        <w:rFonts w:ascii="Arial Narrow" w:hAnsi="Arial Narrow"/>
      </w:rPr>
      <w:t>/mnt/main-storage/datasets/enron-docs/doc/3.782701.IVQCM2UBTHUN2PTRCLBKFWF53DZNE3NOB.1.DOC</w:t>
    </w:r>
    <w:r>
      <w:rPr>
        <w:sz w:val="16"/>
        <w:rFonts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left" w:pos="5760" w:leader="none"/>
        <w:tab w:val="left" w:pos="10800" w:leader="none"/>
      </w:tabs>
      <w:bidi w:val="0"/>
      <w:jc w:val="start"/>
      <w:rPr>
        <w:rFonts w:ascii="Times New Roman" w:hAnsi="Times New Roman"/>
      </w:rPr>
    </w:pPr>
    <w:r>
      <w:rPr>
        <w:rFonts w:ascii="Arial Narrow" w:hAnsi="Arial Narrow"/>
        <w:sz w:val="16"/>
      </w:rPr>
      <w:fldChar w:fldCharType="begin"/>
    </w:r>
    <w:r>
      <w:rPr>
        <w:sz w:val="16"/>
        <w:rFonts w:ascii="Arial Narrow" w:hAnsi="Arial Narrow"/>
      </w:rPr>
      <w:instrText xml:space="preserve"> FILENAME \p </w:instrText>
    </w:r>
    <w:r>
      <w:rPr>
        <w:sz w:val="16"/>
        <w:rFonts w:ascii="Arial Narrow" w:hAnsi="Arial Narrow"/>
      </w:rPr>
      <w:fldChar w:fldCharType="separate"/>
    </w:r>
    <w:r>
      <w:rPr>
        <w:sz w:val="16"/>
        <w:rFonts w:ascii="Arial Narrow" w:hAnsi="Arial Narrow"/>
      </w:rPr>
      <w:t>/mnt/main-storage/datasets/enron-docs/doc/3.782701.IVQCM2UBTHUN2PTRCLBKFWF53DZNE3NOB.1.DOC</w:t>
    </w:r>
    <w:r>
      <w:rPr>
        <w:sz w:val="16"/>
        <w:rFonts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Style w:val="PageNumber"/>
      </w:rPr>
    </w:pPr>
    <w:r>
      <w:rPr>
        <w:rFonts w:ascii="Arial" w:hAnsi="Arial"/>
      </w:rPr>
      <w:t xml:space="preserve">Page </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4</w:t>
    </w:r>
    <w:r>
      <w:rPr>
        <w:rStyle w:val="PageNumber"/>
        <w:lang w:val="en-CA"/>
      </w:rPr>
      <w:fldChar w:fldCharType="end"/>
    </w:r>
  </w:p>
  <w:p>
    <w:pPr>
      <w:pStyle w:val="Header"/>
      <w:widowControl/>
      <w:bidi w:val="0"/>
      <w:jc w:val="end"/>
      <w:rPr>
        <w:rFonts w:ascii="Arial" w:hAnsi="Arial"/>
      </w:rPr>
    </w:pPr>
    <w:r>
      <w:rPr>
        <w:rFonts w:ascii="Arial" w:hAnsi="Arial"/>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1"/>
    <w:lvlOverride w:ilvl="0">
      <w:lvl w:ilvl="0">
        <w:start w:val="2"/>
        <w:numFmt w:val="lowerLetter"/>
        <w:lvlText w:val="(%1)"/>
        <w:lvlJc w:val="start"/>
        <w:pPr>
          <w:tabs>
            <w:tab w:val="num" w:pos="0"/>
          </w:tabs>
          <w:ind w:start="720" w:hanging="720"/>
        </w:pPr>
        <w:rPr/>
      </w:lvl>
    </w:lvlOverride>
  </w:num>
  <w:num w:numId="6">
    <w:abstractNumId w:val="1"/>
    <w:lvlOverride w:ilvl="0">
      <w:lvl w:ilvl="0">
        <w:start w:val="3"/>
        <w:numFmt w:val="lowerLetter"/>
        <w:lvlText w:val="(%1)"/>
        <w:lvlJc w:val="start"/>
        <w:pPr>
          <w:tabs>
            <w:tab w:val="num" w:pos="0"/>
          </w:tabs>
          <w:ind w:start="720" w:hanging="720"/>
        </w:pPr>
        <w:rPr/>
      </w:lvl>
    </w:lvlOverride>
  </w:num>
  <w:num w:numId="7">
    <w:abstractNumId w:val="1"/>
    <w:lvlOverride w:ilvl="0">
      <w:lvl w:ilvl="0">
        <w:start w:val="3"/>
        <w:numFmt w:val="lowerLetter"/>
        <w:lvlText w:val="(%1)"/>
        <w:lvlJc w:val="start"/>
        <w:pPr>
          <w:tabs>
            <w:tab w:val="num" w:pos="0"/>
          </w:tabs>
          <w:ind w:start="720" w:hanging="720"/>
        </w:pPr>
        <w:rPr/>
      </w:lvl>
    </w:lvlOverride>
  </w:num>
  <w:num w:numId="8">
    <w:abstractNumId w:val="1"/>
    <w:lvlOverride w:ilvl="0">
      <w:lvl w:ilvl="0">
        <w:start w:val="3"/>
        <w:numFmt w:val="lowerLetter"/>
        <w:lvlText w:val="(%1)"/>
        <w:lvlJc w:val="start"/>
        <w:pPr>
          <w:tabs>
            <w:tab w:val="num" w:pos="0"/>
          </w:tabs>
          <w:ind w:start="720" w:hanging="720"/>
        </w:pPr>
        <w:rPr/>
      </w:lvl>
    </w:lvlOverride>
  </w:num>
  <w:num w:numId="9">
    <w:abstractNumId w:val="1"/>
    <w:lvlOverride w:ilvl="0">
      <w:lvl w:ilvl="0">
        <w:start w:val="3"/>
        <w:numFmt w:val="lowerLetter"/>
        <w:lvlText w:val="(%1)"/>
        <w:lvlJc w:val="start"/>
        <w:pPr>
          <w:tabs>
            <w:tab w:val="num" w:pos="0"/>
          </w:tabs>
          <w:ind w:start="720" w:hanging="720"/>
        </w:pPr>
        <w:rPr/>
      </w:lvl>
    </w:lvlOverride>
  </w:num>
  <w:num w:numId="10">
    <w:abstractNumId w:val="1"/>
    <w:lvlOverride w:ilvl="0">
      <w:lvl w:ilvl="0">
        <w:start w:val="3"/>
        <w:numFmt w:val="lowerLetter"/>
        <w:lvlText w:val="(%1)"/>
        <w:lvlJc w:val="start"/>
        <w:pPr>
          <w:tabs>
            <w:tab w:val="num" w:pos="0"/>
          </w:tabs>
          <w:ind w:start="720" w:hanging="720"/>
        </w:pPr>
        <w:rPr/>
      </w:lvl>
    </w:lvlOverride>
  </w:num>
  <w:num w:numId="11">
    <w:abstractNumId w:val="1"/>
    <w:lvlOverride w:ilvl="0">
      <w:lvl w:ilvl="0">
        <w:start w:val="3"/>
        <w:numFmt w:val="lowerLetter"/>
        <w:lvlText w:val="(%1)"/>
        <w:lvlJc w:val="start"/>
        <w:pPr>
          <w:tabs>
            <w:tab w:val="num" w:pos="0"/>
          </w:tabs>
          <w:ind w:start="720" w:hanging="720"/>
        </w:pPr>
        <w:rPr/>
      </w:lvl>
    </w:lvlOverride>
  </w:num>
  <w:num w:numId="12">
    <w:abstractNumId w:val="1"/>
    <w:lvlOverride w:ilvl="0">
      <w:lvl w:ilvl="0">
        <w:start w:val="3"/>
        <w:numFmt w:val="lowerLetter"/>
        <w:lvlText w:val="(%1)"/>
        <w:lvlJc w:val="start"/>
        <w:pPr>
          <w:tabs>
            <w:tab w:val="num" w:pos="0"/>
          </w:tabs>
          <w:ind w:start="720" w:hanging="720"/>
        </w:pPr>
        <w:rPr/>
      </w:lvl>
    </w:lvlOverride>
  </w:num>
  <w:num w:numId="13">
    <w:abstractNumId w:val="1"/>
    <w:lvlOverride w:ilvl="0">
      <w:lvl w:ilvl="0">
        <w:start w:val="3"/>
        <w:numFmt w:val="lowerLetter"/>
        <w:lvlText w:val="(%1)"/>
        <w:lvlJc w:val="start"/>
        <w:pPr>
          <w:tabs>
            <w:tab w:val="num" w:pos="0"/>
          </w:tabs>
          <w:ind w:start="720" w:hanging="720"/>
        </w:pPr>
        <w:rPr/>
      </w:lvl>
    </w:lvlOverride>
  </w:num>
  <w:num w:numId="14">
    <w:abstractNumId w:val="1"/>
    <w:lvlOverride w:ilvl="0">
      <w:lvl w:ilvl="0">
        <w:start w:val="3"/>
        <w:numFmt w:val="lowerLetter"/>
        <w:lvlText w:val="(%1)"/>
        <w:lvlJc w:val="start"/>
        <w:pPr>
          <w:tabs>
            <w:tab w:val="num" w:pos="0"/>
          </w:tabs>
          <w:ind w:start="720" w:hanging="720"/>
        </w:pPr>
        <w:rPr/>
      </w:lvl>
    </w:lvlOverride>
  </w:num>
  <w:num w:numId="15">
    <w:abstractNumId w:val="1"/>
    <w:lvlOverride w:ilvl="0">
      <w:lvl w:ilvl="0">
        <w:start w:val="3"/>
        <w:numFmt w:val="lowerLetter"/>
        <w:lvlText w:val="(%1)"/>
        <w:lvlJc w:val="start"/>
        <w:pPr>
          <w:tabs>
            <w:tab w:val="num" w:pos="0"/>
          </w:tabs>
          <w:ind w:start="720" w:hanging="720"/>
        </w:pPr>
        <w:rPr/>
      </w:lvl>
    </w:lvlOverride>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Helv" w:cs="Arial Narrow"/>
      <w:color w:val="auto"/>
      <w:kern w:val="2"/>
      <w:sz w:val="20"/>
      <w:szCs w:val="24"/>
      <w:lang w:val="en-CA" w:eastAsia="zh-CN" w:bidi="hi-IN"/>
    </w:rPr>
  </w:style>
  <w:style w:type="character" w:styleId="DefaultParagraphFont">
    <w:name w:val="Default Paragraph Font"/>
    <w:qFormat/>
    <w:rPr/>
  </w:style>
  <w:style w:type="character" w:styleId="PageNumber">
    <w:name w:val="page number"/>
    <w:basedOn w:val="DefaultParagraphFont"/>
    <w:rPr>
      <w:rFonts w:ascii="Arial" w:hAnsi="Arial"/>
      <w:sz w:val="20"/>
    </w:rPr>
  </w:style>
  <w:style w:type="character" w:styleId="Hyperlink">
    <w:name w:val="Hyperlink"/>
    <w:basedOn w:val="DefaultParagraphFont"/>
    <w:rPr>
      <w:color w:val="0000FF"/>
      <w:sz w:val="20"/>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Title">
    <w:name w:val="Title"/>
    <w:basedOn w:val="Normal"/>
    <w:qFormat/>
    <w:pPr>
      <w:widowControl w:val="false"/>
      <w:jc w:val="center"/>
    </w:pPr>
    <w:rPr>
      <w:rFonts w:ascii="Arial" w:hAnsi="Arial"/>
      <w:b/>
      <w:sz w:val="20"/>
      <w:u w:val="single"/>
    </w:rPr>
  </w:style>
  <w:style w:type="paragraph" w:styleId="Subtitle">
    <w:name w:val="Subtitle"/>
    <w:basedOn w:val="Normal"/>
    <w:qFormat/>
    <w:pPr>
      <w:widowControl w:val="false"/>
    </w:pPr>
    <w:rPr>
      <w:rFonts w:ascii="Arial" w:hAnsi="Arial"/>
      <w:b/>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1168</Words>
  <Characters>8181</Characters>
  <CharactersWithSpaces>6662</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2001-04-11T10:01:00Z</dcterms:created>
  <dc:creator>Linda Sietzema</dc:creator>
  <dc:description/>
  <dc:language>en-CA</dc:language>
  <cp:lastModifiedBy/>
  <cp:lastPrinted>2001-04-12T14:28:00Z</cp:lastPrinted>
  <dcterms:modified xsi:type="dcterms:W3CDTF">2001-04-12T14:29:00Z</dcterms:modified>
  <cp:revision>6</cp:revision>
  <dc:subject/>
  <dc:title>Legal Transaction Status Report – Enron NA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scrawfo3</vt:lpwstr>
  </property>
</Properties>
</file>