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ind w:hanging="0" w:start="5040"/>
        <w:jc w:val="center"/>
        <w:rPr>
          <w:rFonts w:ascii="Times New Roman" w:hAnsi="Times New Roman"/>
          <w:sz w:val="24"/>
        </w:rPr>
      </w:pPr>
      <w:r>
        <w:fldChar w:fldCharType="begin"/>
      </w:r>
      <w:r>
        <w:rPr/>
        <w:instrText xml:space="preserve">ADVANCE \y 144</w:instrText>
      </w:r>
      <w:r>
        <w:rPr/>
      </w:r>
      <w:r>
        <w:rPr/>
        <w:fldChar w:fldCharType="separate"/>
      </w:r>
      <w:r>
        <w:rPr/>
      </w:r>
      <w:r>
        <w:rPr/>
      </w:r>
      <w:r>
        <w:rPr/>
        <w:fldChar w:fldCharType="end"/>
      </w:r>
      <w:r>
        <w:rPr>
          <w:rFonts w:ascii="Times New Roman" w:hAnsi="Times New Roman"/>
          <w:sz w:val="24"/>
        </w:rPr>
        <w:t>September 27,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B.    Trent Webb, Esq.</w:t>
      </w:r>
    </w:p>
    <w:p>
      <w:pPr>
        <w:pStyle w:val="Normal"/>
        <w:bidi w:val="0"/>
        <w:spacing w:lineRule="atLeast" w:line="0"/>
        <w:jc w:val="both"/>
        <w:rPr>
          <w:rFonts w:ascii="Times New Roman" w:hAnsi="Times New Roman"/>
          <w:sz w:val="24"/>
        </w:rPr>
      </w:pPr>
      <w:r>
        <w:rPr>
          <w:rFonts w:ascii="Times New Roman" w:hAnsi="Times New Roman"/>
          <w:sz w:val="24"/>
        </w:rPr>
        <w:t xml:space="preserve">Shook, Hardy &amp; Bacon, L.L.P.    </w:t>
      </w:r>
    </w:p>
    <w:p>
      <w:pPr>
        <w:pStyle w:val="Normal"/>
        <w:bidi w:val="0"/>
        <w:spacing w:lineRule="atLeast" w:line="0"/>
        <w:jc w:val="both"/>
        <w:rPr>
          <w:rFonts w:ascii="Times New Roman" w:hAnsi="Times New Roman"/>
          <w:sz w:val="24"/>
        </w:rPr>
      </w:pPr>
      <w:r>
        <w:rPr>
          <w:rFonts w:ascii="Times New Roman" w:hAnsi="Times New Roman"/>
          <w:sz w:val="24"/>
        </w:rPr>
        <w:t xml:space="preserve">One Kansas City Place </w:t>
      </w:r>
    </w:p>
    <w:p>
      <w:pPr>
        <w:pStyle w:val="Normal"/>
        <w:bidi w:val="0"/>
        <w:spacing w:lineRule="atLeast" w:line="0"/>
        <w:jc w:val="both"/>
        <w:rPr>
          <w:rFonts w:ascii="Times New Roman" w:hAnsi="Times New Roman"/>
          <w:sz w:val="24"/>
        </w:rPr>
      </w:pPr>
      <w:r>
        <w:rPr>
          <w:rFonts w:ascii="Times New Roman" w:hAnsi="Times New Roman"/>
          <w:sz w:val="24"/>
        </w:rPr>
        <w:t xml:space="preserve">1200 Main Street </w:t>
      </w:r>
    </w:p>
    <w:p>
      <w:pPr>
        <w:pStyle w:val="Normal"/>
        <w:bidi w:val="0"/>
        <w:spacing w:lineRule="atLeast" w:line="0"/>
        <w:jc w:val="both"/>
        <w:rPr>
          <w:rFonts w:ascii="Times New Roman" w:hAnsi="Times New Roman"/>
          <w:sz w:val="24"/>
        </w:rPr>
      </w:pPr>
      <w:r>
        <w:rPr>
          <w:rFonts w:ascii="Times New Roman" w:hAnsi="Times New Roman"/>
          <w:sz w:val="24"/>
        </w:rPr>
        <w:t>Kansas City, Missouri 64195-2118</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end="720"/>
        <w:jc w:val="start"/>
        <w:rPr>
          <w:rFonts w:ascii="Times New Roman" w:hAnsi="Times New Roman"/>
          <w:sz w:val="24"/>
        </w:rPr>
      </w:pPr>
      <w:r>
        <w:rPr>
          <w:rFonts w:ascii="Times New Roman" w:hAnsi="Times New Roman"/>
          <w:sz w:val="24"/>
        </w:rPr>
        <w:t>Re:</w:t>
        <w:tab/>
        <w:t>Enron Power Systems</w:t>
        <w:tab/>
        <w:t>027326.009270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Dear Trent: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We have been asked on behalf of Enron North America to evaluate a patent situation regarding the turbine systems installed by Powers Systems Manufacturing at New Albany, Mississippi and ______, _____ that were the subject matter of the patent infringement suit filed by General Electric against Power Systems Manufacturing. 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On behalf of Enron North America, I am writing to make the following inquiries: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Does the version of the settlement agreement now under discussion between Power Systems Manufacturing and General Electric have language of release of Power Systems Manufacturing for the units furnished to Enron North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If not, what are the possibilities of having such a release re-inserted – we note that the version you sent Mr.    Richard Sanders of Enron North America last April had such a paragraph (14)?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We understand that the units in question were installed for Enron North America before any notice of the existence of the patents-in-suit by General Electric was given.    In view of this, has there been any confirmation from General Electric that no monetary damages are due 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Has the possibility of a paid-up license for the units delivered    prior to the suit to Enron North America by Power Systems Manufacturing been explored with General Electric?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Has Power Systems Manufacturing received a patent infringement opinion from you or other patent counsel concerning the new design proposed to modify the units installed at New Albany and ___?</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69" w:right="1449" w:gutter="0" w:header="1207" w:top="1264" w:footer="1322" w:bottom="1379"/>
          <w:pgNumType w:fmt="decimal"/>
          <w:formProt w:val="false"/>
          <w:titlePg/>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Please call me if you have any questions regarding these requests.    We would appreciate a prompt reply, since answers to these questions will provide Enron North America information it needs to decide how to proceed on the proposal for modification of the units delivered it by Power Systems Manufacturing.    Thank you in advance for your prompt attention to this matter.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Very truly yours,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Bracewell &amp; Patterson, L.L.P.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 xml:space="preserve">Albert B.    Kimball Jr.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ABK/kc</w:t>
      </w:r>
      <w:r>
        <w:br w:type="page"/>
      </w:r>
    </w:p>
    <w:p>
      <w:pPr>
        <w:pStyle w:val="Normal"/>
        <w:bidi w:val="0"/>
        <w:jc w:val="start"/>
        <w:rPr>
          <w:rFonts w:ascii="Times New Roman" w:hAnsi="Times New Roman"/>
          <w:sz w:val="24"/>
        </w:rPr>
      </w:pPr>
      <w:r>
        <w:rPr>
          <w:rFonts w:ascii="Times New Roman" w:hAnsi="Times New Roman"/>
          <w:sz w:val="24"/>
        </w:rPr>
        <w:t xml:space="preserve">bcc: </w:t>
        <w:tab/>
        <w:t>Dan Lyons</w:t>
      </w:r>
    </w:p>
    <w:p>
      <w:pPr>
        <w:pStyle w:val="Normal"/>
        <w:bidi w:val="0"/>
        <w:spacing w:lineRule="atLeast" w:line="0"/>
        <w:jc w:val="start"/>
        <w:rPr>
          <w:rFonts w:ascii="Times New Roman" w:hAnsi="Times New Roman"/>
          <w:sz w:val="24"/>
        </w:rPr>
      </w:pPr>
      <w:r>
        <w:rPr>
          <w:rFonts w:ascii="Times New Roman" w:hAnsi="Times New Roman"/>
          <w:sz w:val="24"/>
        </w:rPr>
        <w:tab/>
        <w:t>Cle Dade</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569" w:right="1449" w:gutter="0" w:header="1207" w:top="1264" w:footer="1322" w:bottom="1379"/>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6"/>
      </w:rPr>
    </w:pPr>
    <w:r>
      <w:rPr>
        <w:rFonts w:ascii="Times New Roman" w:hAnsi="Times New Roman"/>
        <w:sz w:val="16"/>
      </w:rPr>
      <w:t>KIMBAB\027326\000270</w:t>
    </w:r>
  </w:p>
  <w:p>
    <w:pPr>
      <w:pStyle w:val="Normal"/>
      <w:bidi w:val="0"/>
      <w:spacing w:lineRule="atLeast" w:line="0"/>
      <w:jc w:val="both"/>
      <w:rPr>
        <w:rFonts w:ascii="Times New Roman" w:hAnsi="Times New Roman"/>
        <w:sz w:val="16"/>
      </w:rPr>
    </w:pPr>
    <w:r>
      <w:rPr>
        <w:rFonts w:ascii="Times New Roman" w:hAnsi="Times New Roman"/>
        <w:sz w:val="16"/>
      </w:rPr>
      <w:t>HOUSTON\</w:t>
    </w: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3.782099.CHIFQNEJ1CK4NY5T0SX4PNMVKH5WN5XBB.1.doc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6"/>
      </w:rPr>
    </w:pPr>
    <w:r>
      <w:rPr>
        <w:rFonts w:ascii="Times New Roman" w:hAnsi="Times New Roman"/>
        <w:sz w:val="16"/>
      </w:rPr>
      <w:t>KIMBAB\027326\000270</w:t>
    </w:r>
  </w:p>
  <w:p>
    <w:pPr>
      <w:pStyle w:val="Normal"/>
      <w:bidi w:val="0"/>
      <w:spacing w:lineRule="atLeast" w:line="0"/>
      <w:jc w:val="both"/>
      <w:rPr>
        <w:rFonts w:ascii="Times New Roman" w:hAnsi="Times New Roman"/>
        <w:sz w:val="16"/>
      </w:rPr>
    </w:pPr>
    <w:r>
      <w:rPr>
        <w:rFonts w:ascii="Times New Roman" w:hAnsi="Times New Roman"/>
        <w:sz w:val="16"/>
      </w:rPr>
      <w:t>HOUSTON\</w:t>
    </w: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3.782099.CHIFQNEJ1CK4NY5T0SX4PNMVKH5WN5XBB.1.doc</w:t>
    </w:r>
    <w:r>
      <w:rPr>
        <w:sz w:val="16"/>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B.    Trent Webb, Esq.</w:t>
    </w:r>
  </w:p>
  <w:p>
    <w:pPr>
      <w:pStyle w:val="Normal"/>
      <w:bidi w:val="0"/>
      <w:spacing w:lineRule="atLeast" w:line="0"/>
      <w:jc w:val="both"/>
      <w:rPr>
        <w:rFonts w:ascii="Times New Roman" w:hAnsi="Times New Roman"/>
        <w:sz w:val="24"/>
      </w:rPr>
    </w:pPr>
    <w:r>
      <w:rPr>
        <w:rFonts w:ascii="Times New Roman" w:hAnsi="Times New Roman"/>
        <w:sz w:val="24"/>
      </w:rPr>
      <w:t>September 27, 2000</w:t>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B.    Trent Webb, Esq.</w:t>
    </w:r>
  </w:p>
  <w:p>
    <w:pPr>
      <w:pStyle w:val="Normal"/>
      <w:bidi w:val="0"/>
      <w:spacing w:lineRule="atLeast" w:line="0"/>
      <w:jc w:val="both"/>
      <w:rPr>
        <w:rFonts w:ascii="Times New Roman" w:hAnsi="Times New Roman"/>
        <w:sz w:val="24"/>
      </w:rPr>
    </w:pPr>
    <w:r>
      <w:rPr>
        <w:rFonts w:ascii="Times New Roman" w:hAnsi="Times New Roman"/>
        <w:sz w:val="24"/>
      </w:rPr>
      <w:t>September 27, 2000</w:t>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