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sz w:val="20"/>
        </w:rPr>
      </w:pPr>
      <w:r>
        <w:rPr>
          <w:b/>
          <w:sz w:val="40"/>
        </w:rPr>
        <w:t>Data Room Index (12/19/01)</w:t>
      </w:r>
    </w:p>
    <w:p>
      <w:pPr>
        <w:pStyle w:val="Normal"/>
        <w:widowControl/>
        <w:bidi w:val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center"/>
        <w:rPr>
          <w:sz w:val="20"/>
        </w:rPr>
      </w:pPr>
      <w:r>
        <w:rPr>
          <w:sz w:val="20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864" w:footer="720" w:bottom="1008"/>
          <w:pgNumType w:fmt="decimal"/>
          <w:formProt w:val="false"/>
          <w:textDirection w:val="lrTb"/>
        </w:sectPr>
      </w:pP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b/>
          <w:sz w:val="20"/>
        </w:rPr>
        <w:t xml:space="preserve">I. </w:t>
        <w:tab/>
      </w:r>
      <w:r>
        <w:rPr>
          <w:b/>
          <w:sz w:val="20"/>
          <w:u w:val="single"/>
        </w:rPr>
        <w:t>ASSET FILES RELATED DOCUMENTS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  <w:t>BOX 1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9"/>
        </w:numPr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Trademarks and Domain Names (1 jacket)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US; Canada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(Mark Holsworth (713) 853-7285; Scott Brown (713) 758-1105 V&amp;E)</w:t>
      </w:r>
    </w:p>
    <w:p>
      <w:pPr>
        <w:pStyle w:val="1Numbers2"/>
        <w:widowControl/>
        <w:numPr>
          <w:ilvl w:val="0"/>
          <w:numId w:val="8"/>
        </w:numPr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Patent Matters:  (3 jackets) (Information may only be reviewed at Enron and may not be copied)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 xml:space="preserve">Patents; </w:t>
        <w:tab/>
        <w:t>Related Litigation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(Anne Koehler (713) 853-3448)</w:t>
      </w:r>
    </w:p>
    <w:p>
      <w:pPr>
        <w:pStyle w:val="1Numbers2"/>
        <w:widowControl/>
        <w:numPr>
          <w:ilvl w:val="0"/>
          <w:numId w:val="8"/>
        </w:numPr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Real Estate (1 jacket)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Houston:  North and South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Portland; Calgary; Toronto</w:t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sz w:val="20"/>
        </w:rPr>
        <w:tab/>
        <w:t>(Elizabeth Labanowski (713) 853-6710; Lance McCarthy (713) 853-7141)</w:t>
      </w: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  <w:t>BOX 2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1Numbers2"/>
        <w:widowControl/>
        <w:numPr>
          <w:ilvl w:val="0"/>
          <w:numId w:val="10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Contracts:  Market Data and Research (1 jacket)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All sourced out of Houston for Houston and outer offices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(Global Strategic Sourcing: Paula Corey (713) 853-9948; Danielle Marcinkowski (713) 853-7926;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Peter Goebal (713) 646- 7810)</w:t>
      </w:r>
    </w:p>
    <w:p>
      <w:pPr>
        <w:pStyle w:val="1Numbers2"/>
        <w:widowControl/>
        <w:numPr>
          <w:ilvl w:val="0"/>
          <w:numId w:val="10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Furniture, Fixtures, Equipment (2 jackets)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GE Capital Financing Documents relating to certain furniture Houston Center North and South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Houston:  North and South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Portland; Calgary; Toronto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(Joel Ephross (713)345-4998; (GE  Financing) Mike Harrelson (713) 345-8416; Dan Dietrich (713) 345-8836;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Bill Donovan (713) 853-5459; Anna Mehrer (503) 464-3834 Enron Portland )</w:t>
      </w:r>
    </w:p>
    <w:p>
      <w:pPr>
        <w:pStyle w:val="1Numbers2"/>
        <w:widowControl/>
        <w:numPr>
          <w:ilvl w:val="0"/>
          <w:numId w:val="10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Telecommunication and Telephone (also see Furniture, Fixtures, Equipment) (1 jacket)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Houston; Portland; Calgary/Toronto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Internet Lines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(Mike Harrelson (713) 345-8416; Peter Goebel (713) 646-7810; Keith Dziadek (713) 646-6236)</w:t>
      </w:r>
    </w:p>
    <w:p>
      <w:pPr>
        <w:pStyle w:val="1Numbers2"/>
        <w:widowControl/>
        <w:numPr>
          <w:ilvl w:val="0"/>
          <w:numId w:val="10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EOL Commercial and Technical Agreements (Buildout) (1 jacket)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(Anne Koehler (713) 853-3448 (cell 832 439 3619); Tana Jones (713) 853-3399)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  <w:t>BOX 3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 xml:space="preserve">Computer Software/EOL and Backoffice (1 jacket combined with item 9)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(Tommy Yanowski (713) 853-6858 (cell (713) 539-7094); Jay Webb (713) 853-5863 (cell 713 504 7540);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Kevin Montagne (713) 853-1903 (cell (713) 503-0539); Roger Ross (713) 546-5000, (650) 802-3087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(cell (415) 652-8695);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Anne Koehler (713-853 3448 (cell 832 439 3619); Mary Cook (713) 345-7732 (713) 661-5521)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Computer Hardware/EOL and Backoffice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(Tommy Yanowski (713) 853-6858 (cell 713 539 7094); Jay Webb (713) 853-5863 (cell (713) 504-7540);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Kevin Montagne (713) 853-1903 (cell 713 503 0539); Bob McAuliffe (713) 853-7468 (cell 713 504 1694)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Bob Hillier (713) 853-0305 (cell 713 851 0674); Roger Ross (713) 546-5000, (650) 802-3087 (cell 415 652 8695)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Anne Koehler (713) 853-3448 (cell 832 439 3619); Mary Cook (713) 345-7732 (713 661 5521)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Licenses (3 jackets)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EOL; Backoffice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(Tommy Yanowski (713) 853-6858 (cell 713 539 7094); Jay Webb (713) 853-5863 (cell 713 504 7540);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Kevin Montagne (713) 853-1903 (cell 713 503 0539); Bob McAuliffe (713) 853 7468 (cell 713 504 1694);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Bob Hillier (713) 853-0305 (cell 713 851 0674); Roger Ross (713) 546-5000, 650 802 3087 (cell 415 652 8695)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Anne Koehler (713) 853-3448 (cell 832 439 3619); Mary Cook (713) 345-7732 (713 661 5521)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Agreements to Provide Bridgeline and AEP/HPL IT Services (1 jacket)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(Anne Koehler (713) 853-3448 (cell 832 439 3619)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Broker Client Agreements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b/>
          <w:sz w:val="20"/>
        </w:rPr>
      </w:pPr>
      <w:r>
        <w:rPr>
          <w:b/>
          <w:sz w:val="20"/>
        </w:rPr>
        <w:t xml:space="preserve">II. </w:t>
        <w:tab/>
      </w:r>
      <w:r>
        <w:rPr>
          <w:b/>
          <w:sz w:val="20"/>
          <w:u w:val="single"/>
        </w:rPr>
        <w:t>MISCELLANEOUS ASSET RELATED DOCUMENTS</w:t>
      </w:r>
      <w:r>
        <w:rPr>
          <w:b/>
          <w:sz w:val="20"/>
        </w:rPr>
        <w:t xml:space="preserve"> </w:t>
      </w: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  <w:t>BOX 4</w:t>
      </w: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12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EOL Agreements and Descriptions (1 jacket)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(Tana Jones (713) 853-3399)</w:t>
      </w:r>
    </w:p>
    <w:p>
      <w:pPr>
        <w:pStyle w:val="1Numbers2"/>
        <w:widowControl/>
        <w:numPr>
          <w:ilvl w:val="0"/>
          <w:numId w:val="12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Enron Forms of Trading Contracts with Summaries (1 Notebook)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(Contact Tana Jones (713) 853-3399) for appropriate Legal Department responsibilities) 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(see multiple jackets contained in Boxes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 5, 6 and 7).</w:t>
      </w:r>
    </w:p>
    <w:p>
      <w:pPr>
        <w:pStyle w:val="1Numbers2"/>
        <w:widowControl/>
        <w:numPr>
          <w:ilvl w:val="0"/>
          <w:numId w:val="12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Top Gas Power Financial and Physical Counterparty Contracts (multiple jackets and see separate index)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(Marie Heard (713) 853-3907; Genia Fitzgerald (713) 853-6389)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4.    Other Enron Form Agreements (Michelle Cash (713) 853 6401; Mark Holsworth (713) 853-7285)</w:t>
      </w:r>
    </w:p>
    <w:p>
      <w:pPr>
        <w:pStyle w:val="1Numbers2"/>
        <w:widowControl/>
        <w:tabs>
          <w:tab w:val="left" w:pos="720" w:leader="none"/>
          <w:tab w:val="left" w:pos="1440" w:leader="none"/>
        </w:tabs>
        <w:bidi w:val="0"/>
        <w:ind w:hanging="0" w:start="360" w:end="0"/>
        <w:jc w:val="start"/>
        <w:rPr>
          <w:sz w:val="20"/>
        </w:rPr>
      </w:pPr>
      <w:r>
        <w:rPr>
          <w:sz w:val="20"/>
        </w:rPr>
        <w:t>5.    Enron Net Works LLC Employee List (as of 12/10/01)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Kiodex Agreement (Anne Koehler (713) 853-3448)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Floor Plans for ECN and Trading Floors on ECS (copy only available on floor)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Curve Data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Business Information:  Financial-RAC-Audits-Operations-Models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Application Context Diagrams:  Enron North America, Enron Global Markets, Enron Industrial Markets, Enron Europe</w:t>
      </w:r>
    </w:p>
    <w:p>
      <w:pPr>
        <w:pStyle w:val="1Numbers2"/>
        <w:widowControl/>
        <w:numPr>
          <w:ilvl w:val="0"/>
          <w:numId w:val="11"/>
        </w:numPr>
        <w:tabs>
          <w:tab w:val="left" w:pos="720" w:leader="none"/>
          <w:tab w:val="left" w:pos="1440" w:leader="none"/>
        </w:tabs>
        <w:bidi w:val="0"/>
        <w:ind w:hanging="360" w:start="720" w:end="0"/>
        <w:jc w:val="start"/>
        <w:rPr>
          <w:sz w:val="20"/>
        </w:rPr>
      </w:pPr>
      <w:r>
        <w:rPr>
          <w:sz w:val="20"/>
        </w:rPr>
        <w:t>IT Control Standards</w:t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tabs>
          <w:tab w:val="left" w:pos="720" w:leader="none"/>
        </w:tabs>
        <w:bidi w:val="0"/>
        <w:ind w:hanging="720" w:start="720" w:end="0"/>
        <w:jc w:val="start"/>
        <w:rPr>
          <w:sz w:val="20"/>
        </w:rPr>
      </w:pPr>
      <w:r>
        <w:rPr>
          <w:b/>
          <w:sz w:val="20"/>
        </w:rPr>
        <w:t xml:space="preserve">III. </w:t>
        <w:tab/>
      </w:r>
      <w:r>
        <w:rPr>
          <w:b/>
          <w:sz w:val="20"/>
          <w:u w:val="single"/>
        </w:rPr>
        <w:t>TOP GAS POWER FINANCIAL AND PHYSICAL COUNTERPARTY CONTRACTS</w:t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b/>
          <w:sz w:val="20"/>
        </w:rPr>
        <w:tab/>
        <w:t>BOXES 5, 6 &amp; 7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  <w:tab/>
        <w:t>See Appendix I Listing of Trading Contracts with Highest Volume/Value Counterparties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b/>
          <w:sz w:val="20"/>
        </w:rPr>
        <w:t>IV.</w:t>
      </w:r>
      <w:r>
        <w:rPr>
          <w:sz w:val="20"/>
        </w:rPr>
        <w:tab/>
      </w:r>
      <w:r>
        <w:rPr>
          <w:b/>
          <w:sz w:val="20"/>
          <w:u w:val="single"/>
        </w:rPr>
        <w:t>RISK MANAGEMENT MATERIALS</w:t>
      </w:r>
      <w:r>
        <w:rPr>
          <w:sz w:val="20"/>
        </w:rPr>
        <w:t xml:space="preserve"> </w:t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sz w:val="20"/>
        </w:rPr>
        <w:tab/>
        <w:t xml:space="preserve">(Phillip Allen (713) 853-7041; Jeff Gossett (713) 853-7306); Stacey White ( 713) 853-1870) </w:t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b/>
          <w:sz w:val="20"/>
        </w:rPr>
        <w:tab/>
        <w:t>BOXES 8 &amp; 9</w:t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b/>
          <w:sz w:val="20"/>
        </w:rPr>
        <w:tab/>
        <w:t>ENA RISK MANAGEMENT BINDER</w:t>
      </w:r>
    </w:p>
    <w:p>
      <w:pPr>
        <w:pStyle w:val="Normal"/>
        <w:widowControl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ENA YTD 2001 Earnings Estimate</w:t>
      </w: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VaR by Commodity</w:t>
      </w: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Monthly Cross Commodity Trading Reports (July 2000 - YTD 2001)</w:t>
      </w: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EOL Volumes</w:t>
      </w: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Financial Market Making - Product Type and Term</w:t>
        <w:tab/>
        <w:tab/>
        <w:tab/>
        <w:tab/>
      </w:r>
    </w:p>
    <w:p>
      <w:pPr>
        <w:pStyle w:val="1Numbers2"/>
        <w:widowControl/>
        <w:numPr>
          <w:ilvl w:val="0"/>
          <w:numId w:val="1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Bios and Resumes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b/>
          <w:sz w:val="20"/>
        </w:rPr>
        <w:t>POWER RISK MANAGEMENT BINDER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2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East &amp; West Power: Daily Position Reports (Oct. '01)</w:t>
      </w:r>
    </w:p>
    <w:p>
      <w:pPr>
        <w:pStyle w:val="1Numbers2"/>
        <w:widowControl/>
        <w:numPr>
          <w:ilvl w:val="0"/>
          <w:numId w:val="2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East Month End Reports</w:t>
      </w:r>
    </w:p>
    <w:p>
      <w:pPr>
        <w:pStyle w:val="1Numbers2"/>
        <w:widowControl/>
        <w:numPr>
          <w:ilvl w:val="0"/>
          <w:numId w:val="2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West Month End Reports</w:t>
      </w:r>
    </w:p>
    <w:p>
      <w:pPr>
        <w:pStyle w:val="1Numbers2"/>
        <w:widowControl/>
        <w:numPr>
          <w:ilvl w:val="0"/>
          <w:numId w:val="2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Forward Power Curves</w:t>
      </w:r>
    </w:p>
    <w:p>
      <w:pPr>
        <w:pStyle w:val="1Numbers2"/>
        <w:widowControl/>
        <w:numPr>
          <w:ilvl w:val="0"/>
          <w:numId w:val="2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"Power Risk Books (Jan. 18, '01, Jan. 31, '01, June 20, '01, July 16, '01, Sept. 24, '01)"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b/>
          <w:sz w:val="20"/>
        </w:rPr>
      </w:pPr>
      <w:r>
        <w:rPr>
          <w:sz w:val="20"/>
        </w:rPr>
        <w:tab/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b/>
          <w:sz w:val="20"/>
        </w:rPr>
        <w:t>JACKET CONTAINING CURVE SHIFT AND NEW DEALS,</w:t>
      </w:r>
      <w:r>
        <w:rPr>
          <w:sz w:val="20"/>
        </w:rPr>
        <w:t xml:space="preserve"> West Management, and LT-NW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PlainText"/>
        <w:widowControl/>
        <w:shd w:fill="FFFFFF"/>
        <w:bidi w:val="0"/>
        <w:spacing w:lineRule="atLeast" w:line="26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JACKET CONTAINING DELTA POSITIONS 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PlainText"/>
        <w:widowControl/>
        <w:shd w:fill="FFFFFF"/>
        <w:bidi w:val="0"/>
        <w:spacing w:lineRule="atLeast" w:line="261"/>
        <w:rPr>
          <w:rFonts w:ascii="Times New Roman" w:hAnsi="Times New Roman"/>
        </w:rPr>
      </w:pPr>
      <w:r>
        <w:rPr>
          <w:rFonts w:ascii="Times New Roman" w:hAnsi="Times New Roman"/>
          <w:b/>
        </w:rPr>
        <w:t>GAS RISK MANAGEMENT BINDER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3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P&amp;L By Book ( Month end; Daily report for Oct. '01)</w:t>
      </w:r>
    </w:p>
    <w:p>
      <w:pPr>
        <w:pStyle w:val="1Numbers2"/>
        <w:widowControl/>
        <w:numPr>
          <w:ilvl w:val="0"/>
          <w:numId w:val="3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"Basis Positions (Total, By Trader)"</w:t>
      </w:r>
    </w:p>
    <w:p>
      <w:pPr>
        <w:pStyle w:val="1Numbers2"/>
        <w:widowControl/>
        <w:numPr>
          <w:ilvl w:val="0"/>
          <w:numId w:val="3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Positions By Book</w:t>
      </w:r>
    </w:p>
    <w:p>
      <w:pPr>
        <w:pStyle w:val="1Numbers2"/>
        <w:widowControl/>
        <w:numPr>
          <w:ilvl w:val="0"/>
          <w:numId w:val="3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"Prices as of Nov. 29, '01"</w:t>
      </w:r>
    </w:p>
    <w:p>
      <w:pPr>
        <w:pStyle w:val="1Numbers2"/>
        <w:widowControl/>
        <w:numPr>
          <w:ilvl w:val="0"/>
          <w:numId w:val="3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"Var, P&amp;L and Pricing :  1/18, 1/31, 6/20, 7/16, 9/24"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shd w:fill="FFFFFF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</w:tabs>
        <w:bidi w:val="0"/>
        <w:spacing w:lineRule="atLeast" w:line="261"/>
        <w:ind w:hanging="7200" w:start="7200" w:end="0"/>
        <w:jc w:val="both"/>
        <w:rPr>
          <w:sz w:val="20"/>
        </w:rPr>
      </w:pPr>
      <w:r>
        <w:rPr>
          <w:b/>
          <w:sz w:val="20"/>
        </w:rPr>
        <w:t xml:space="preserve">BINDER CONTAINING </w:t>
      </w:r>
      <w:r>
        <w:rPr>
          <w:sz w:val="20"/>
        </w:rPr>
        <w:t xml:space="preserve"> </w:t>
      </w:r>
      <w:r>
        <w:rPr>
          <w:b/>
          <w:sz w:val="20"/>
        </w:rPr>
        <w:t>NATURAL GAS P&amp;L BY BOOK</w:t>
      </w:r>
      <w:r>
        <w:rPr>
          <w:sz w:val="20"/>
        </w:rPr>
        <w:t xml:space="preserve"> (3/26-4/25/01)</w:t>
        <w:tab/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b/>
          <w:sz w:val="20"/>
        </w:rPr>
        <w:t xml:space="preserve">BINDER CONTAINING </w:t>
      </w:r>
      <w:r>
        <w:rPr>
          <w:sz w:val="20"/>
        </w:rPr>
        <w:t xml:space="preserve"> </w:t>
      </w:r>
      <w:r>
        <w:rPr>
          <w:b/>
          <w:sz w:val="20"/>
        </w:rPr>
        <w:t>NATURAL GAS P&amp;L BY BOOK</w:t>
      </w:r>
      <w:r>
        <w:rPr>
          <w:sz w:val="20"/>
        </w:rPr>
        <w:t xml:space="preserve"> (4/27-6/11/01)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b/>
          <w:sz w:val="20"/>
        </w:rPr>
        <w:t>JACKET CONTAINING  BASIS INFORMATION</w:t>
      </w:r>
    </w:p>
    <w:p>
      <w:pPr>
        <w:pStyle w:val="PlainText"/>
        <w:widowControl/>
        <w:shd w:fill="FFFFFF"/>
        <w:bidi w:val="0"/>
        <w:spacing w:lineRule="atLeast" w:line="2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b/>
          <w:sz w:val="20"/>
        </w:rPr>
      </w:pPr>
      <w:r>
        <w:rPr>
          <w:b/>
          <w:sz w:val="20"/>
        </w:rPr>
        <w:t>BOX 9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shd w:fill="FFFFFF"/>
        <w:tabs>
          <w:tab w:val="left" w:pos="720" w:leader="none"/>
        </w:tabs>
        <w:bidi w:val="0"/>
        <w:spacing w:lineRule="atLeast" w:line="261"/>
        <w:ind w:hanging="720" w:start="720" w:end="0"/>
        <w:jc w:val="both"/>
        <w:rPr>
          <w:sz w:val="20"/>
        </w:rPr>
      </w:pPr>
      <w:r>
        <w:rPr>
          <w:b/>
          <w:sz w:val="20"/>
        </w:rPr>
        <w:t xml:space="preserve">V. </w:t>
        <w:tab/>
      </w:r>
      <w:r>
        <w:rPr>
          <w:b/>
          <w:sz w:val="20"/>
          <w:u w:val="single"/>
        </w:rPr>
        <w:t>ACCOUNTING INFORMATION BINDER</w:t>
      </w:r>
      <w:r>
        <w:rPr>
          <w:b/>
          <w:sz w:val="20"/>
        </w:rPr>
        <w:t xml:space="preserve"> (Wes Colwell (713) 853-7249)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EBIT/Cash Flow: 1998 - YTD 2001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PRM Rollforward - Detail of Risk Mgt. Activities (2000 - YTD 2001)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PRM Balance - Qtr by Qtr (2001)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Gas &amp; Power Roll Out of Book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Net Asset Schedule - Qtr by Qtr (2000 - YTD 2001)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2002 Pro-Forma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2002 Plan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EBIT Analysis (Recurring Trading)</w:t>
      </w:r>
    </w:p>
    <w:p>
      <w:pPr>
        <w:pStyle w:val="1Numbers2"/>
        <w:widowControl/>
        <w:numPr>
          <w:ilvl w:val="0"/>
          <w:numId w:val="4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Working Capital Projection (Worst Case)</w:t>
        <w:tab/>
        <w:tab/>
        <w:tab/>
        <w:tab/>
      </w:r>
    </w:p>
    <w:p>
      <w:pPr>
        <w:pStyle w:val="PlainText"/>
        <w:widowControl/>
        <w:shd w:fill="FFFFFF"/>
        <w:bidi w:val="0"/>
        <w:spacing w:lineRule="atLeast" w:line="26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PlainText"/>
        <w:widowControl/>
        <w:shd w:fill="FFFFFF"/>
        <w:tabs>
          <w:tab w:val="left" w:pos="720" w:leader="none"/>
        </w:tabs>
        <w:bidi w:val="0"/>
        <w:spacing w:lineRule="atLeast" w:line="261"/>
        <w:ind w:hanging="720" w:start="720" w:end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VI. </w:t>
        <w:tab/>
      </w:r>
      <w:r>
        <w:rPr>
          <w:rFonts w:ascii="Times New Roman" w:hAnsi="Times New Roman"/>
          <w:b/>
          <w:u w:val="single"/>
        </w:rPr>
        <w:t>RISK ASSESSMENT&amp; CONTROL BINDER</w:t>
      </w:r>
      <w:r>
        <w:rPr>
          <w:rFonts w:ascii="Times New Roman" w:hAnsi="Times New Roman"/>
          <w:b/>
        </w:rPr>
        <w:t xml:space="preserve"> (David Port (713) 853-9823)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Risk Policy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VaR Presentation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VaR Overview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VaR Diversification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Component VaR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VaR @ 99% Confidence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Limits/Utilization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Backtest by Year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Backtest by Desk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New Co VaR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EVT Presentation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Position/VaR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Stress Tests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New Co Pos/Stress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Deal Volume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P&amp;L Breakdown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Curve Validation</w:t>
      </w:r>
    </w:p>
    <w:p>
      <w:pPr>
        <w:pStyle w:val="1Numbers2"/>
        <w:widowControl/>
        <w:numPr>
          <w:ilvl w:val="0"/>
          <w:numId w:val="5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Model Notes</w:t>
        <w:tab/>
        <w:tab/>
        <w:tab/>
        <w:tab/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PlainText"/>
        <w:widowControl/>
        <w:shd w:fill="FFFFFF"/>
        <w:tabs>
          <w:tab w:val="left" w:pos="720" w:leader="none"/>
        </w:tabs>
        <w:bidi w:val="0"/>
        <w:spacing w:lineRule="atLeast" w:line="261"/>
        <w:ind w:hanging="720" w:start="720" w:end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VIII. </w:t>
        <w:tab/>
      </w:r>
      <w:r>
        <w:rPr>
          <w:rFonts w:ascii="Times New Roman" w:hAnsi="Times New Roman"/>
          <w:b/>
          <w:u w:val="single"/>
        </w:rPr>
        <w:t>CREDIT BINDER</w:t>
      </w:r>
      <w:r>
        <w:rPr>
          <w:rFonts w:ascii="Times New Roman" w:hAnsi="Times New Roman"/>
          <w:b/>
        </w:rPr>
        <w:t xml:space="preserve"> (Bill Bradford (713) 853-3831)</w:t>
      </w:r>
      <w:r>
        <w:rPr>
          <w:rFonts w:ascii="Times New Roman" w:hAnsi="Times New Roman"/>
        </w:rPr>
        <w:t xml:space="preserve"> </w:t>
      </w:r>
    </w:p>
    <w:p>
      <w:pPr>
        <w:pStyle w:val="PlainText"/>
        <w:widowControl/>
        <w:shd w:fill="FFFFFF"/>
        <w:bidi w:val="0"/>
        <w:spacing w:lineRule="atLeast" w:line="26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6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Gross National Positions by Commodity</w:t>
      </w:r>
    </w:p>
    <w:p>
      <w:pPr>
        <w:pStyle w:val="1Numbers2"/>
        <w:widowControl/>
        <w:numPr>
          <w:ilvl w:val="0"/>
          <w:numId w:val="6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EOL Credit Checking Calculation</w:t>
      </w:r>
    </w:p>
    <w:p>
      <w:pPr>
        <w:pStyle w:val="1Numbers2"/>
        <w:widowControl/>
        <w:numPr>
          <w:ilvl w:val="0"/>
          <w:numId w:val="6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Credit Reserve Enron Corp Enron Americas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shd w:fill="FFFFFF"/>
        <w:tabs>
          <w:tab w:val="left" w:pos="720" w:leader="none"/>
        </w:tabs>
        <w:bidi w:val="0"/>
        <w:spacing w:lineRule="atLeast" w:line="261"/>
        <w:ind w:hanging="720" w:start="720" w:end="0"/>
        <w:jc w:val="both"/>
        <w:rPr>
          <w:sz w:val="20"/>
        </w:rPr>
      </w:pPr>
      <w:r>
        <w:rPr>
          <w:b/>
          <w:sz w:val="20"/>
        </w:rPr>
        <w:t xml:space="preserve">VIII. </w:t>
        <w:tab/>
      </w:r>
      <w:r>
        <w:rPr>
          <w:b/>
          <w:sz w:val="20"/>
          <w:u w:val="single"/>
        </w:rPr>
        <w:t>GLOBAL RISK MANAGEMENT OPERATIONS BINDER</w:t>
      </w:r>
      <w:r>
        <w:rPr>
          <w:b/>
          <w:sz w:val="20"/>
        </w:rPr>
        <w:t xml:space="preserve"> (Sally Beck (713) 853-5926)</w:t>
      </w:r>
      <w:r>
        <w:rPr>
          <w:sz w:val="20"/>
        </w:rPr>
        <w:t xml:space="preserve"> 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Organizational Charts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Commodity Specific Risk Reports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Monthly Operating Report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Monthly Cash Collection Report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Process Flows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Documentation Reports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Daily Position Report - Global Risk Operations</w:t>
      </w:r>
    </w:p>
    <w:p>
      <w:pPr>
        <w:pStyle w:val="1Numbers2"/>
        <w:widowControl/>
        <w:numPr>
          <w:ilvl w:val="0"/>
          <w:numId w:val="7"/>
        </w:numPr>
        <w:shd w:fill="FFFFFF"/>
        <w:tabs>
          <w:tab w:val="left" w:pos="720" w:leader="none"/>
          <w:tab w:val="left" w:pos="1440" w:leader="none"/>
        </w:tabs>
        <w:bidi w:val="0"/>
        <w:spacing w:lineRule="atLeast" w:line="261"/>
        <w:ind w:hanging="1440" w:start="1440" w:end="0"/>
        <w:rPr>
          <w:sz w:val="20"/>
        </w:rPr>
      </w:pPr>
      <w:r>
        <w:rPr>
          <w:sz w:val="20"/>
        </w:rPr>
        <w:t>Responsibilities of Global Risk Operations</w:t>
      </w:r>
    </w:p>
    <w:p>
      <w:pPr>
        <w:pStyle w:val="Normal"/>
        <w:widowControl/>
        <w:shd w:fill="FFFFFF"/>
        <w:bidi w:val="0"/>
        <w:spacing w:lineRule="atLeast" w:line="261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widowControl/>
        <w:shd w:fill="FFFFFF"/>
        <w:bidi w:val="0"/>
        <w:spacing w:lineRule="atLeast" w:line="261" w:before="0" w:after="0"/>
        <w:ind w:hanging="0" w:start="0" w:end="0"/>
        <w:jc w:val="both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2240" w:h="15840"/>
          <w:pgMar w:left="720" w:right="720" w:gutter="0" w:header="0" w:top="864" w:footer="720" w:bottom="1008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widowControl/>
        <w:bidi w:val="0"/>
        <w:ind w:hanging="0" w:start="0" w:end="0"/>
        <w:jc w:val="start"/>
        <w:rPr>
          <w:b/>
          <w:sz w:val="20"/>
        </w:rPr>
      </w:pPr>
      <w:r>
        <w:rPr>
          <w:b/>
          <w:sz w:val="20"/>
        </w:rPr>
        <w:tab/>
        <w:tab/>
        <w:tab/>
        <w:tab/>
        <w:tab/>
        <w:t>APPENDIX I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b/>
          <w:sz w:val="20"/>
        </w:rPr>
        <w:t>LISTING OF TRADING CONTRACTS WITH HIGHEST VOLUME/VALUE COUNTERPARTIES</w:t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widowControl/>
        <w:bidi w:val="0"/>
        <w:ind w:hanging="0" w:start="0" w:end="0"/>
        <w:jc w:val="start"/>
        <w:rPr>
          <w:sz w:val="20"/>
        </w:rPr>
      </w:pPr>
      <w:r>
        <w:rPr>
          <w:sz w:val="20"/>
        </w:rPr>
      </w:r>
    </w:p>
    <w:tbl>
      <w:tblPr>
        <w:tblW w:w="9000" w:type="dxa"/>
        <w:jc w:val="start"/>
        <w:tblInd w:w="109" w:type="dxa"/>
        <w:tblLayout w:type="fixed"/>
        <w:tblCellMar>
          <w:top w:w="0" w:type="dxa"/>
          <w:start w:w="102" w:type="dxa"/>
          <w:bottom w:w="0" w:type="dxa"/>
          <w:end w:w="102" w:type="dxa"/>
        </w:tblCellMar>
      </w:tblPr>
      <w:tblGrid>
        <w:gridCol w:w="6768"/>
        <w:gridCol w:w="792"/>
        <w:gridCol w:w="810"/>
        <w:gridCol w:w="629"/>
      </w:tblGrid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b/>
                <w:sz w:val="20"/>
                <w:u w:val="single"/>
              </w:rPr>
              <w:t>COUNTERPARTY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b/>
                <w:sz w:val="20"/>
              </w:rPr>
              <w:t>Finan.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b/>
                <w:sz w:val="20"/>
              </w:rPr>
              <w:t>Power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b/>
                <w:sz w:val="20"/>
              </w:rPr>
              <w:t>Gas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AEP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Allegheny Energy Supply Co.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American Electric Power Source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Aquila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Bank of America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BP Energy Company (BP Corp. North America; BP Canada Energy Co.)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Calpine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Cargill, Incorporated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Cargill-Alliant LLC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Cinergy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CMS Marketing, Services and Trading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Connectiv Energy Supply, Inc.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Constellation Power Source, Inc.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Cook Inlet Energy Supply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Coral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Duke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Dynegy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El Paso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Engage Energy America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Engage Energy Canada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Entergy-Koch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eprime, Inc.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Exelon Generation Co., LLC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Goldman Sachs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H.Q. Energy Services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IDACORP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J. Aron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Mirant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Morgan Stanley Capital Group, Inc.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PG&amp;E Energy Trading - Power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PG&amp;E Energy Trading - Gas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PG&amp;E Energy Trading Canada Corp.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PPL EnergyPlus, LLC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PSEG Energy Resources &amp; Trade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Reliant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Sempra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Tractebel Energy Marketing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TXU Energy Trading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  <w:tr>
        <w:trPr/>
        <w:tc>
          <w:tcPr>
            <w:tcW w:w="67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Williams</w:t>
            </w:r>
          </w:p>
        </w:tc>
        <w:tc>
          <w:tcPr>
            <w:tcW w:w="7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F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P</w:t>
            </w:r>
          </w:p>
        </w:tc>
        <w:tc>
          <w:tcPr>
            <w:tcW w:w="6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hd w:fill="FFFFFF"/>
              <w:tabs>
                <w:tab w:val="clear" w:pos="720"/>
              </w:tabs>
              <w:bidi w:val="0"/>
              <w:ind w:hanging="0" w:start="0" w:end="0"/>
              <w:jc w:val="both"/>
              <w:rPr/>
            </w:pPr>
            <w:r>
              <w:rPr>
                <w:sz w:val="20"/>
              </w:rPr>
              <w:t>G</w:t>
            </w:r>
          </w:p>
        </w:tc>
      </w:tr>
    </w:tbl>
    <w:p>
      <w:pPr>
        <w:pStyle w:val="Normal"/>
        <w:widowControl/>
        <w:shd w:fill="FFFFFF"/>
        <w:bidi w:val="0"/>
        <w:spacing w:lineRule="atLeast" w:line="261"/>
        <w:ind w:hanging="0" w:start="0" w:end="0"/>
        <w:jc w:val="start"/>
        <w:rPr>
          <w:sz w:val="20"/>
        </w:rPr>
      </w:pPr>
      <w:r>
        <w:rPr>
          <w:sz w:val="20"/>
        </w:rPr>
      </w:r>
    </w:p>
    <w:sectPr>
      <w:footerReference w:type="default" r:id="rId5"/>
      <w:type w:val="nextPage"/>
      <w:pgSz w:w="12240" w:h="15840"/>
      <w:pgMar w:left="1440" w:right="720" w:gutter="0" w:header="0" w:top="864" w:footer="720" w:bottom="10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page">
                <wp:posOffset>6949440</wp:posOffset>
              </wp:positionH>
              <wp:positionV relativeFrom="page">
                <wp:posOffset>9601835</wp:posOffset>
              </wp:positionV>
              <wp:extent cx="365760" cy="14668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end"/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8.8pt;height:11.55pt;mso-wrap-distance-left:0pt;mso-wrap-distance-right:0pt;mso-wrap-distance-top:0pt;mso-wrap-distance-bottom:0pt;margin-top:756.05pt;mso-position-vertical-relative:page;margin-left:547.2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end"/>
                      <w:rPr>
                        <w:rStyle w:val="PageNumber"/>
                        <w:rFonts w:ascii="Times New Roman" w:hAnsi="Times New Roman"/>
                        <w:sz w:val="20"/>
                      </w:rPr>
                    </w:pP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t>4</w: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page">
                <wp:posOffset>6949440</wp:posOffset>
              </wp:positionH>
              <wp:positionV relativeFrom="page">
                <wp:posOffset>9601835</wp:posOffset>
              </wp:positionV>
              <wp:extent cx="365760" cy="146685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end"/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8.8pt;height:11.55pt;mso-wrap-distance-left:0pt;mso-wrap-distance-right:0pt;mso-wrap-distance-top:0pt;mso-wrap-distance-bottom:0pt;margin-top:756.05pt;mso-position-vertical-relative:page;margin-left:547.2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end"/>
                      <w:rPr>
                        <w:rStyle w:val="PageNumber"/>
                        <w:rFonts w:ascii="Times New Roman" w:hAnsi="Times New Roman"/>
                        <w:sz w:val="20"/>
                      </w:rPr>
                    </w:pP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t>4</w: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page">
                <wp:posOffset>6949440</wp:posOffset>
              </wp:positionH>
              <wp:positionV relativeFrom="page">
                <wp:posOffset>9601835</wp:posOffset>
              </wp:positionV>
              <wp:extent cx="365760" cy="146685"/>
              <wp:effectExtent l="0" t="0" r="0" b="0"/>
              <wp:wrapTopAndBottom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bidi w:val="0"/>
                            <w:jc w:val="end"/>
                            <w:rPr>
                              <w:rStyle w:val="PageNumber"/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0"/>
                              <w:lang w:val="en-US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8.8pt;height:11.55pt;mso-wrap-distance-left:0pt;mso-wrap-distance-right:0pt;mso-wrap-distance-top:0pt;mso-wrap-distance-bottom:0pt;margin-top:756.05pt;mso-position-vertical-relative:page;margin-left:547.2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bidi w:val="0"/>
                      <w:jc w:val="end"/>
                      <w:rPr>
                        <w:rStyle w:val="PageNumber"/>
                        <w:rFonts w:ascii="Times New Roman" w:hAnsi="Times New Roman"/>
                        <w:sz w:val="20"/>
                      </w:rPr>
                    </w:pP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t>5</w:t>
                    </w:r>
                    <w:r>
                      <w:rPr>
                        <w:rStyle w:val="PageNumber"/>
                        <w:sz w:val="20"/>
                        <w:lang w:val="en-US" w:eastAsia="en-US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5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7">
    <w:lvl w:ilvl="0">
      <w:start w:val="1"/>
      <w:numFmt w:val="decimal"/>
      <w:lvlText w:val="%1"/>
      <w:lvlJc w:val="start"/>
      <w:pPr>
        <w:tabs>
          <w:tab w:val="num" w:pos="0"/>
        </w:tabs>
        <w:ind w:start="1440" w:hanging="1440"/>
      </w:pPr>
      <w:rPr/>
    </w:lvl>
    <w:lvl w:ilvl="1">
      <w:start w:val="1"/>
      <w:numFmt w:val="decimal"/>
      <w:lvlText w:val="%2"/>
      <w:lvlJc w:val="start"/>
      <w:pPr>
        <w:tabs>
          <w:tab w:val="num" w:pos="0"/>
        </w:tabs>
        <w:ind w:start="2880" w:hanging="144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4320" w:hanging="1440"/>
      </w:pPr>
      <w:rPr/>
    </w:lvl>
    <w:lvl w:ilvl="3">
      <w:start w:val="1"/>
      <w:numFmt w:val="decimal"/>
      <w:lvlText w:val="%4"/>
      <w:lvlJc w:val="start"/>
      <w:pPr>
        <w:tabs>
          <w:tab w:val="num" w:pos="0"/>
        </w:tabs>
        <w:ind w:start="5760" w:hanging="1440"/>
      </w:pPr>
      <w:rPr/>
    </w:lvl>
    <w:lvl w:ilvl="4">
      <w:start w:val="1"/>
      <w:numFmt w:val="decimal"/>
      <w:lvlText w:val="%5"/>
      <w:lvlJc w:val="start"/>
      <w:pPr>
        <w:tabs>
          <w:tab w:val="num" w:pos="0"/>
        </w:tabs>
        <w:ind w:start="7200" w:hanging="144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86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10080" w:hanging="144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11520" w:hanging="1440"/>
      </w:pPr>
      <w:rPr/>
    </w:lvl>
    <w:lvl w:ilvl="8">
      <w:start w:val="1"/>
      <w:numFmt w:val="lowerRoman"/>
      <w:lvlText w:val="%9"/>
      <w:lvlJc w:val="start"/>
      <w:pPr>
        <w:tabs>
          <w:tab w:val="num" w:pos="0"/>
        </w:tabs>
        <w:ind w:start="12960" w:hanging="1440"/>
      </w:pPr>
      <w:rPr/>
    </w:lvl>
  </w:abstractNum>
  <w:abstractNum w:abstractNumId="8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color w:val="FF0000"/>
    </w:rPr>
  </w:style>
  <w:style w:type="character" w:styleId="Variable">
    <w:name w:val="Variable"/>
    <w:qFormat/>
    <w:rPr/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Strong">
    <w:name w:val="Strong"/>
    <w:basedOn w:val="DefaultParagraphFont"/>
    <w:qFormat/>
    <w:rPr/>
  </w:style>
  <w:style w:type="character" w:styleId="Sample">
    <w:name w:val="Sample"/>
    <w:qFormat/>
    <w:rPr>
      <w:rFonts w:ascii="Courier New" w:hAnsi="Courier New"/>
    </w:rPr>
  </w:style>
  <w:style w:type="character" w:styleId="Keyboard">
    <w:name w:val="Keyboard"/>
    <w:qFormat/>
    <w:rPr>
      <w:rFonts w:ascii="Courier New" w:hAnsi="Courier New"/>
      <w:sz w:val="20"/>
    </w:rPr>
  </w:style>
  <w:style w:type="character" w:styleId="FollowedHype">
    <w:name w:val="FollowedHype"/>
    <w:qFormat/>
    <w:rPr>
      <w:color w:val="800080"/>
    </w:rPr>
  </w:style>
  <w:style w:type="character" w:styleId="Hyperlink">
    <w:name w:val="Hyperlink"/>
    <w:basedOn w:val="DefaultParagraphFont"/>
    <w:rPr>
      <w:color w:val="0000FF"/>
    </w:rPr>
  </w:style>
  <w:style w:type="character" w:styleId="Emphasis">
    <w:name w:val="Emphasis"/>
    <w:basedOn w:val="DefaultParagraphFont"/>
    <w:qFormat/>
    <w:rPr/>
  </w:style>
  <w:style w:type="character" w:styleId="CODE">
    <w:name w:val="CODE"/>
    <w:qFormat/>
    <w:rPr>
      <w:rFonts w:ascii="Courier New" w:hAnsi="Courier New"/>
      <w:sz w:val="20"/>
    </w:rPr>
  </w:style>
  <w:style w:type="character" w:styleId="CITE">
    <w:name w:val="CITE"/>
    <w:qFormat/>
    <w:rPr/>
  </w:style>
  <w:style w:type="character" w:styleId="Definition">
    <w:name w:val="Definition"/>
    <w:qFormat/>
    <w:rPr/>
  </w:style>
  <w:style w:type="character" w:styleId="DefaultPara">
    <w:name w:val="Default Para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1AutoList8">
    <w:name w:val="1AutoList8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8">
    <w:name w:val="2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8">
    <w:name w:val="3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8">
    <w:name w:val="4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8">
    <w:name w:val="5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8">
    <w:name w:val="6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8">
    <w:name w:val="7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8">
    <w:name w:val="8AutoList8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7">
    <w:name w:val="1AutoList7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7">
    <w:name w:val="2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7">
    <w:name w:val="3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7">
    <w:name w:val="4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7">
    <w:name w:val="5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7">
    <w:name w:val="6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7">
    <w:name w:val="7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7">
    <w:name w:val="8AutoList7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6">
    <w:name w:val="1AutoList6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6">
    <w:name w:val="2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6">
    <w:name w:val="3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6">
    <w:name w:val="4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6">
    <w:name w:val="5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6">
    <w:name w:val="6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6">
    <w:name w:val="7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6">
    <w:name w:val="8AutoList6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5">
    <w:name w:val="1AutoList5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5">
    <w:name w:val="2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5">
    <w:name w:val="3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5">
    <w:name w:val="4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5">
    <w:name w:val="5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5">
    <w:name w:val="6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5">
    <w:name w:val="7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5">
    <w:name w:val="8AutoList5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4">
    <w:name w:val="1AutoList4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4">
    <w:name w:val="2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4">
    <w:name w:val="3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4">
    <w:name w:val="4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4">
    <w:name w:val="5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4">
    <w:name w:val="6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4">
    <w:name w:val="7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4">
    <w:name w:val="8AutoList4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3">
    <w:name w:val="1AutoList3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3">
    <w:name w:val="2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3">
    <w:name w:val="3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3">
    <w:name w:val="4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3">
    <w:name w:val="5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3">
    <w:name w:val="6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3">
    <w:name w:val="7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3">
    <w:name w:val="8AutoList3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2">
    <w:name w:val="1AutoList2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2">
    <w:name w:val="2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2">
    <w:name w:val="3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2">
    <w:name w:val="4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2">
    <w:name w:val="5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2">
    <w:name w:val="6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2">
    <w:name w:val="7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2">
    <w:name w:val="8AutoList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AutoList1">
    <w:name w:val="1AutoList1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AutoList1">
    <w:name w:val="2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AutoList1">
    <w:name w:val="3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AutoList1">
    <w:name w:val="4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AutoList1">
    <w:name w:val="5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AutoList1">
    <w:name w:val="6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AutoList1">
    <w:name w:val="7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AutoList1">
    <w:name w:val="8AutoList1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1Numbers2">
    <w:name w:val="1Numbers 2"/>
    <w:qFormat/>
    <w:pPr>
      <w:widowControl w:val="false"/>
      <w:tabs>
        <w:tab w:val="left" w:pos="720" w:leader="none"/>
      </w:tabs>
      <w:bidi w:val="0"/>
      <w:ind w:hanging="720" w:start="72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2Numbers2">
    <w:name w:val="2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3Numbers2">
    <w:name w:val="3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4Numbers2">
    <w:name w:val="4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5Numbers2">
    <w:name w:val="5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6Numbers2">
    <w:name w:val="6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7Numbers2">
    <w:name w:val="7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8Numbers2">
    <w:name w:val="8Numbers 2"/>
    <w:qFormat/>
    <w:pPr>
      <w:widowControl w:val="false"/>
      <w:bidi w:val="0"/>
      <w:ind w:start="-144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PlainText">
    <w:name w:val="Plain Text"/>
    <w:basedOn w:val="Normal"/>
    <w:qFormat/>
    <w:pPr>
      <w:widowControl w:val="false"/>
      <w:ind w:hanging="0" w:start="0" w:end="0"/>
      <w:jc w:val="both"/>
      <w:textAlignment w:val="auto"/>
    </w:pPr>
    <w:rPr>
      <w:rFonts w:ascii="Courier New" w:hAnsi="Courier New"/>
      <w:sz w:val="20"/>
      <w:lang w:val="en-US" w:eastAsia="en-US"/>
    </w:rPr>
  </w:style>
  <w:style w:type="paragraph" w:styleId="zTopofFor">
    <w:name w:val="zTop of For"/>
    <w:qFormat/>
    <w:pPr>
      <w:widowControl w:val="false"/>
      <w:pBdr>
        <w:bottom w:val="double" w:sz="6" w:space="0" w:color="000000"/>
      </w:pBdr>
      <w:shd w:fill="000080"/>
      <w:bidi w:val="0"/>
      <w:jc w:val="center"/>
      <w:textAlignment w:val="auto"/>
    </w:pPr>
    <w:rPr>
      <w:rFonts w:ascii="Arial" w:hAnsi="Arial" w:eastAsia="Courier New" w:cs="Times New Roman"/>
      <w:vanish/>
      <w:color w:val="000080"/>
      <w:kern w:val="2"/>
      <w:sz w:val="16"/>
      <w:szCs w:val="24"/>
      <w:lang w:val="en-US" w:eastAsia="en-US" w:bidi="hi-IN"/>
    </w:rPr>
  </w:style>
  <w:style w:type="paragraph" w:styleId="zBottomof">
    <w:name w:val="zBottom of"/>
    <w:qFormat/>
    <w:pPr>
      <w:widowControl w:val="false"/>
      <w:pBdr>
        <w:top w:val="double" w:sz="6" w:space="0" w:color="000000"/>
      </w:pBdr>
      <w:shd w:fill="000080"/>
      <w:bidi w:val="0"/>
      <w:jc w:val="center"/>
      <w:textAlignment w:val="auto"/>
    </w:pPr>
    <w:rPr>
      <w:rFonts w:ascii="Arial" w:hAnsi="Arial" w:eastAsia="Courier New" w:cs="Times New Roman"/>
      <w:color w:val="000080"/>
      <w:kern w:val="2"/>
      <w:sz w:val="16"/>
      <w:szCs w:val="24"/>
      <w:lang w:val="en-US" w:eastAsia="en-US" w:bidi="hi-IN"/>
    </w:rPr>
  </w:style>
  <w:style w:type="paragraph" w:styleId="Preformatted">
    <w:name w:val="Preformatted"/>
    <w:qFormat/>
    <w:pPr>
      <w:widowControl w:val="false"/>
      <w:tabs>
        <w:tab w:val="clear" w:pos="720"/>
        <w:tab w:val="left" w:pos="0" w:leader="none"/>
        <w:tab w:val="left" w:pos="958" w:leader="none"/>
        <w:tab w:val="left" w:pos="1917" w:leader="none"/>
        <w:tab w:val="left" w:pos="2876" w:leader="none"/>
        <w:tab w:val="left" w:pos="3835" w:leader="none"/>
        <w:tab w:val="left" w:pos="4794" w:leader="none"/>
        <w:tab w:val="left" w:pos="5754" w:leader="none"/>
        <w:tab w:val="left" w:pos="6712" w:leader="none"/>
        <w:tab w:val="left" w:pos="7671" w:leader="none"/>
        <w:tab w:val="left" w:pos="8630" w:leader="none"/>
        <w:tab w:val="left" w:pos="9360" w:leader="none"/>
      </w:tabs>
      <w:bidi w:val="0"/>
      <w:jc w:val="start"/>
      <w:textAlignment w:val="auto"/>
    </w:pPr>
    <w:rPr>
      <w:rFonts w:ascii="Courier New" w:hAnsi="Courier New" w:eastAsia="Courier New" w:cs="Times New Roman"/>
      <w:color w:val="auto"/>
      <w:kern w:val="2"/>
      <w:sz w:val="20"/>
      <w:szCs w:val="24"/>
      <w:lang w:val="en-US" w:eastAsia="en-US" w:bidi="hi-IN"/>
    </w:rPr>
  </w:style>
  <w:style w:type="paragraph" w:styleId="Blockquote">
    <w:name w:val="Blockquote"/>
    <w:qFormat/>
    <w:pPr>
      <w:widowControl w:val="false"/>
      <w:tabs>
        <w:tab w:val="clear" w:pos="720"/>
        <w:tab w:val="left" w:pos="-360" w:leader="none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left" w:pos="8280" w:leader="none"/>
        <w:tab w:val="left" w:pos="9000" w:leader="none"/>
      </w:tabs>
      <w:bidi w:val="0"/>
      <w:ind w:start="360" w:end="36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Address">
    <w:name w:val="Address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H6">
    <w:name w:val="H6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16"/>
      <w:szCs w:val="24"/>
      <w:lang w:val="en-US" w:eastAsia="en-US" w:bidi="hi-IN"/>
    </w:rPr>
  </w:style>
  <w:style w:type="paragraph" w:styleId="H5">
    <w:name w:val="H5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4"/>
      <w:lang w:val="en-US" w:eastAsia="en-US" w:bidi="hi-IN"/>
    </w:rPr>
  </w:style>
  <w:style w:type="paragraph" w:styleId="H4">
    <w:name w:val="H4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H3">
    <w:name w:val="H3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8"/>
      <w:szCs w:val="24"/>
      <w:lang w:val="en-US" w:eastAsia="en-US" w:bidi="hi-IN"/>
    </w:rPr>
  </w:style>
  <w:style w:type="paragraph" w:styleId="H2">
    <w:name w:val="H2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36"/>
      <w:szCs w:val="24"/>
      <w:lang w:val="en-US" w:eastAsia="en-US" w:bidi="hi-IN"/>
    </w:rPr>
  </w:style>
  <w:style w:type="paragraph" w:styleId="H1">
    <w:name w:val="H1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48"/>
      <w:szCs w:val="24"/>
      <w:lang w:val="en-US" w:eastAsia="en-US" w:bidi="hi-IN"/>
    </w:rPr>
  </w:style>
  <w:style w:type="paragraph" w:styleId="DefinitionL">
    <w:name w:val="Definition L"/>
    <w:qFormat/>
    <w:pPr>
      <w:widowControl w:val="false"/>
      <w:tabs>
        <w:tab w:val="clear" w:pos="720"/>
        <w:tab w:val="left" w:pos="-360" w:leader="none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left" w:pos="8280" w:leader="none"/>
        <w:tab w:val="left" w:pos="9000" w:leader="none"/>
      </w:tabs>
      <w:bidi w:val="0"/>
      <w:ind w:start="36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DefinitionT">
    <w:name w:val="Definition T"/>
    <w:qFormat/>
    <w:pPr>
      <w:widowControl w:val="false"/>
      <w:bidi w:val="0"/>
      <w:jc w:val="star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en-US" w:eastAsia="en-US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1085</Words>
  <Characters>7599</Characters>
  <CharactersWithSpaces>6188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2001-12-19T12:47:00Z</dcterms:created>
  <dc:creator>mcapest</dc:creator>
  <dc:description/>
  <dc:language>en-US</dc:language>
  <cp:lastModifiedBy/>
  <cp:lastPrinted>2001-12-19T12:35:00Z</cp:lastPrinted>
  <dcterms:modified xsi:type="dcterms:W3CDTF">2001-12-19T12:47:00Z</dcterms:modified>
  <cp:revision>2</cp:revision>
  <dc:subject/>
  <dc:title>Data Room Index (12/19/01)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mcapest</vt:lpwstr>
  </property>
</Properties>
</file>