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 xml:space="preserve">April </w:t>
      </w:r>
      <w:r>
        <w:rPr>
          <w:rFonts w:ascii="Times New Roman" w:hAnsi="Times New Roman"/>
          <w:b w:val="false"/>
          <w:strike/>
          <w:kern w:val="0"/>
          <w:sz w:val="22"/>
        </w:rPr>
        <w:t>___</w:t>
      </w:r>
      <w:r>
        <w:rPr>
          <w:rFonts w:ascii="Times New Roman" w:hAnsi="Times New Roman"/>
          <w:kern w:val="0"/>
          <w:sz w:val="22"/>
          <w:u w:val="double"/>
        </w:rPr>
        <w:t>4</w:t>
      </w:r>
      <w:r>
        <w:rPr>
          <w:rFonts w:ascii="Times New Roman" w:hAnsi="Times New Roman"/>
          <w:b w:val="false"/>
          <w:kern w:val="0"/>
          <w:sz w:val="22"/>
        </w:rPr>
        <w:t>,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Pegasus Power Partners, LLC</w:t>
      </w:r>
    </w:p>
    <w:p>
      <w:pPr>
        <w:pStyle w:val="Normal"/>
        <w:widowControl/>
        <w:bidi w:val="0"/>
        <w:jc w:val="both"/>
        <w:rPr>
          <w:sz w:val="22"/>
        </w:rPr>
      </w:pPr>
      <w:r>
        <w:rPr>
          <w:sz w:val="22"/>
        </w:rPr>
        <w:t>89 Headquarters Plaza</w:t>
      </w:r>
    </w:p>
    <w:p>
      <w:pPr>
        <w:pStyle w:val="Normal"/>
        <w:widowControl/>
        <w:bidi w:val="0"/>
        <w:jc w:val="both"/>
        <w:rPr>
          <w:sz w:val="22"/>
        </w:rPr>
      </w:pPr>
      <w:r>
        <w:rPr>
          <w:sz w:val="22"/>
        </w:rPr>
        <w:t>North Tower, 14</w:t>
      </w:r>
      <w:r>
        <w:rPr>
          <w:sz w:val="22"/>
          <w:vertAlign w:val="superscript"/>
        </w:rPr>
        <w:t>th</w:t>
      </w:r>
      <w:r>
        <w:rPr>
          <w:sz w:val="22"/>
        </w:rPr>
        <w:t xml:space="preserve"> Floor</w:t>
      </w:r>
    </w:p>
    <w:p>
      <w:pPr>
        <w:pStyle w:val="Normal"/>
        <w:widowControl/>
        <w:bidi w:val="0"/>
        <w:jc w:val="both"/>
        <w:rPr>
          <w:sz w:val="22"/>
        </w:rPr>
      </w:pPr>
      <w:r>
        <w:rPr>
          <w:sz w:val="22"/>
        </w:rPr>
        <w:t>Morristown, New Jersey    07960</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Re:    Salmon Energy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Pegasus Power Partners,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 xml:space="preserve">In consideration for payment by the LLC to ENA in the amount of </w:t>
      </w:r>
      <w:r>
        <w:rPr>
          <w:strike/>
          <w:sz w:val="22"/>
        </w:rPr>
        <w:t>[$16,864,100]</w:t>
      </w:r>
      <w:r>
        <w:rPr>
          <w:sz w:val="22"/>
        </w:rPr>
        <w:t xml:space="preserve"> </w:t>
      </w:r>
      <w:r>
        <w:rPr>
          <w:b/>
          <w:sz w:val="22"/>
          <w:u w:val="double"/>
        </w:rPr>
        <w:t>$16,990,800</w:t>
      </w:r>
      <w:r>
        <w:rPr>
          <w:sz w:val="22"/>
        </w:rPr>
        <w:t xml:space="preserve"> (the “</w:t>
      </w:r>
      <w:r>
        <w:rPr>
          <w:sz w:val="22"/>
          <w:u w:val="single"/>
        </w:rPr>
        <w:t>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substantially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r>
        <w:rPr>
          <w:color w:val="000000"/>
          <w:sz w:val="22"/>
        </w:rPr>
        <w:tab/>
      </w:r>
      <w:r>
        <w:rPr>
          <w:b/>
          <w:color w:val="000000"/>
          <w:sz w:val="22"/>
        </w:rPr>
        <w:t>(f)</w:t>
      </w:r>
      <w:r>
        <w:rPr>
          <w:color w:val="000000"/>
          <w:sz w:val="22"/>
        </w:rPr>
        <w:tab/>
        <w:t>Immediately upon the LLC’s receipt of loan proceeds from PPL, each of ENA and PPL shall instruct the Escrow Agent to cause the LLC to pay to ENA the ENA Cash Consideration.</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r>
        <w:rPr>
          <w:b/>
          <w:color w:val="000000"/>
          <w:sz w:val="22"/>
        </w:rPr>
        <w:t>4.</w:t>
        <w:tab/>
        <w:t>Escrow Obligations.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tab/>
        <w:t>Escrow Account.</w:t>
      </w:r>
      <w:r>
        <w:rPr>
          <w:color w:val="000000"/>
          <w:sz w:val="22"/>
        </w:rPr>
        <w:t>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as ENA Cash Consideration and amounts due to GE on account of the Purchase Amount pursuant to the Turbine Contract.    Upon closing of the Transaction, the escrowed funds shall be held in escrow on behalf of the LLC and disbursed as set forth in Section 4(c).    ENA and PPL agree to use commercially reasonable efforts to execute and deliver an escrow agreement in a form mutually agreeable to ENA and PPL consistent with the terms of this Agreement on or before April 16, 2001.    All acceptance, setup and administration fees associated with the Escrow Account shall be borne and paid by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Exhibit B</w:t>
      </w:r>
      <w:r>
        <w:rPr>
          <w:color w:val="000000"/>
          <w:sz w:val="22"/>
        </w:rPr>
        <w:t xml:space="preserve">, on or before April 11, 2001.    </w:t>
      </w:r>
      <w:r>
        <w:rPr>
          <w:sz w:val="22"/>
        </w:rPr>
        <w:t xml:space="preserve">On the third business day following the later to occur of (i) the date on which ENA delivers to PPL the final form of the Turbine Contract substantially in the form attached hereto as </w:t>
      </w:r>
      <w:r>
        <w:rPr>
          <w:sz w:val="22"/>
          <w:u w:val="single"/>
        </w:rPr>
        <w:t>Exhibit B</w:t>
      </w:r>
      <w:r>
        <w:rPr>
          <w:color w:val="000000"/>
          <w:sz w:val="22"/>
        </w:rPr>
        <w:t xml:space="preserve">, together with a blacklined version of same reflecting changes from the form attached hereto as </w:t>
      </w:r>
      <w:r>
        <w:rPr>
          <w:color w:val="000000"/>
          <w:sz w:val="22"/>
          <w:u w:val="single"/>
        </w:rPr>
        <w:t>Exhibit B</w:t>
      </w:r>
      <w:r>
        <w:rPr>
          <w:color w:val="000000"/>
          <w:sz w:val="22"/>
        </w:rPr>
        <w:t xml:space="preserve">, and (ii) the date of Financial Closing, PPL shall deposit into the Escrow Account an amount equal to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in one joint instruction to make disbursements from the Escrow Account on behalf of the LLC in accordance with this Agreement and as follows:    </w:t>
      </w:r>
    </w:p>
    <w:p>
      <w:pPr>
        <w:pStyle w:val="Normal"/>
        <w:widowControl/>
        <w:bidi w:val="0"/>
        <w:ind w:firstLine="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w:t>
      </w:r>
      <w:r>
        <w:rPr>
          <w:color w:val="000000"/>
          <w:sz w:val="22"/>
        </w:rPr>
        <w:tab/>
        <w:t>to ENA, upon closing of the Transaction, an amount equal to the ENA Cash Consideration;</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from the date such funds are deposited through the date of the closing of the Transaction;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(iii)</w:t>
      </w:r>
      <w:r>
        <w:rPr>
          <w:color w:val="000000"/>
          <w:sz w:val="22"/>
        </w:rPr>
        <w:tab/>
        <w:t xml:space="preserve">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 provided that with regard to the last payment to GE pursuant to the Payment Schedule, the Escrow Agent shall withhold an amount equal to </w:t>
      </w:r>
      <w:r>
        <w:rPr>
          <w:strike/>
          <w:color w:val="000000"/>
          <w:sz w:val="22"/>
        </w:rPr>
        <w:t>[</w:t>
      </w:r>
      <w:r>
        <w:rPr>
          <w:color w:val="000000"/>
          <w:sz w:val="22"/>
        </w:rPr>
        <w:t>$2,820,800</w:t>
      </w:r>
      <w:r>
        <w:rPr>
          <w:strike/>
          <w:color w:val="000000"/>
          <w:sz w:val="22"/>
        </w:rPr>
        <w:t>]</w:t>
      </w:r>
      <w:r>
        <w:rPr>
          <w:color w:val="000000"/>
          <w:sz w:val="22"/>
        </w:rPr>
        <w:t>, representing the aggregate retainage amount for the GE Equipment (the “</w:t>
      </w:r>
      <w:r>
        <w:rPr>
          <w:color w:val="000000"/>
          <w:sz w:val="22"/>
          <w:u w:val="single"/>
        </w:rPr>
        <w:t>Retainage Amount</w:t>
      </w:r>
      <w:r>
        <w:rPr>
          <w:color w:val="000000"/>
          <w:sz w:val="22"/>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Pursuant to the terms of the LLC Agreement, 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(other than acceleration of the schedule for payment of the Retainage Amount)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which consent may be given or withheld in the sole discretion of PPL. 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44" w:name="_DV_M40"/>
      <w:bookmarkEnd w:id="44"/>
      <w:r>
        <w:rPr>
          <w:color w:val="000000"/>
          <w:sz w:val="22"/>
        </w:rPr>
        <w:tab/>
      </w:r>
      <w:r>
        <w:rPr>
          <w:b/>
          <w:color w:val="000000"/>
          <w:sz w:val="22"/>
        </w:rPr>
        <w:t>(d)</w:t>
      </w:r>
      <w:r>
        <w:rPr>
          <w:color w:val="000000"/>
          <w:sz w:val="22"/>
        </w:rPr>
        <w:tab/>
        <w:t>In accordance with the terms of the LLC Agreement and subject to compliance with applicable law, PPL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and subject to compliance with applicable law,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but subject to compliance with applicable law,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w:t>
      </w:r>
      <w:r>
        <w:rPr>
          <w:b/>
          <w:color w:val="000000"/>
          <w:sz w:val="22"/>
          <w:u w:val="double"/>
        </w:rPr>
        <w:t>    ENA and PPL agree to bear in equal shares all filing fees associated with a filing, if any, required pursuant to the Hart Scott Rodino Antitrust Improvements Act of 1976 upon exercise of the Call Right or the Put Right.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widowControl/>
        <w:bidi w:val="0"/>
        <w:ind w:firstLine="720"/>
        <w:jc w:val="both"/>
        <w:rPr>
          <w:color w:val="000000"/>
          <w:sz w:val="22"/>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(g)</w:t>
      </w:r>
      <w:r>
        <w:rPr>
          <w:color w:val="000000"/>
          <w:sz w:val="22"/>
        </w:rPr>
        <w:tab/>
        <w:t>Following the funding of the Escrow Account, ENA shall (i) cause the LLC to take all of the actions set forth in Section 2, including causing the LLC to acquire rights in the Turbine Contract, and (ii) arrange for the receipt of all required consents in connection with the Turbine Contract other than the GE Consent Documents, in each case within ten (10) business days following the funding of the Escrow Account.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(h)</w:t>
      </w:r>
      <w:r>
        <w:rPr>
          <w:color w:val="000000"/>
          <w:sz w:val="22"/>
        </w:rPr>
        <w:tab/>
        <w:t>ENA shall use commercially reasonable efforts to cause GE (i) prior to PPL’s funding of the Escrow Account, to agree to the form of (A) a consent and agreement (the “</w:t>
      </w:r>
      <w:r>
        <w:rPr>
          <w:color w:val="000000"/>
          <w:sz w:val="22"/>
          <w:u w:val="single"/>
        </w:rPr>
        <w:t>GE Consent and Agreement</w:t>
      </w:r>
      <w:r>
        <w:rPr>
          <w:color w:val="000000"/>
          <w:sz w:val="22"/>
        </w:rPr>
        <w:t>”) among GE, the LLC and PPL’s third party lender (or the collateral agent thereof) granting such lender certain collateral rights in the Turbine Contract in connection with PPL’s financing, and (B) a legal opinion of counsel to GE (together with the GE Consent and Agreement, the “</w:t>
      </w:r>
      <w:r>
        <w:rPr>
          <w:color w:val="000000"/>
          <w:sz w:val="22"/>
          <w:u w:val="single"/>
        </w:rPr>
        <w:t>GE Consent Documents</w:t>
      </w:r>
      <w:r>
        <w:rPr>
          <w:color w:val="000000"/>
          <w:sz w:val="22"/>
        </w:rPr>
        <w:t>”), and (ii) following PPL’s funding of the Escrow Account, to execute and deliver the GE Consent Documents.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(i)</w:t>
      </w:r>
      <w:r>
        <w:rPr>
          <w:color w:val="000000"/>
          <w:sz w:val="22"/>
        </w:rPr>
        <w:tab/>
        <w:t xml:space="preserve">PPL agrees to use commercially reasonable efforts to promptly obtain financing in an amount reasonably required by PPL to permit PPL to pay the Purchase Price, including without limitation, commercially reasonable efforts to negotiate, execute and deliver financing agreements with PPL’s third party lender(s), to satisfy all conditions precedent provided therein, and to give notices of drawdown required by the financing agreements. 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(b)</w:t>
      </w:r>
      <w:r>
        <w:rPr>
          <w:sz w:val="22"/>
        </w:rPr>
        <w:tab/>
        <w:t>In addition, ENA shall have the right to terminate this Agreement, without prejudice to its rights or remedies at law or in equity, in the event that PPL for any reason whatsoever fails to timely close the Transaction within ten (10) business days following the funding of the Escrow Account in accordance with the terms of this Agreement, in which case the balance of the Escrow Account, including interest earned thereon, if any, shall be returned to PPL; provided, however, that such right to terminate this Agreement shall not be available to ENA if PPL’s failure to timely close the Transaction is directly attributable to ENA’s failure to fulfill one or more of its obligations hereunder.</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3,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ind w:firstLine="72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 contemplated by Section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B</w:t>
      </w:r>
      <w:r>
        <w:rPr>
          <w:color w:val="000000"/>
          <w:sz w:val="22"/>
        </w:rPr>
        <w:t>, unless otherwise approved by PPL.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(other than any such rights as set forth in a security agreement among PPL, the LLC and PPL’s third party lender (or the collateral agent thereof)),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There have been no change orders issued under the Turbine Contract, no change orders under the Turbine Contract are currently pending, and ENA has no knowledge of any circumstances that are likely to lead to a change order. 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w:t>
      </w:r>
      <w:r>
        <w:rPr>
          <w:rStyle w:val="DeltaViewInsertion"/>
          <w:strike/>
          <w:color w:val="000000"/>
          <w:sz w:val="22"/>
          <w:u w:val="none"/>
        </w:rPr>
        <w:t>[$50,912,600]</w:t>
      </w:r>
      <w:r>
        <w:rPr>
          <w:rStyle w:val="DeltaViewInsertion"/>
          <w:color w:val="000000"/>
          <w:sz w:val="22"/>
          <w:u w:val="none"/>
        </w:rPr>
        <w:t xml:space="preserve"> </w:t>
      </w:r>
      <w:r>
        <w:rPr>
          <w:rStyle w:val="DeltaViewInsertion"/>
          <w:b/>
          <w:color w:val="000000"/>
          <w:sz w:val="22"/>
        </w:rPr>
        <w:t>$50,785,900</w:t>
      </w:r>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7"/>
      <w:bookmarkStart w:id="66" w:name="_DV_M69"/>
      <w:bookmarkStart w:id="67" w:name="_DV_M63"/>
      <w:bookmarkStart w:id="68" w:name="_DV_M68"/>
      <w:bookmarkEnd w:id="65"/>
      <w:bookmarkEnd w:id="66"/>
      <w:bookmarkEnd w:id="67"/>
      <w:bookmarkEnd w:id="68"/>
      <w:r>
        <w:rPr>
          <w:color w:val="000000"/>
          <w:sz w:val="22"/>
        </w:rPr>
        <w:tab/>
      </w:r>
      <w:r>
        <w:rPr>
          <w:b/>
          <w:color w:val="000000"/>
          <w:sz w:val="22"/>
        </w:rPr>
        <w:t>(b)</w:t>
      </w:r>
      <w:r>
        <w:rPr>
          <w:color w:val="000000"/>
          <w:sz w:val="22"/>
        </w:rPr>
        <w:tab/>
        <w:t>PPL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M74"/>
      <w:r>
        <w:rPr>
          <w:color w:val="000000"/>
          <w:sz w:val="22"/>
        </w:rPr>
        <w:t>.</w:t>
      </w:r>
      <w:bookmarkStart w:id="74" w:name="_DV_C40"/>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Pegasus Power Partners,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(d)</w:t>
      </w:r>
      <w:r>
        <w:rPr>
          <w:color w:val="000000"/>
          <w:sz w:val="22"/>
        </w:rPr>
        <w:tab/>
        <w:t>“</w:t>
      </w:r>
      <w:r>
        <w:rPr>
          <w:color w:val="000000"/>
          <w:sz w:val="22"/>
          <w:u w:val="single"/>
        </w:rPr>
        <w:t>Financial Closing</w:t>
      </w:r>
      <w:r>
        <w:rPr>
          <w:color w:val="000000"/>
          <w:sz w:val="22"/>
        </w:rPr>
        <w:t>” means the date upon which the financing agreements with PPL’s third party lender have been executed and delivered by all parties thereto and the conditions precedent provided therein have been fulfilled to such extent as are necessary to permit PPL to have immediate access, subject only to giving the notices of drawdown required by the financing agreements, to funding reasonably required by PPL to permit PPL to pay the Purchase Price.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0" w:name="_DV_M108"/>
      <w:bookmarkEnd w:id="110"/>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as contemplated by Section 5(a).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C45"/>
      <w:r>
        <w:rPr>
          <w:rStyle w:val="DeltaViewInsertion"/>
          <w:color w:val="000000"/>
          <w:sz w:val="22"/>
          <w:u w:val="none"/>
        </w:rPr>
        <w:tab/>
        <w:tab/>
      </w:r>
      <w:r>
        <w:rPr>
          <w:rStyle w:val="DeltaViewInsertion"/>
          <w:b/>
          <w:color w:val="000000"/>
          <w:sz w:val="22"/>
          <w:u w:val="none"/>
        </w:rPr>
        <w:t>(g)</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M30"/>
      <w:r>
        <w:rPr>
          <w:rStyle w:val="DeltaViewInsertion"/>
          <w:color w:val="000000"/>
          <w:sz w:val="22"/>
          <w:u w:val="none"/>
        </w:rPr>
        <w:t xml:space="preserve">sale, transfer, assignment or ownership of the </w:t>
      </w:r>
      <w:bookmarkStart w:id="114" w:name="_DV_C15"/>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(h)</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1"/>
      <w:bookmarkEnd w:id="128"/>
      <w:r>
        <w:rPr>
          <w:color w:val="000000"/>
          <w:sz w:val="22"/>
        </w:rPr>
        <w:t>_____ day of April,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29" w:name="_DV_M122"/>
      <w:bookmarkEnd w:id="129"/>
      <w:r>
        <w:rPr>
          <w:b/>
          <w:color w:val="000000"/>
          <w:sz w:val="22"/>
        </w:rPr>
        <w:t>PEGASUS POWER PARTNERS,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bidi w:val="0"/>
        <w:jc w:val="start"/>
        <w:rPr>
          <w:sz w:val="22"/>
        </w:rPr>
      </w:pPr>
      <w:r>
        <w:rPr>
          <w:color w:val="000000"/>
          <w:sz w:val="22"/>
        </w:rPr>
        <w:t xml:space="preserve">Exhibit B - </w:t>
      </w:r>
      <w:r>
        <w:rPr>
          <w:sz w:val="22"/>
        </w:rPr>
        <w:t>Form of Turbine Contract</w:t>
      </w:r>
    </w:p>
    <w:p>
      <w:pPr>
        <w:pStyle w:val="Normal"/>
        <w:widowControl/>
        <w:bidi w:val="0"/>
        <w:jc w:val="start"/>
        <w:rPr/>
      </w:pPr>
      <w:r>
        <w:rPr/>
      </w:r>
    </w:p>
    <w:p>
      <w:pPr>
        <w:pStyle w:val="Normal"/>
        <w:widowContro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Pegasus Power Partners, LLC</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April 4,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16</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LibreOffice/25.2.7.0.0$Linux_X86_64 LibreOffice_project/2cc84caafd2707671cae2773f8085721f003b89f</Application>
  <AppVersion>15.0000</AppVersion>
  <Pages>99</Pages>
  <Words>7902</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2001-04-05T12:45:00Z</cp:lastPrinted>
  <dcterms:modified xsi:type="dcterms:W3CDTF">2001-04-05T13:59:00Z</dcterms:modified>
  <cp:revision>70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