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January 4, 2001</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 xml:space="preserve">Re:    CA Energy Development </w:t>
      </w:r>
      <w:r>
        <w:rPr>
          <w:strike/>
          <w:sz w:val="22"/>
        </w:rPr>
        <w:t>I</w:t>
      </w:r>
      <w:r>
        <w:rPr>
          <w:sz w:val="22"/>
        </w:rPr>
        <w:t xml:space="preserve"> </w:t>
      </w:r>
      <w:r>
        <w:rPr>
          <w:b/>
          <w:sz w:val="22"/>
          <w:u w:val="double"/>
        </w:rPr>
        <w:t>II</w:t>
      </w:r>
      <w:r>
        <w:rPr>
          <w:sz w:val="22"/>
        </w:rPr>
        <w:t>, LLC</w:t>
      </w:r>
      <w:bookmarkStart w:id="6" w:name="_DV_M6"/>
      <w:bookmarkEnd w:id="6"/>
    </w:p>
    <w:p>
      <w:pPr>
        <w:pStyle w:val="Normal"/>
        <w:bidi w:val="0"/>
        <w:ind w:hanging="0" w:start="1170"/>
        <w:jc w:val="both"/>
        <w:rPr>
          <w:sz w:val="22"/>
        </w:rPr>
      </w:pPr>
      <w:r>
        <w:rPr>
          <w:sz w:val="22"/>
        </w:rPr>
        <w:t xml:space="preserve">Amendment No. 1 to Letter Agreement for </w:t>
      </w:r>
      <w:r>
        <w:rPr>
          <w:strike/>
          <w:sz w:val="22"/>
        </w:rPr>
        <w:t>LM6000 Enhanced SPRINT Dual-fuel Combustion Turbine Generator Set</w:t>
      </w:r>
      <w:r>
        <w:rPr>
          <w:sz w:val="22"/>
        </w:rPr>
        <w:t xml:space="preserve"> </w:t>
      </w:r>
      <w:r>
        <w:rPr>
          <w:b/>
          <w:sz w:val="22"/>
          <w:u w:val="double"/>
        </w:rPr>
        <w:t>Generator Step-up Transformer</w:t>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jc w:val="both"/>
        <w:rPr>
          <w:sz w:val="22"/>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bidi w:val="0"/>
        <w:jc w:val="both"/>
        <w:rPr>
          <w:sz w:val="22"/>
        </w:rPr>
      </w:pPr>
      <w:r>
        <w:rPr>
          <w:sz w:val="22"/>
        </w:rPr>
      </w:r>
    </w:p>
    <w:p>
      <w:pPr>
        <w:pStyle w:val="Normal"/>
        <w:bidi w:val="0"/>
        <w:jc w:val="both"/>
        <w:rPr>
          <w:sz w:val="22"/>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bidi w:val="0"/>
        <w:jc w:val="both"/>
        <w:rPr>
          <w:sz w:val="22"/>
        </w:rPr>
      </w:pPr>
      <w:r>
        <w:rPr>
          <w:sz w:val="22"/>
        </w:rPr>
      </w:r>
    </w:p>
    <w:p>
      <w:pPr>
        <w:pStyle w:val="Normal"/>
        <w:bidi w:val="0"/>
        <w:jc w:val="both"/>
        <w:rPr>
          <w:sz w:val="22"/>
        </w:rPr>
      </w:pPr>
      <w:r>
        <w:rPr>
          <w:sz w:val="22"/>
        </w:rPr>
        <w:tab/>
        <w:t>2.</w:t>
        <w:tab/>
      </w:r>
      <w:r>
        <w:rPr>
          <w:sz w:val="22"/>
          <w:u w:val="single"/>
        </w:rPr>
        <w:t>Amendment of Termination Date</w:t>
      </w:r>
      <w:r>
        <w:rPr>
          <w:sz w:val="22"/>
        </w:rPr>
        <w:t xml:space="preserve">.    The last </w:t>
      </w:r>
      <w:r>
        <w:rPr>
          <w:strike/>
          <w:sz w:val="22"/>
        </w:rPr>
        <w:t>sentence</w:t>
      </w:r>
      <w:r>
        <w:rPr>
          <w:sz w:val="22"/>
        </w:rPr>
        <w:t xml:space="preserve"> </w:t>
      </w:r>
      <w:r>
        <w:rPr>
          <w:b/>
          <w:sz w:val="22"/>
          <w:u w:val="double"/>
        </w:rPr>
        <w:t>two sentences</w:t>
      </w:r>
      <w:r>
        <w:rPr>
          <w:sz w:val="22"/>
        </w:rPr>
        <w:t xml:space="preserve"> of Section 5 of the Original Agreement </w:t>
      </w:r>
      <w:r>
        <w:rPr>
          <w:strike/>
          <w:sz w:val="22"/>
        </w:rPr>
        <w:t>is</w:t>
      </w:r>
      <w:r>
        <w:rPr>
          <w:sz w:val="22"/>
        </w:rPr>
        <w:t xml:space="preserve"> </w:t>
      </w:r>
      <w:r>
        <w:rPr>
          <w:b/>
          <w:sz w:val="22"/>
          <w:u w:val="double"/>
        </w:rPr>
        <w:t>are</w:t>
      </w:r>
      <w:r>
        <w:rPr>
          <w:sz w:val="22"/>
        </w:rPr>
        <w:t xml:space="preserve"> hereby deleted in </w:t>
      </w:r>
      <w:r>
        <w:rPr>
          <w:strike/>
          <w:sz w:val="22"/>
        </w:rPr>
        <w:t>its</w:t>
      </w:r>
      <w:r>
        <w:rPr>
          <w:sz w:val="22"/>
        </w:rPr>
        <w:t xml:space="preserve"> </w:t>
      </w:r>
      <w:r>
        <w:rPr>
          <w:b/>
          <w:sz w:val="22"/>
          <w:u w:val="double"/>
        </w:rPr>
        <w:t>their</w:t>
      </w:r>
      <w:r>
        <w:rPr>
          <w:sz w:val="22"/>
        </w:rPr>
        <w:t xml:space="preserve">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trike/>
          <w:color w:val="000000"/>
          <w:sz w:val="22"/>
        </w:rPr>
        <w:t>“</w:t>
      </w:r>
      <w:r>
        <w:rPr>
          <w:strike/>
          <w:color w:val="000000"/>
          <w:sz w:val="22"/>
        </w:rPr>
        <w:t>Notwithstanding anything herein to the contrary</w:t>
      </w:r>
      <w:r>
        <w:rPr>
          <w:b/>
          <w:color w:val="000000"/>
          <w:sz w:val="22"/>
          <w:u w:val="double"/>
        </w:rPr>
        <w:t>“</w:t>
      </w:r>
      <w:r>
        <w:rPr>
          <w:b/>
          <w:sz w:val="22"/>
          <w:u w:val="double"/>
        </w:rPr>
        <w:t>Furthermore</w:t>
      </w:r>
      <w:r>
        <w:rPr>
          <w:sz w:val="22"/>
        </w:rPr>
        <w:t xml:space="preserve">, </w:t>
      </w:r>
      <w:r>
        <w:rPr>
          <w:color w:val="000000"/>
          <w:sz w:val="22"/>
        </w:rPr>
        <w:t>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w:t>
      </w:r>
      <w:r>
        <w:rPr>
          <w:b/>
          <w:color w:val="000000"/>
          <w:sz w:val="22"/>
          <w:u w:val="double"/>
        </w:rPr>
        <w:t xml:space="preserve"> that the confidentiality provisions of Section 6 of this Agreement shall survive such termination for a period of one year.    Notwithstanding anything herein to the contrary, </w:t>
      </w:r>
      <w:r>
        <w:rPr>
          <w:b/>
          <w:sz w:val="22"/>
          <w:u w:val="double"/>
        </w:rPr>
        <w:t>in the event that the Facility Agreement is not delivered on or before January 22, 2001, this Agreement shall terminate and be of no further force and effect, and neither party shall have liability to the other as a result thereof</w:t>
      </w:r>
      <w:r>
        <w:rPr>
          <w:b/>
          <w:color w:val="000000"/>
          <w:sz w:val="22"/>
          <w:u w:val="double"/>
        </w:rPr>
        <w:t>; provided however,</w:t>
      </w:r>
      <w:r>
        <w:rPr>
          <w:color w:val="000000"/>
          <w:sz w:val="22"/>
        </w:rPr>
        <w:t xml:space="preserve"> that the confidentiality provisions of Section 6 of this Agreement shall survive such termination for a period of one year</w:t>
      </w:r>
      <w:r>
        <w:rPr>
          <w:sz w:val="22"/>
        </w:rPr>
        <w:t>.</w:t>
      </w:r>
      <w:r>
        <w:rPr>
          <w:color w:val="000000"/>
          <w:sz w:val="22"/>
        </w:rPr>
        <w:t>”</w:t>
      </w:r>
    </w:p>
    <w:p>
      <w:pPr>
        <w:pStyle w:val="Normal"/>
        <w:bidi w:val="0"/>
        <w:jc w:val="both"/>
        <w:rPr>
          <w:sz w:val="22"/>
        </w:rPr>
      </w:pPr>
      <w:r>
        <w:rPr>
          <w:sz w:val="22"/>
        </w:rPr>
      </w:r>
    </w:p>
    <w:p>
      <w:pPr>
        <w:pStyle w:val="Normal"/>
        <w:bidi w:val="0"/>
        <w:jc w:val="both"/>
        <w:rPr>
          <w:sz w:val="22"/>
        </w:rPr>
      </w:pPr>
      <w:r>
        <w:rPr>
          <w:sz w:val="22"/>
        </w:rPr>
        <w:tab/>
        <w:t>3.</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bidi w:val="0"/>
        <w:jc w:val="both"/>
        <w:rPr>
          <w:sz w:val="22"/>
        </w:rPr>
      </w:pPr>
      <w:r>
        <w:rPr>
          <w:sz w:val="22"/>
        </w:rPr>
      </w:r>
    </w:p>
    <w:p>
      <w:pPr>
        <w:pStyle w:val="Normal"/>
        <w:bidi w:val="0"/>
        <w:jc w:val="both"/>
        <w:rPr>
          <w:sz w:val="22"/>
        </w:rPr>
      </w:pPr>
      <w:r>
        <w:rPr>
          <w:sz w:val="22"/>
        </w:rPr>
        <w:tab/>
        <w:t>4.</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p>
    <w:p>
      <w:pPr>
        <w:pStyle w:val="Normal"/>
        <w:bidi w:val="0"/>
        <w:jc w:val="both"/>
        <w:rPr>
          <w:sz w:val="22"/>
        </w:rPr>
      </w:pPr>
      <w:r>
        <w:rPr>
          <w:sz w:val="22"/>
        </w:rPr>
      </w:r>
    </w:p>
    <w:p>
      <w:pPr>
        <w:pStyle w:val="Normal"/>
        <w:tabs>
          <w:tab w:val="clear" w:pos="720"/>
          <w:tab w:val="left" w:pos="0" w:leader="none"/>
        </w:tabs>
        <w:bidi w:val="0"/>
        <w:jc w:val="both"/>
        <w:rPr>
          <w:sz w:val="22"/>
        </w:rPr>
      </w:pPr>
      <w:r>
        <w:rPr>
          <w:sz w:val="22"/>
        </w:rPr>
        <w:tab/>
        <w:t>5.</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t>6.</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t>7.</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bidi w:val="0"/>
        <w:jc w:val="both"/>
        <w:rPr>
          <w:sz w:val="22"/>
        </w:rPr>
      </w:pPr>
      <w:r>
        <w:rPr>
          <w:sz w:val="22"/>
        </w:rPr>
      </w:r>
    </w:p>
    <w:p>
      <w:pPr>
        <w:pStyle w:val="Normal"/>
        <w:bidi w:val="0"/>
        <w:jc w:val="both"/>
        <w:rPr>
          <w:sz w:val="22"/>
        </w:rPr>
      </w:pPr>
      <w:r>
        <w:rPr>
          <w:sz w:val="22"/>
        </w:rPr>
        <w:tab/>
        <w:t>8.</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4,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Draft    01/04/2001</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596</Words>
  <Characters>0</Characters>
  <CharactersWithSpaces>3322</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2001-01-04T10:24:00Z</dcterms:created>
  <dc:creator>Carolyn Campbell</dc:creator>
  <dc:description/>
  <dc:language>en-CA</dc:language>
  <cp:lastModifiedBy/>
  <cp:lastPrinted>2001-01-04T10:02:00Z</cp:lastPrinted>
  <dcterms:modified xsi:type="dcterms:W3CDTF">2001-01-04T10:24:00Z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