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1187"/>
        <w:gridCol w:w="7560"/>
      </w:tblGrid>
      <w:tr>
        <w:trPr>
          <w:cantSplit w:val="true"/>
        </w:trPr>
        <w:tc>
          <w:tcPr>
            <w:tcW w:w="1187" w:type="dxa"/>
            <w:tcBorders/>
          </w:tcPr>
          <w:p>
            <w:pPr>
              <w:pStyle w:val="Normal"/>
              <w:pBdr/>
              <w:bidi w:val="0"/>
              <w:spacing w:before="60" w:after="60"/>
              <w:jc w:val="start"/>
              <w:rPr/>
              <w:framePr w:w="6016" w:h="5352" w:x="1665" w:hSpace="180" w:vSpace="0" w:wrap="notBeside" w:vAnchor="text" w:hAnchor="page" w:hRule="exact"/>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31.75pt;height:230.25pt;mso-wrap-distance-right:0pt" filled="f" o:ole="">
                  <v:imagedata r:id="rId3" o:title=""/>
                </v:shape>
                <o:OLEObject Type="Embed" ProgID="" ShapeID="ole_rId2" DrawAspect="Content" ObjectID="_2135068578" r:id="rId2"/>
              </w:object>
            </w:r>
          </w:p>
          <w:p>
            <w:pPr>
              <w:pStyle w:val="Normal"/>
              <w:pBdr/>
              <w:bidi w:val="0"/>
              <w:jc w:val="start"/>
              <w:rPr/>
              <w:framePr w:w="6016" w:h="5352" w:x="1665" w:hSpace="180" w:vSpace="0" w:wrap="notBeside" w:vAnchor="text" w:hAnchor="page" w:hRule="exact"/>
            </w:pPr>
            <w:r>
              <w:rPr/>
            </w:r>
          </w:p>
          <w:p>
            <w:pPr>
              <w:pStyle w:val="Normal"/>
              <w:pBdr/>
              <w:bidi w:val="0"/>
              <w:spacing w:before="0" w:after="0"/>
              <w:jc w:val="start"/>
              <w:rPr>
                <w:rFonts w:ascii="Arial" w:hAnsi="Arial"/>
                <w:sz w:val="24"/>
              </w:rPr>
              <w:framePr w:w="6016" w:h="5352" w:x="1665" w:hSpace="180" w:vSpace="0" w:wrap="notBeside" w:vAnchor="text" w:hAnchor="page" w:hRule="exact"/>
            </w:pPr>
            <w:r>
              <w:rPr>
                <w:rFonts w:ascii="Arial" w:hAnsi="Arial"/>
                <w:b/>
                <w:sz w:val="24"/>
              </w:rPr>
              <w:t>Inter-Office Memo</w:t>
            </w:r>
          </w:p>
          <w:p>
            <w:pPr>
              <w:pStyle w:val="Normal"/>
              <w:tabs>
                <w:tab w:val="clear" w:pos="720"/>
              </w:tabs>
              <w:bidi w:val="0"/>
              <w:spacing w:before="60" w:after="60"/>
              <w:jc w:val="start"/>
              <w:rPr/>
            </w:pPr>
            <w:r>
              <w:rPr>
                <w:rFonts w:ascii="Arial" w:hAnsi="Arial"/>
                <w:b/>
                <w:sz w:val="24"/>
              </w:rPr>
              <w:t>To:</w:t>
            </w:r>
          </w:p>
        </w:tc>
        <w:tc>
          <w:tcPr>
            <w:tcW w:w="7560" w:type="dxa"/>
            <w:tcBorders/>
          </w:tcPr>
          <w:p>
            <w:pPr>
              <w:pStyle w:val="To"/>
              <w:tabs>
                <w:tab w:val="clear" w:pos="720"/>
              </w:tabs>
              <w:bidi w:val="0"/>
              <w:spacing w:before="60" w:after="60"/>
              <w:jc w:val="start"/>
              <w:rPr/>
            </w:pPr>
            <w:bookmarkStart w:id="0" w:name="To"/>
            <w:bookmarkEnd w:id="0"/>
            <w:r>
              <w:rPr>
                <w:rFonts w:ascii="Arial" w:hAnsi="Arial"/>
                <w:sz w:val="24"/>
              </w:rPr>
              <w:t xml:space="preserve">OPIC </w:t>
            </w:r>
          </w:p>
        </w:tc>
      </w:tr>
      <w:tr>
        <w:trPr>
          <w:cantSplit w:val="true"/>
        </w:trPr>
        <w:tc>
          <w:tcPr>
            <w:tcW w:w="1187" w:type="dxa"/>
            <w:tcBorders/>
          </w:tcPr>
          <w:p>
            <w:pPr>
              <w:pStyle w:val="Normal"/>
              <w:tabs>
                <w:tab w:val="clear" w:pos="720"/>
              </w:tabs>
              <w:bidi w:val="0"/>
              <w:spacing w:before="60" w:after="60"/>
              <w:jc w:val="start"/>
              <w:rPr/>
            </w:pPr>
            <w:r>
              <w:rPr>
                <w:rFonts w:ascii="Arial" w:hAnsi="Arial"/>
                <w:b/>
                <w:sz w:val="24"/>
              </w:rPr>
              <w:t>From:</w:t>
            </w:r>
          </w:p>
        </w:tc>
        <w:tc>
          <w:tcPr>
            <w:tcW w:w="7560" w:type="dxa"/>
            <w:tcBorders/>
          </w:tcPr>
          <w:p>
            <w:pPr>
              <w:pStyle w:val="From"/>
              <w:tabs>
                <w:tab w:val="clear" w:pos="720"/>
              </w:tabs>
              <w:bidi w:val="0"/>
              <w:spacing w:before="60" w:after="60"/>
              <w:jc w:val="start"/>
              <w:rPr/>
            </w:pPr>
            <w:bookmarkStart w:id="1" w:name="From"/>
            <w:bookmarkEnd w:id="1"/>
            <w:r>
              <w:rPr>
                <w:rFonts w:ascii="Arial" w:hAnsi="Arial"/>
                <w:sz w:val="24"/>
              </w:rPr>
              <w:t>Rob Gay</w:t>
            </w:r>
          </w:p>
        </w:tc>
      </w:tr>
      <w:tr>
        <w:trPr>
          <w:cantSplit w:val="true"/>
        </w:trPr>
        <w:tc>
          <w:tcPr>
            <w:tcW w:w="1187" w:type="dxa"/>
            <w:tcBorders/>
          </w:tcPr>
          <w:p>
            <w:pPr>
              <w:pStyle w:val="Normal"/>
              <w:widowControl/>
              <w:suppressAutoHyphens w:val="true"/>
              <w:bidi w:val="0"/>
              <w:spacing w:before="60" w:after="60"/>
              <w:jc w:val="start"/>
              <w:rPr/>
            </w:pPr>
            <w:r>
              <w:rPr>
                <w:rFonts w:ascii="Arial" w:hAnsi="Arial"/>
                <w:b/>
                <w:sz w:val="24"/>
              </w:rPr>
              <w:t>Date:</w:t>
            </w:r>
          </w:p>
        </w:tc>
        <w:tc>
          <w:tcPr>
            <w:tcW w:w="7560" w:type="dxa"/>
            <w:tcBorders/>
          </w:tcPr>
          <w:p>
            <w:pPr>
              <w:pStyle w:val="Date"/>
              <w:widowControl/>
              <w:bidi w:val="0"/>
              <w:spacing w:before="60" w:after="60"/>
              <w:jc w:val="start"/>
              <w:rPr/>
            </w:pPr>
            <w:r>
              <w:rPr>
                <w:rFonts w:ascii="Arial" w:hAnsi="Arial"/>
                <w:sz w:val="24"/>
              </w:rPr>
              <w:t>Dec 6, 2000</w:t>
            </w:r>
          </w:p>
        </w:tc>
      </w:tr>
      <w:tr>
        <w:trPr>
          <w:cantSplit w:val="true"/>
        </w:trPr>
        <w:tc>
          <w:tcPr>
            <w:tcW w:w="1187" w:type="dxa"/>
            <w:tcBorders>
              <w:bottom w:val="single" w:sz="18" w:space="0" w:color="000000"/>
            </w:tcBorders>
          </w:tcPr>
          <w:p>
            <w:pPr>
              <w:pStyle w:val="Normal"/>
              <w:tabs>
                <w:tab w:val="clear" w:pos="720"/>
              </w:tabs>
              <w:bidi w:val="0"/>
              <w:spacing w:before="60" w:after="60"/>
              <w:jc w:val="start"/>
              <w:rPr/>
            </w:pPr>
            <w:r>
              <w:rPr>
                <w:rFonts w:ascii="Arial" w:hAnsi="Arial"/>
                <w:b/>
                <w:sz w:val="24"/>
              </w:rPr>
              <w:t>Subject:</w:t>
            </w:r>
          </w:p>
        </w:tc>
        <w:tc>
          <w:tcPr>
            <w:tcW w:w="7560" w:type="dxa"/>
            <w:tcBorders>
              <w:bottom w:val="single" w:sz="18" w:space="0" w:color="000000"/>
            </w:tcBorders>
          </w:tcPr>
          <w:p>
            <w:pPr>
              <w:pStyle w:val="Subject"/>
              <w:tabs>
                <w:tab w:val="clear" w:pos="720"/>
              </w:tabs>
              <w:bidi w:val="0"/>
              <w:spacing w:before="60" w:after="60"/>
              <w:jc w:val="start"/>
              <w:rPr/>
            </w:pPr>
            <w:bookmarkStart w:id="2" w:name="Subject"/>
            <w:bookmarkStart w:id="3" w:name="tSubject"/>
            <w:bookmarkEnd w:id="2"/>
            <w:bookmarkEnd w:id="3"/>
            <w:r>
              <w:rPr>
                <w:rFonts w:ascii="Arial" w:hAnsi="Arial"/>
                <w:sz w:val="24"/>
              </w:rPr>
              <w:t>Discussion Points for George Munoz</w:t>
            </w:r>
          </w:p>
        </w:tc>
      </w:tr>
    </w:tbl>
    <w:p>
      <w:pPr>
        <w:pStyle w:val="Normal"/>
        <w:bidi w:val="0"/>
        <w:spacing w:before="0" w:after="0"/>
        <w:jc w:val="start"/>
        <w:rPr>
          <w:rFonts w:ascii="Arial" w:hAnsi="Arial"/>
          <w:sz w:val="24"/>
        </w:rPr>
      </w:pPr>
      <w:r>
        <w:rPr>
          <w:rFonts w:ascii="Arial" w:hAnsi="Arial"/>
          <w:sz w:val="24"/>
        </w:rPr>
      </w:r>
      <w:bookmarkStart w:id="4" w:name="StartOfMemo"/>
      <w:bookmarkStart w:id="5" w:name="StartOfMemo"/>
      <w:bookmarkEnd w:id="5"/>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 xml:space="preserve">Thank you for your assistance in obtaining the cooperation of Eletrabras and Furnas on the outstanding consent and guarantee issues.    We believe your visit was an extremely important factor in getting Firmino to direct his people to fix the problem in the past week. </w:t>
      </w:r>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 xml:space="preserve">The budget is increasing, </w:t>
      </w:r>
      <w:r>
        <w:rPr>
          <w:rFonts w:ascii="Arial" w:hAnsi="Arial"/>
          <w:sz w:val="24"/>
          <w:u w:val="single"/>
        </w:rPr>
        <w:t>but</w:t>
      </w:r>
      <w:r>
        <w:rPr>
          <w:rFonts w:ascii="Arial" w:hAnsi="Arial"/>
          <w:sz w:val="24"/>
        </w:rPr>
        <w:t xml:space="preserve"> the increase represents a full accounting of the very expensive environmental remediation and monitoring costs associated with construction of the pipelines including the ridges drilling efforts.    Furthermore it reflects the delays which have been caused by government intervention in both Bolivia and Brazil and the indigenous people in Bolivia.    The bottom line is, the partners are stepping up for the increase which reflects our continuing commitment to this project and the development of a very important long term asset for Western Brazil.</w:t>
      </w:r>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At this point we need to close.    The deal is never going to be perfect, so we need to enlist your help in encouraging your legal and commercial people to only insist on what is truly important and to keep some less significant issues in perspective.</w:t>
      </w:r>
    </w:p>
    <w:p>
      <w:pPr>
        <w:pStyle w:val="Normal"/>
        <w:numPr>
          <w:ilvl w:val="0"/>
          <w:numId w:val="1"/>
        </w:numPr>
        <w:tabs>
          <w:tab w:val="clear" w:pos="720"/>
          <w:tab w:val="left" w:pos="360" w:leader="none"/>
        </w:tabs>
        <w:bidi w:val="0"/>
        <w:spacing w:before="0" w:after="0"/>
        <w:jc w:val="both"/>
        <w:rPr>
          <w:rFonts w:ascii="Arial" w:hAnsi="Arial"/>
          <w:sz w:val="24"/>
        </w:rPr>
      </w:pPr>
      <w:r>
        <w:rPr>
          <w:rFonts w:ascii="Arial" w:hAnsi="Arial"/>
          <w:sz w:val="24"/>
        </w:rPr>
        <w:t xml:space="preserve">We have demonstrated that we are prepared to go the extra mile to make this a success, as have you, and we have stepped up again and again both in terms of our resources and with additional equity support to resolve problems. Its very important that we seize the opportunity now and not let this get away from us again. </w:t>
      </w:r>
    </w:p>
    <w:sectPr>
      <w:headerReference w:type="even" r:id="rId4"/>
      <w:headerReference w:type="default" r:id="rId5"/>
      <w:headerReference w:type="first" r:id="rId6"/>
      <w:type w:val="nextPage"/>
      <w:pgSz w:w="12240" w:h="15840"/>
      <w:pgMar w:left="1440" w:right="1440" w:gutter="0" w:header="720" w:top="777" w:footer="0"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spacing w:before="60" w:after="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spacing w:before="60" w:after="720"/>
      <w:jc w:val="start"/>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60" w:after="60"/>
    </w:pPr>
    <w:rPr>
      <w:rFonts w:ascii="Times New Roman" w:hAnsi="Times New Roman" w:eastAsia="Symbol" w:cs="NotoSans NF"/>
      <w:color w:val="auto"/>
      <w:kern w:val="2"/>
      <w:sz w:val="20"/>
      <w:szCs w:val="24"/>
      <w:lang w:val="en-US" w:eastAsia="zh-CN" w:bidi="hi-IN"/>
    </w:rPr>
  </w:style>
  <w:style w:type="paragraph" w:styleId="Heading1">
    <w:name w:val="heading 1"/>
    <w:basedOn w:val="Normal"/>
    <w:next w:val="Normal"/>
    <w:qFormat/>
    <w:pPr>
      <w:widowControl/>
      <w:spacing w:before="180" w:after="0"/>
    </w:pPr>
    <w:rPr>
      <w:b/>
    </w:rPr>
  </w:style>
  <w:style w:type="paragraph" w:styleId="Heading2">
    <w:name w:val="heading 2"/>
    <w:basedOn w:val="Heading1"/>
    <w:next w:val="Normal"/>
    <w:qFormat/>
    <w:pPr>
      <w:widowControl/>
      <w:spacing w:before="120" w:after="0"/>
      <w:outlineLvl w:val="0"/>
    </w:pPr>
    <w:rPr>
      <w:b/>
      <w:sz w:val="22"/>
    </w:rPr>
  </w:style>
  <w:style w:type="paragraph" w:styleId="Heading3">
    <w:name w:val="heading 3"/>
    <w:basedOn w:val="Heading2"/>
    <w:next w:val="Normal"/>
    <w:qFormat/>
    <w:pPr>
      <w:widowControl/>
      <w:spacing w:before="120" w:after="0"/>
      <w:outlineLvl w:val="1"/>
    </w:pPr>
    <w:rPr>
      <w:b/>
      <w:sz w:val="20"/>
    </w:rPr>
  </w:style>
  <w:style w:type="paragraph" w:styleId="Heading4">
    <w:name w:val="heading 4"/>
    <w:basedOn w:val="Normal"/>
    <w:next w:val="Normal"/>
    <w:qFormat/>
    <w:pPr>
      <w:keepNext w:val="true"/>
      <w:widowControl/>
      <w:spacing w:before="60" w:after="0"/>
      <w:jc w:val="center"/>
      <w:outlineLvl w:val="3"/>
    </w:pPr>
    <w:rPr>
      <w:rFonts w:ascii="Arial" w:hAnsi="Arial"/>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FootnoteReference">
    <w:name w:val="footnote reference"/>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60" w:after="0"/>
      <w:jc w:val="both"/>
    </w:pPr>
    <w:rPr>
      <w:rFonts w:ascii="Arial" w:hAnsi="Arial"/>
    </w:rPr>
  </w:style>
  <w:style w:type="paragraph" w:styleId="List">
    <w:name w:val="List"/>
    <w:basedOn w:val="Normal"/>
    <w:pPr>
      <w:widowControl/>
      <w:spacing w:before="60" w:after="60"/>
      <w:ind w:hanging="360" w:start="720"/>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tabs>
        <w:tab w:val="clear" w:pos="720"/>
        <w:tab w:val="center" w:pos="4320" w:leader="none"/>
        <w:tab w:val="right" w:pos="8640" w:leader="none"/>
        <w:tab w:val="right" w:pos="9000" w:leader="none"/>
      </w:tabs>
      <w:spacing w:before="60" w:after="0"/>
    </w:pPr>
    <w:rPr>
      <w:sz w:val="20"/>
    </w:rPr>
  </w:style>
  <w:style w:type="paragraph" w:styleId="FootnoteText">
    <w:name w:val="footnote text"/>
    <w:basedOn w:val="Normal"/>
    <w:pPr>
      <w:widowControl/>
      <w:spacing w:before="60" w:after="60"/>
      <w:ind w:hanging="360" w:start="360"/>
    </w:pPr>
    <w:rPr>
      <w:sz w:val="20"/>
    </w:rPr>
  </w:style>
  <w:style w:type="paragraph" w:styleId="NormalIndent">
    <w:name w:val="Normal Indent"/>
    <w:basedOn w:val="Normal"/>
    <w:qFormat/>
    <w:pPr>
      <w:widowControl/>
      <w:spacing w:before="60" w:after="60"/>
      <w:ind w:hanging="0" w:start="720"/>
    </w:pPr>
    <w:rPr>
      <w:sz w:val="20"/>
    </w:rPr>
  </w:style>
  <w:style w:type="paragraph" w:styleId="SubList">
    <w:name w:val="SubList"/>
    <w:qFormat/>
    <w:pPr>
      <w:widowControl/>
      <w:bidi w:val="0"/>
      <w:spacing w:before="60" w:after="60"/>
      <w:ind w:hanging="360" w:start="1440"/>
    </w:pPr>
    <w:rPr>
      <w:rFonts w:ascii="Liberation Serif" w:hAnsi="Liberation Serif" w:eastAsia="Liberation Sans" w:cs="NotoSans NF"/>
      <w:color w:val="auto"/>
      <w:kern w:val="2"/>
      <w:sz w:val="20"/>
      <w:szCs w:val="24"/>
      <w:lang w:val="en-US" w:eastAsia="zh-CN" w:bidi="hi-IN"/>
    </w:rPr>
  </w:style>
  <w:style w:type="paragraph" w:styleId="Subject">
    <w:name w:val="Subject"/>
    <w:basedOn w:val="Normal"/>
    <w:qFormat/>
    <w:pPr>
      <w:widowControl/>
      <w:spacing w:before="60" w:after="60"/>
    </w:pPr>
    <w:rPr>
      <w:sz w:val="20"/>
    </w:rPr>
  </w:style>
  <w:style w:type="paragraph" w:styleId="Date">
    <w:name w:val="Date"/>
    <w:basedOn w:val="Normal"/>
    <w:qFormat/>
    <w:pPr>
      <w:widowControl/>
      <w:spacing w:before="60" w:after="60"/>
    </w:pPr>
    <w:rPr>
      <w:sz w:val="20"/>
    </w:rPr>
  </w:style>
  <w:style w:type="paragraph" w:styleId="To">
    <w:name w:val="To"/>
    <w:basedOn w:val="Normal"/>
    <w:qFormat/>
    <w:pPr>
      <w:widowControl/>
      <w:spacing w:before="60" w:after="60"/>
    </w:pPr>
    <w:rPr>
      <w:sz w:val="20"/>
    </w:rPr>
  </w:style>
  <w:style w:type="paragraph" w:styleId="From">
    <w:name w:val="From"/>
    <w:basedOn w:val="Normal"/>
    <w:qFormat/>
    <w:pPr>
      <w:widowControl/>
      <w:spacing w:before="60" w:after="60"/>
    </w:pPr>
    <w:rPr>
      <w:sz w:val="20"/>
    </w:rPr>
  </w:style>
  <w:style w:type="paragraph" w:styleId="Title">
    <w:name w:val="Title"/>
    <w:basedOn w:val="Heading1"/>
    <w:qFormat/>
    <w:pPr>
      <w:widowControl/>
      <w:spacing w:before="180" w:after="0"/>
    </w:pPr>
    <w:rPr>
      <w:b/>
    </w:rPr>
  </w:style>
  <w:style w:type="paragraph" w:styleId="Closed">
    <w:name w:val="Closed"/>
    <w:basedOn w:val="Normal"/>
    <w:qFormat/>
    <w:pPr>
      <w:widowControl/>
      <w:spacing w:before="60" w:after="0"/>
    </w:pPr>
    <w:rPr>
      <w:sz w:val="20"/>
    </w:rPr>
  </w:style>
  <w:style w:type="paragraph" w:styleId="CopyList">
    <w:name w:val="CopyList"/>
    <w:basedOn w:val="Normal"/>
    <w:qFormat/>
    <w:pPr>
      <w:widowControl/>
      <w:tabs>
        <w:tab w:val="clear" w:pos="720"/>
        <w:tab w:val="left" w:pos="504" w:leader="none"/>
      </w:tabs>
      <w:spacing w:before="360" w:after="0"/>
      <w:ind w:hanging="504" w:start="504"/>
    </w:pPr>
    <w:rPr>
      <w:sz w:val="20"/>
    </w:rPr>
  </w:style>
  <w:style w:type="paragraph" w:styleId="Footer">
    <w:name w:val="footer"/>
    <w:basedOn w:val="Normal"/>
    <w:pPr>
      <w:widowControl/>
      <w:tabs>
        <w:tab w:val="clear" w:pos="720"/>
        <w:tab w:val="center" w:pos="4320" w:leader="none"/>
        <w:tab w:val="right" w:pos="8640" w:leader="none"/>
      </w:tabs>
      <w:spacing w:before="60" w:after="60"/>
    </w:pPr>
    <w:rPr>
      <w:sz w:val="20"/>
    </w:rPr>
  </w:style>
  <w:style w:type="paragraph" w:styleId="BodyText2">
    <w:name w:val="Body Text 2"/>
    <w:basedOn w:val="Normal"/>
    <w:qFormat/>
    <w:pPr>
      <w:widowControl/>
      <w:spacing w:before="60" w:after="0"/>
      <w:ind w:hanging="360" w:start="360"/>
      <w:jc w:val="both"/>
    </w:pPr>
    <w:rPr>
      <w:rFonts w:ascii="Arial" w:hAnsi="Arial"/>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LibreOffice_project/c3912edc4c615b55f2051310c417e592ac3ce905</Application>
  <AppVersion>15.0000</AppVersion>
  <Pages>99</Pages>
  <Words>91</Words>
  <Characters>641</Characters>
  <CharactersWithSpaces>522</CharactersWithSpaces>
  <Company>ENRON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2000-12-06T09:11:00Z</dcterms:created>
  <dc:creator>EDC</dc:creator>
  <dc:description/>
  <dc:language>en-US</dc:language>
  <cp:lastModifiedBy/>
  <cp:lastPrinted>2000-05-16T10:08:00Z</cp:lastPrinted>
  <dcterms:modified xsi:type="dcterms:W3CDTF">2000-12-06T10:37:00Z</dcterms:modified>
  <cp:revision>5</cp:revision>
  <dc:subject>1998 Performance Management Review Process</dc:subject>
  <dc:title>Enron International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Enron Technology</vt:lpwstr>
  </property>
</Properties>
</file>