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88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7"/>
        <w:gridCol w:w="1078"/>
        <w:gridCol w:w="1983"/>
        <w:gridCol w:w="1799"/>
        <w:gridCol w:w="1620"/>
        <w:gridCol w:w="1081"/>
        <w:gridCol w:w="1080"/>
        <w:gridCol w:w="1169"/>
      </w:tblGrid>
      <w:tr>
        <w:trPr>
          <w:trHeight w:val="400" w:hRule="atLeast"/>
          <w:cantSplit w:val="true"/>
        </w:trPr>
        <w:tc>
          <w:tcPr>
            <w:tcW w:w="14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pBdr/>
              <w:bidi w:val="0"/>
              <w:spacing w:before="60" w:after="60"/>
              <w:jc w:val="start"/>
              <w:rPr>
                <w:rFonts w:ascii="Times New Roman" w:hAnsi="Times New Roman"/>
              </w:rPr>
              <w:framePr w:w="6016" w:h="1846" w:x="1665" w:hSpace="180" w:vSpace="0" w:wrap="notBeside" w:vAnchor="text" w:hAnchor="page" w:hRule="exact"/>
            </w:pPr>
            <w:r>
              <w:rPr/>
              <w:t>Cuiaba I Project – Sponsor Support</w:t>
            </w:r>
          </w:p>
          <w:p>
            <w:pPr>
              <w:pStyle w:val="Normal"/>
              <w:bidi w:val="0"/>
              <w:spacing w:before="60" w:after="60"/>
              <w:jc w:val="start"/>
              <w:rPr/>
            </w:pPr>
            <w:r>
              <w:rPr/>
            </w:r>
          </w:p>
        </w:tc>
        <w:tc>
          <w:tcPr>
            <w:tcW w:w="8732" w:type="dxa"/>
            <w:gridSpan w:val="6"/>
            <w:tcBorders/>
          </w:tcPr>
          <w:p>
            <w:pPr>
              <w:pStyle w:val="Normal"/>
              <w:bidi w:val="0"/>
              <w:spacing w:before="60" w:after="60"/>
              <w:jc w:val="start"/>
              <w:rPr/>
            </w:pPr>
            <w:r>
              <w:rPr/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i/>
                <w:i/>
                <w:sz w:val="16"/>
              </w:rPr>
            </w:pPr>
            <w:r>
              <w:rPr>
                <w:b/>
                <w:i/>
                <w:sz w:val="16"/>
              </w:rPr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i/>
                <w:sz w:val="16"/>
              </w:rPr>
              <w:t>Item Guaranteed</w:t>
            </w:r>
          </w:p>
        </w:tc>
        <w:tc>
          <w:tcPr>
            <w:tcW w:w="1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i/>
                <w:sz w:val="16"/>
              </w:rPr>
              <w:t>Agreement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i/>
                <w:sz w:val="16"/>
              </w:rPr>
              <w:t>Amount or Cap US$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i/>
                <w:sz w:val="16"/>
              </w:rPr>
              <w:t>ENE (1)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i/>
                <w:sz w:val="16"/>
              </w:rPr>
              <w:t>Shell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i/>
                <w:sz w:val="16"/>
              </w:rPr>
              <w:t>Comments</w:t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180" w:after="0"/>
              <w:jc w:val="start"/>
              <w:outlineLvl w:val="0"/>
              <w:rPr/>
            </w:pPr>
            <w:r>
              <w:rPr>
                <w:sz w:val="16"/>
              </w:rPr>
              <w:t>1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180" w:after="0"/>
              <w:jc w:val="start"/>
              <w:outlineLvl w:val="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180" w:after="0"/>
              <w:jc w:val="start"/>
              <w:outlineLvl w:val="0"/>
              <w:rPr/>
            </w:pPr>
            <w:r>
              <w:rPr>
                <w:sz w:val="16"/>
              </w:rPr>
              <w:t>Liquidity Facility (covering delays in Economic Equilibrium adjustments)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Liquidity Facility Agreement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$20,000,000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71.875%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28.125%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EPE %</w:t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$14,375,000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$5,625,000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>Cost Overrun Support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>Disputed Change Orders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>Penalties to Furnas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>Oil w/o CCC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360" w:leader="none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Unspecified Costs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Equity Contribution Agreement (ECA)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[$30-$60MM]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[$15MM]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[$50MM]</w:t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[$15MM]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 xml:space="preserve"> </w:t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06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*</w:t>
            </w:r>
          </w:p>
          <w:p>
            <w:pPr>
              <w:pStyle w:val="Normal"/>
              <w:numPr>
                <w:ilvl w:val="1"/>
                <w:numId w:val="4"/>
              </w:numPr>
              <w:tabs>
                <w:tab w:val="clear" w:pos="720"/>
                <w:tab w:val="left" w:pos="540" w:leader="none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%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20"/>
                <w:tab w:val="left" w:pos="540" w:leader="none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%</w:t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*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*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28.125%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28.125%</w:t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*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* In accordance with % ownership in Borrower requiring funding</w:t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3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tabs>
                <w:tab w:val="clear" w:pos="720"/>
              </w:tabs>
              <w:bidi w:val="0"/>
              <w:spacing w:before="60" w:after="6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2"/>
              <w:tabs>
                <w:tab w:val="clear" w:pos="720"/>
              </w:tabs>
              <w:bidi w:val="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Inadequate Central Bank Authorization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60" w:leader="none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>No cross guarantee</w:t>
            </w:r>
          </w:p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  <w:tab w:val="left" w:pos="270" w:leader="none"/>
              </w:tabs>
              <w:bidi w:val="0"/>
              <w:spacing w:before="60" w:after="60"/>
              <w:jc w:val="start"/>
              <w:outlineLvl w:val="2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ab/>
              <w:t>On-going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ab/>
              <w:t>Liq/Termination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70" w:leader="none"/>
                <w:tab w:val="left" w:pos="360" w:leader="none"/>
              </w:tabs>
              <w:bidi w:val="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  <w:t>No Onshore US$ Account</w:t>
            </w:r>
          </w:p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  <w:tab w:val="left" w:pos="270" w:leader="none"/>
              </w:tabs>
              <w:bidi w:val="0"/>
              <w:spacing w:before="60" w:after="60"/>
              <w:jc w:val="start"/>
              <w:outlineLvl w:val="2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ab/>
              <w:t>On-going</w:t>
            </w:r>
          </w:p>
          <w:p>
            <w:pPr>
              <w:pStyle w:val="Normal"/>
              <w:tabs>
                <w:tab w:val="clear" w:pos="720"/>
                <w:tab w:val="left" w:pos="270" w:leader="none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ab/>
              <w:t>Liq/Termination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Central Bank Indemnity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$160,000,000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$200,000,000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$12,000,000</w:t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$405,000,000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63.40 %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36.60 %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/>
              <w:t>Weighted Avg Ownership</w:t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tabs>
                <w:tab w:val="clear" w:pos="720"/>
              </w:tabs>
              <w:bidi w:val="0"/>
              <w:spacing w:before="60" w:after="6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tabs>
                <w:tab w:val="clear" w:pos="720"/>
              </w:tabs>
              <w:bidi w:val="0"/>
              <w:spacing w:before="60" w:after="6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Mismatch in TBS gas price vs EPE gas price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Gas Price Differential Agreement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$3,000,000 p.a.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72.5%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27.5%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TBS %</w:t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06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$2,175,00 p.a.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$825,000 p.a.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72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06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Enron Fuel Standby Arrangements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sz w:val="16"/>
              </w:rPr>
            </w:pPr>
            <w:r>
              <w:rPr>
                <w:sz w:val="16"/>
              </w:rPr>
              <w:t>Enron Back-up Fuel    Agreement</w:t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Replacement Agmt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LD’s &amp; Secured Obligations</w:t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b/>
                <w:sz w:val="16"/>
              </w:rPr>
              <w:t>0%</w:t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3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306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17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/>
            </w:pPr>
            <w:r>
              <w:rPr>
                <w:sz w:val="16"/>
              </w:rPr>
              <w:t>LD’s &amp; Secured Obligations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before="60" w:after="60"/>
              <w:jc w:val="start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bidi w:val="0"/>
        <w:spacing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720" w:right="720" w:gutter="0" w:header="720" w:top="777" w:footer="0" w:bottom="72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before="60" w:after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before="60" w:after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60" w:after="720"/>
      <w:jc w:val="start"/>
      <w:rPr>
        <w:rFonts w:ascii="Times New Roman" w:hAnsi="Times New Roman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71"/>
      <w:numFmt w:val="decimal"/>
      <w:lvlText w:val="%1"/>
      <w:lvlJc w:val="start"/>
      <w:pPr>
        <w:tabs>
          <w:tab w:val="num" w:pos="540"/>
        </w:tabs>
        <w:ind w:start="540" w:hanging="540"/>
      </w:pPr>
      <w:rPr/>
    </w:lvl>
    <w:lvl w:ilvl="1">
      <w:start w:val="875"/>
      <w:numFmt w:val="decimal"/>
      <w:lvlText w:val="%1.%2"/>
      <w:lvlJc w:val="start"/>
      <w:pPr>
        <w:tabs>
          <w:tab w:val="num" w:pos="540"/>
        </w:tabs>
        <w:ind w:start="540" w:hanging="540"/>
      </w:pPr>
      <w:rPr/>
    </w:lvl>
    <w:lvl w:ilvl="2">
      <w:start w:val="1"/>
      <w:numFmt w:val="decimal"/>
      <w:lvlText w:val="%1.%2.%3"/>
      <w:lvlJc w:val="start"/>
      <w:pPr>
        <w:tabs>
          <w:tab w:val="num" w:pos="540"/>
        </w:tabs>
        <w:ind w:start="540" w:hanging="54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720"/>
        </w:tabs>
        <w:ind w:start="720" w:hanging="72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080"/>
        </w:tabs>
        <w:ind w:start="1080" w:hanging="108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80"/>
        </w:tabs>
        <w:ind w:start="1080" w:hanging="1080"/>
      </w:pPr>
      <w:rPr/>
    </w:lvl>
  </w:abstractNum>
  <w:abstractNum w:abstractNumId="5">
    <w:lvl w:ilvl="0">
      <w:start w:val="71"/>
      <w:numFmt w:val="decimal"/>
      <w:lvlText w:val="%1"/>
      <w:lvlJc w:val="start"/>
      <w:pPr>
        <w:tabs>
          <w:tab w:val="num" w:pos="540"/>
        </w:tabs>
        <w:ind w:start="540" w:hanging="540"/>
      </w:pPr>
      <w:rPr/>
    </w:lvl>
    <w:lvl w:ilvl="1">
      <w:start w:val="875"/>
      <w:numFmt w:val="decimal"/>
      <w:lvlText w:val="%1.%2"/>
      <w:lvlJc w:val="start"/>
      <w:pPr>
        <w:tabs>
          <w:tab w:val="num" w:pos="540"/>
        </w:tabs>
        <w:ind w:start="540" w:hanging="540"/>
      </w:pPr>
      <w:rPr/>
    </w:lvl>
    <w:lvl w:ilvl="2">
      <w:start w:val="1"/>
      <w:numFmt w:val="decimal"/>
      <w:lvlText w:val="%1.%2.%3"/>
      <w:lvlJc w:val="start"/>
      <w:pPr>
        <w:tabs>
          <w:tab w:val="num" w:pos="540"/>
        </w:tabs>
        <w:ind w:start="540" w:hanging="54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720"/>
        </w:tabs>
        <w:ind w:start="720" w:hanging="720"/>
      </w:pPr>
      <w:rPr/>
    </w:lvl>
    <w:lvl w:ilvl="6">
      <w:start w:val="1"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080"/>
        </w:tabs>
        <w:ind w:start="1080" w:hanging="108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80"/>
        </w:tabs>
        <w:ind w:start="1080" w:hanging="10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60" w:after="60"/>
    </w:pPr>
    <w:rPr>
      <w:rFonts w:ascii="Times New Roman" w:hAnsi="Times New Roman" w:eastAsia="Symbol" w:cs="NotoSans NF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widowControl/>
      <w:spacing w:before="180" w:after="0"/>
    </w:pPr>
    <w:rPr>
      <w:b/>
    </w:rPr>
  </w:style>
  <w:style w:type="paragraph" w:styleId="Heading2">
    <w:name w:val="heading 2"/>
    <w:basedOn w:val="Heading1"/>
    <w:next w:val="Normal"/>
    <w:qFormat/>
    <w:pPr>
      <w:widowControl/>
      <w:spacing w:before="120" w:after="0"/>
      <w:outlineLvl w:val="0"/>
    </w:pPr>
    <w:rPr>
      <w:b/>
      <w:sz w:val="22"/>
    </w:rPr>
  </w:style>
  <w:style w:type="paragraph" w:styleId="Heading3">
    <w:name w:val="heading 3"/>
    <w:basedOn w:val="Heading2"/>
    <w:next w:val="Normal"/>
    <w:qFormat/>
    <w:pPr>
      <w:widowControl/>
      <w:spacing w:before="120" w:after="0"/>
      <w:outlineLvl w:val="1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widowControl/>
      <w:spacing w:before="60" w:after="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 w:val="true"/>
      <w:widowControl/>
      <w:spacing w:before="60" w:after="60"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/>
      <w:spacing w:before="60" w:after="6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widowControl/>
      <w:spacing w:before="60" w:after="60"/>
      <w:outlineLvl w:val="6"/>
    </w:pPr>
    <w:rPr>
      <w:b/>
      <w:sz w:val="16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FootnoteReference">
    <w:name w:val="footnote reference"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before="60" w:after="0"/>
      <w:jc w:val="both"/>
    </w:pPr>
    <w:rPr>
      <w:rFonts w:ascii="Arial" w:hAnsi="Arial"/>
    </w:rPr>
  </w:style>
  <w:style w:type="paragraph" w:styleId="List">
    <w:name w:val="List"/>
    <w:basedOn w:val="Normal"/>
    <w:pPr>
      <w:widowControl/>
      <w:spacing w:before="60" w:after="60"/>
      <w:ind w:hanging="360" w:start="720"/>
    </w:pPr>
    <w:rPr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  <w:tab w:val="right" w:pos="9000" w:leader="none"/>
      </w:tabs>
      <w:spacing w:before="60" w:after="0"/>
    </w:pPr>
    <w:rPr>
      <w:sz w:val="20"/>
    </w:rPr>
  </w:style>
  <w:style w:type="paragraph" w:styleId="FootnoteText">
    <w:name w:val="footnote text"/>
    <w:basedOn w:val="Normal"/>
    <w:pPr>
      <w:widowControl/>
      <w:spacing w:before="60" w:after="60"/>
      <w:ind w:hanging="360" w:start="360"/>
    </w:pPr>
    <w:rPr>
      <w:sz w:val="20"/>
    </w:rPr>
  </w:style>
  <w:style w:type="paragraph" w:styleId="NormalIndent">
    <w:name w:val="Normal Indent"/>
    <w:basedOn w:val="Normal"/>
    <w:qFormat/>
    <w:pPr>
      <w:widowControl/>
      <w:spacing w:before="60" w:after="60"/>
      <w:ind w:hanging="0" w:start="720"/>
    </w:pPr>
    <w:rPr>
      <w:sz w:val="20"/>
    </w:rPr>
  </w:style>
  <w:style w:type="paragraph" w:styleId="SubList">
    <w:name w:val="SubList"/>
    <w:qFormat/>
    <w:pPr>
      <w:widowControl/>
      <w:bidi w:val="0"/>
      <w:spacing w:before="60" w:after="60"/>
      <w:ind w:hanging="360" w:start="144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paragraph" w:styleId="Subject">
    <w:name w:val="Subject"/>
    <w:basedOn w:val="Normal"/>
    <w:qFormat/>
    <w:pPr>
      <w:widowControl/>
      <w:spacing w:before="60" w:after="60"/>
    </w:pPr>
    <w:rPr>
      <w:sz w:val="20"/>
    </w:rPr>
  </w:style>
  <w:style w:type="paragraph" w:styleId="Date">
    <w:name w:val="Date"/>
    <w:basedOn w:val="Normal"/>
    <w:qFormat/>
    <w:pPr>
      <w:widowControl/>
      <w:spacing w:before="60" w:after="60"/>
    </w:pPr>
    <w:rPr>
      <w:sz w:val="20"/>
    </w:rPr>
  </w:style>
  <w:style w:type="paragraph" w:styleId="To">
    <w:name w:val="To"/>
    <w:basedOn w:val="Normal"/>
    <w:qFormat/>
    <w:pPr>
      <w:widowControl/>
      <w:spacing w:before="60" w:after="60"/>
    </w:pPr>
    <w:rPr>
      <w:sz w:val="20"/>
    </w:rPr>
  </w:style>
  <w:style w:type="paragraph" w:styleId="From">
    <w:name w:val="From"/>
    <w:basedOn w:val="Normal"/>
    <w:qFormat/>
    <w:pPr>
      <w:widowControl/>
      <w:spacing w:before="60" w:after="60"/>
    </w:pPr>
    <w:rPr>
      <w:sz w:val="20"/>
    </w:rPr>
  </w:style>
  <w:style w:type="paragraph" w:styleId="Title">
    <w:name w:val="Title"/>
    <w:basedOn w:val="Heading1"/>
    <w:qFormat/>
    <w:pPr>
      <w:widowControl/>
      <w:spacing w:before="180" w:after="0"/>
    </w:pPr>
    <w:rPr>
      <w:b/>
    </w:rPr>
  </w:style>
  <w:style w:type="paragraph" w:styleId="Closed">
    <w:name w:val="Closed"/>
    <w:basedOn w:val="Normal"/>
    <w:qFormat/>
    <w:pPr>
      <w:widowControl/>
      <w:spacing w:before="60" w:after="0"/>
    </w:pPr>
    <w:rPr>
      <w:sz w:val="20"/>
    </w:rPr>
  </w:style>
  <w:style w:type="paragraph" w:styleId="CopyList">
    <w:name w:val="CopyList"/>
    <w:basedOn w:val="Normal"/>
    <w:qFormat/>
    <w:pPr>
      <w:widowControl/>
      <w:tabs>
        <w:tab w:val="clear" w:pos="720"/>
        <w:tab w:val="left" w:pos="504" w:leader="none"/>
      </w:tabs>
      <w:spacing w:before="360" w:after="0"/>
      <w:ind w:hanging="504" w:start="504"/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spacing w:before="60" w:after="60"/>
    </w:pPr>
    <w:rPr>
      <w:sz w:val="20"/>
    </w:rPr>
  </w:style>
  <w:style w:type="paragraph" w:styleId="BodyText2">
    <w:name w:val="Body Text 2"/>
    <w:basedOn w:val="Normal"/>
    <w:qFormat/>
    <w:pPr>
      <w:widowControl/>
      <w:spacing w:before="60" w:after="60"/>
    </w:pPr>
    <w:rPr>
      <w:b/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209</Words>
  <Characters>0</Characters>
  <CharactersWithSpaces>1194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2000-12-04T08:55:00Z</dcterms:created>
  <dc:creator>EDC</dc:creator>
  <dc:description/>
  <dc:language>en-US</dc:language>
  <cp:lastModifiedBy/>
  <cp:lastPrinted>2000-12-04T08:54:00Z</cp:lastPrinted>
  <dcterms:modified xsi:type="dcterms:W3CDTF">2000-12-04T08:57:00Z</dcterms:modified>
  <cp:revision>3</cp:revision>
  <dc:subject>1998 Performance Management Review Process</dc:subject>
  <dc:title>Enron International Memo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Enron Technology</vt:lpwstr>
  </property>
</Properties>
</file>