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document.xml" ContentType="application/vnd.openxmlformats-officedocument.wordprocessingml.document.main+xml"/>
  <Override PartName="/word/header7.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O:\LEGAL\SBOYD\CTR\106 CTR (GEORGIA POWER CO).DOC</w:t>
      </w:r>
    </w:p>
    <w:p>
      <w:pPr>
        <w:pStyle w:val="Normal"/>
        <w:bidi w:val="0"/>
        <w:ind w:hanging="0" w:start="0" w:end="0"/>
        <w:jc w:val="start"/>
        <w:rPr/>
      </w:pPr>
      <w:r>
        <w:rPr/>
        <w:t>and revised document: O:\LEGAL\SBOYD\CTR\106ACTR (GEORGIA POWER CO).DOC</w:t>
      </w:r>
    </w:p>
    <w:p>
      <w:pPr>
        <w:pStyle w:val="Normal"/>
        <w:bidi w:val="0"/>
        <w:ind w:hanging="0" w:start="0" w:end="0"/>
        <w:jc w:val="start"/>
        <w:rPr/>
      </w:pPr>
      <w:r>
        <w:rPr/>
      </w:r>
    </w:p>
    <w:p>
      <w:pPr>
        <w:pStyle w:val="Normal"/>
        <w:bidi w:val="0"/>
        <w:ind w:hanging="0" w:start="0" w:end="0"/>
        <w:jc w:val="start"/>
        <w:rPr/>
      </w:pPr>
      <w:r>
        <w:rPr/>
        <w:t>CompareRite found   37 change(s) in the text</w:t>
      </w:r>
    </w:p>
    <w:p>
      <w:pPr>
        <w:pStyle w:val="Normal"/>
        <w:bidi w:val="0"/>
        <w:ind w:hanging="0" w:start="0" w:end="0"/>
        <w:jc w:val="start"/>
        <w:rPr/>
      </w:pPr>
      <w:r>
        <w:rPr/>
      </w:r>
    </w:p>
    <w:p>
      <w:pPr>
        <w:pStyle w:val="Normal"/>
        <w:bidi w:val="0"/>
        <w:ind w:hanging="0" w:start="0" w:end="0"/>
        <w:jc w:val="start"/>
        <w:rPr/>
      </w:pPr>
      <w:r>
        <w:rPr/>
        <w:t xml:space="preserve">Deletions appear as Overstrike text </w:t>
      </w:r>
    </w:p>
    <w:p>
      <w:pPr>
        <w:pStyle w:val="Normal"/>
        <w:bidi w:val="0"/>
        <w:ind w:hanging="0" w:start="0" w:end="0"/>
        <w:jc w:val="start"/>
        <w:rPr/>
      </w:pPr>
      <w:r>
        <w:rPr/>
        <w:t xml:space="preserve">Additions appear as Bold-Underline text </w:t>
      </w:r>
      <w:r>
        <w:br w:type="page"/>
      </w:r>
    </w:p>
    <w:p>
      <w:pPr>
        <w:pStyle w:val="Heading6"/>
        <w:widowControl/>
        <w:numPr>
          <w:ilvl w:val="0"/>
          <w:numId w:val="0"/>
        </w:numPr>
        <w:bidi w:val="0"/>
        <w:ind w:hanging="0" w:start="0"/>
        <w:jc w:val="end"/>
        <w:outlineLvl w:val="5"/>
        <w:rPr>
          <w:rFonts w:ascii="Times New Roman" w:hAnsi="Times New Roman"/>
        </w:rPr>
      </w:pPr>
      <w:r>
        <w:rPr/>
        <w:t xml:space="preserve">DRAFT OF </w:t>
      </w:r>
      <w:r>
        <w:rPr>
          <w:strike/>
        </w:rPr>
        <w:t>07/09/2001</w:t>
      </w:r>
      <w:r>
        <w:rPr/>
        <w:t xml:space="preserve"> 10/02/2001</w:t>
      </w:r>
    </w:p>
    <w:p>
      <w:pPr>
        <w:pStyle w:val="Normal"/>
        <w:widowControl/>
        <w:bidi w:val="0"/>
        <w:ind w:hanging="0" w:start="0" w:end="0"/>
        <w:jc w:val="end"/>
        <w:rPr>
          <w:b/>
          <w:sz w:val="22"/>
        </w:rPr>
      </w:pPr>
      <w:r>
        <w:rPr>
          <w:b/>
          <w:sz w:val="22"/>
        </w:rPr>
      </w:r>
    </w:p>
    <w:p>
      <w:pPr>
        <w:pStyle w:val="BodyText3"/>
        <w:widowControl/>
        <w:bidi w:val="0"/>
        <w:rPr>
          <w:rFonts w:ascii="Times New Roman" w:hAnsi="Times New Roman"/>
        </w:rPr>
      </w:pPr>
      <w:r>
        <w:rPr/>
        <w:t>SCHEDULE</w:t>
        <w:br/>
        <w:t>to the</w:t>
        <w:br/>
        <w:t>MASTER AGREEMENT</w:t>
        <w:br/>
        <w:t>(Multicurrency-Cross Border)</w:t>
      </w:r>
    </w:p>
    <w:p>
      <w:pPr>
        <w:pStyle w:val="Normal"/>
        <w:widowControl/>
        <w:tabs>
          <w:tab w:val="clear" w:pos="720"/>
          <w:tab w:val="center" w:pos="5760" w:leader="none"/>
        </w:tabs>
        <w:bidi w:val="0"/>
        <w:spacing w:before="120" w:after="0"/>
        <w:ind w:hanging="0" w:start="0" w:end="0"/>
        <w:jc w:val="center"/>
        <w:rPr>
          <w:b/>
          <w:sz w:val="22"/>
        </w:rPr>
      </w:pPr>
      <w:r>
        <w:rPr>
          <w:b/>
          <w:sz w:val="22"/>
        </w:rPr>
        <w:t>dated as of _________________, 2001</w:t>
      </w:r>
    </w:p>
    <w:p>
      <w:pPr>
        <w:pStyle w:val="Normal"/>
        <w:widowControl/>
        <w:tabs>
          <w:tab w:val="clear" w:pos="720"/>
          <w:tab w:val="center" w:pos="5760" w:leader="none"/>
        </w:tabs>
        <w:bidi w:val="0"/>
        <w:spacing w:before="120" w:after="0"/>
        <w:ind w:hanging="0" w:start="0" w:end="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widowControl/>
              <w:tabs>
                <w:tab w:val="clear" w:pos="720"/>
                <w:tab w:val="center" w:pos="5760" w:leader="none"/>
              </w:tabs>
              <w:bidi w:val="0"/>
              <w:spacing w:before="240" w:after="0"/>
              <w:ind w:hanging="0" w:start="0" w:end="0"/>
              <w:jc w:val="center"/>
              <w:rPr/>
            </w:pPr>
            <w:r>
              <w:rPr>
                <w:b/>
                <w:sz w:val="22"/>
              </w:rPr>
              <w:t>ENRON NORTH AMERICA CORP., a corporation organized under the law of the State of Delaware (“Party A”), and</w:t>
            </w:r>
          </w:p>
        </w:tc>
        <w:tc>
          <w:tcPr>
            <w:tcW w:w="4787" w:type="dxa"/>
            <w:tcBorders/>
          </w:tcPr>
          <w:p>
            <w:pPr>
              <w:pStyle w:val="Normal"/>
              <w:widowControl/>
              <w:tabs>
                <w:tab w:val="clear" w:pos="720"/>
                <w:tab w:val="center" w:pos="5760" w:leader="none"/>
              </w:tabs>
              <w:bidi w:val="0"/>
              <w:spacing w:before="240" w:after="0"/>
              <w:ind w:hanging="0" w:start="0" w:end="0"/>
              <w:jc w:val="center"/>
              <w:rPr>
                <w:b/>
                <w:sz w:val="22"/>
              </w:rPr>
            </w:pPr>
            <w:r>
              <w:rPr>
                <w:rFonts w:ascii="Times" w:hAnsi="Times"/>
                <w:b/>
                <w:caps/>
                <w:sz w:val="22"/>
              </w:rPr>
              <w:t>Georgia Power Company</w:t>
            </w:r>
            <w:r>
              <w:rPr>
                <w:b/>
                <w:sz w:val="22"/>
              </w:rPr>
              <w:t xml:space="preserve">, a </w:t>
            </w:r>
            <w:r>
              <w:rPr>
                <w:b/>
                <w:strike/>
                <w:sz w:val="22"/>
              </w:rPr>
              <w:t>_____________</w:t>
            </w:r>
            <w:r>
              <w:rPr>
                <w:b/>
                <w:sz w:val="22"/>
                <w:u w:val="single"/>
              </w:rPr>
              <w:t>corporation</w:t>
            </w:r>
            <w:r>
              <w:rPr>
                <w:b/>
                <w:sz w:val="22"/>
              </w:rPr>
              <w:t xml:space="preserve"> organized under the law of the State of </w:t>
            </w:r>
            <w:r>
              <w:rPr>
                <w:b/>
                <w:strike/>
                <w:sz w:val="22"/>
              </w:rPr>
              <w:t>_______________</w:t>
            </w:r>
            <w:r>
              <w:rPr>
                <w:b/>
                <w:sz w:val="22"/>
                <w:u w:val="single"/>
              </w:rPr>
              <w:t>Georgia</w:t>
            </w:r>
            <w:r>
              <w:rPr>
                <w:b/>
                <w:sz w:val="22"/>
              </w:rPr>
              <w:t xml:space="preserve"> (“Party B”)</w:t>
            </w:r>
          </w:p>
          <w:p>
            <w:pPr>
              <w:pStyle w:val="Normal"/>
              <w:widowControl/>
              <w:tabs>
                <w:tab w:val="clear" w:pos="720"/>
                <w:tab w:val="center" w:pos="5760" w:leader="none"/>
              </w:tabs>
              <w:bidi w:val="0"/>
              <w:spacing w:before="240" w:after="0"/>
              <w:ind w:hanging="0" w:start="0" w:end="0"/>
              <w:jc w:val="center"/>
              <w:rPr>
                <w:b/>
                <w:color w:val="7F7F00"/>
                <w:sz w:val="22"/>
              </w:rPr>
            </w:pPr>
            <w:r>
              <w:rPr>
                <w:b/>
                <w:color w:val="7F7F00"/>
                <w:sz w:val="22"/>
              </w:rPr>
            </w:r>
          </w:p>
        </w:tc>
      </w:tr>
    </w:tbl>
    <w:p>
      <w:pPr>
        <w:pStyle w:val="Normal"/>
        <w:widowControl/>
        <w:bidi w:val="0"/>
        <w:spacing w:before="480" w:after="0"/>
        <w:ind w:hanging="0" w:start="0" w:end="0"/>
        <w:jc w:val="both"/>
        <w:rPr>
          <w:b/>
          <w:sz w:val="22"/>
        </w:rPr>
      </w:pPr>
      <w:r>
        <w:rPr>
          <w:b/>
          <w:sz w:val="22"/>
        </w:rPr>
        <w:t>Part 1.</w:t>
      </w:r>
      <w:r>
        <w:rPr>
          <w:sz w:val="22"/>
        </w:rPr>
        <w:t xml:space="preserve"> </w:t>
      </w:r>
      <w:r>
        <w:rPr>
          <w:b/>
          <w:sz w:val="22"/>
        </w:rPr>
        <w:t>Termination Provisions.</w:t>
      </w:r>
    </w:p>
    <w:p>
      <w:pPr>
        <w:pStyle w:val="Normal"/>
        <w:widowControl/>
        <w:bidi w:val="0"/>
        <w:spacing w:lineRule="exact" w:line="240" w:before="240" w:after="0"/>
        <w:ind w:firstLine="720" w:start="0" w:end="0"/>
        <w:jc w:val="both"/>
        <w:rPr>
          <w:sz w:val="22"/>
        </w:rPr>
      </w:pPr>
      <w:r>
        <w:rPr>
          <w:sz w:val="22"/>
        </w:rPr>
        <w:t>(a)</w:t>
        <w:tab/>
      </w:r>
      <w:r>
        <w:rPr>
          <w:b/>
          <w:sz w:val="22"/>
        </w:rPr>
        <w:t>“Specified Entity”</w:t>
      </w:r>
      <w:r>
        <w:rPr>
          <w:sz w:val="22"/>
        </w:rPr>
        <w:t xml:space="preserve"> means in relation to Party A, none; and in relation to Party B, none.</w:t>
      </w:r>
    </w:p>
    <w:p>
      <w:pPr>
        <w:pStyle w:val="Normal"/>
        <w:widowControl/>
        <w:bidi w:val="0"/>
        <w:spacing w:lineRule="exact" w:line="240" w:before="240" w:after="0"/>
        <w:ind w:firstLine="720" w:start="0" w:end="0"/>
        <w:jc w:val="both"/>
        <w:rPr>
          <w:sz w:val="22"/>
        </w:rPr>
      </w:pPr>
      <w:r>
        <w:rPr>
          <w:sz w:val="22"/>
        </w:rPr>
        <w:t>(b)</w:t>
        <w:tab/>
        <w:t>The “</w:t>
      </w:r>
      <w:r>
        <w:rPr>
          <w:b/>
          <w:sz w:val="22"/>
        </w:rPr>
        <w:t>Cross Default”</w:t>
      </w:r>
      <w:r>
        <w:rPr>
          <w:sz w:val="22"/>
        </w:rPr>
        <w:t xml:space="preserve"> provisions of Section 5(a)(vi) will apply to Party A, and will apply to Party B.</w:t>
      </w:r>
    </w:p>
    <w:p>
      <w:pPr>
        <w:pStyle w:val="Normal"/>
        <w:widowControl/>
        <w:bidi w:val="0"/>
        <w:spacing w:lineRule="exact" w:line="240" w:before="240" w:after="0"/>
        <w:ind w:hanging="0"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w:t>
      </w:r>
      <w:r>
        <w:rPr>
          <w:strike/>
          <w:sz w:val="22"/>
        </w:rPr>
        <w:t>$50,000,000</w:t>
      </w:r>
      <w:r>
        <w:rPr>
          <w:sz w:val="22"/>
        </w:rPr>
        <w:t xml:space="preserve"> </w:t>
      </w:r>
      <w:r>
        <w:rPr>
          <w:b/>
          <w:sz w:val="22"/>
          <w:u w:val="single"/>
        </w:rPr>
        <w:t>$100,000,000</w:t>
      </w:r>
      <w:r>
        <w:rPr>
          <w:sz w:val="22"/>
        </w:rPr>
        <w:t xml:space="preserve"> (or its equivalent in another currency)</w:t>
      </w:r>
      <w:r>
        <w:rPr>
          <w:color w:val="000000"/>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widowControl/>
        <w:bidi w:val="0"/>
        <w:spacing w:lineRule="exact" w:line="240" w:before="240" w:after="0"/>
        <w:ind w:firstLine="720" w:start="0" w:end="0"/>
        <w:jc w:val="both"/>
        <w:rPr>
          <w:sz w:val="22"/>
        </w:rPr>
      </w:pPr>
      <w:r>
        <w:rPr>
          <w:sz w:val="22"/>
        </w:rPr>
        <w:t>(c)</w:t>
        <w:tab/>
        <w:t xml:space="preserve">The </w:t>
      </w:r>
      <w:r>
        <w:rPr>
          <w:b/>
          <w:sz w:val="22"/>
        </w:rPr>
        <w:t>“Credit Event Upon Merger”</w:t>
      </w:r>
      <w:r>
        <w:rPr>
          <w:sz w:val="22"/>
        </w:rPr>
        <w:t xml:space="preserve"> provisions of Section 5(b)(iv) as amended below will apply to Party A and to Party B</w:t>
      </w:r>
      <w:r>
        <w:rPr>
          <w:b/>
          <w:sz w:val="22"/>
          <w:u w:val="single"/>
        </w:rPr>
        <w:t>; provided, however, that the phrase “materially weaker” means the Credit Rating of the resulting, surviving or transferee entity is (i) rated less than investment grade by either Standard &amp; Poor’s Rating Group (“S&amp;P”) or Moody’s Investor Service, Inc. (“Moody’s”) or (ii) is withdrawn by either S&amp;P or Moody’s; provided, further, however, that the foregoing action or event shall not constitute a Termination Event (1) if after such action or event the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therefore Eligible Credit Support in an amount satisfactory to Y in its sole discretion.  If such Eligible Credit Support is provided, it shall be in addition to any Eligible Credit Support required under the ISDA Credit Support Annex attached but it shall be otherwise administered under said Credit Support Annex</w:t>
      </w:r>
      <w:r>
        <w:rPr>
          <w:sz w:val="22"/>
        </w:rPr>
        <w:t>.</w:t>
      </w:r>
    </w:p>
    <w:p>
      <w:pPr>
        <w:pStyle w:val="Normal"/>
        <w:widowControl/>
        <w:bidi w:val="0"/>
        <w:spacing w:lineRule="exact" w:line="240" w:before="240" w:after="0"/>
        <w:ind w:firstLine="720" w:start="0" w:end="0"/>
        <w:jc w:val="both"/>
        <w:rPr>
          <w:sz w:val="22"/>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widowControl/>
        <w:bidi w:val="0"/>
        <w:spacing w:lineRule="exact" w:line="240" w:before="240" w:after="0"/>
        <w:ind w:firstLine="720" w:start="0" w:end="0"/>
        <w:jc w:val="both"/>
        <w:rPr>
          <w:sz w:val="22"/>
        </w:rPr>
      </w:pPr>
      <w:r>
        <w:rPr>
          <w:sz w:val="22"/>
        </w:rPr>
        <w:t>(e)</w:t>
        <w:tab/>
      </w:r>
      <w:r>
        <w:rPr>
          <w:b/>
          <w:sz w:val="22"/>
        </w:rPr>
        <w:t>Payments on Early Termination.</w:t>
      </w:r>
      <w:r>
        <w:rPr>
          <w:sz w:val="22"/>
        </w:rPr>
        <w:t xml:space="preserve">  For the purpose of Section 6(e):  (i) Loss will apply, and (ii) the Second Method will apply.</w:t>
      </w:r>
    </w:p>
    <w:p>
      <w:pPr>
        <w:pStyle w:val="Normal"/>
        <w:widowControl/>
        <w:bidi w:val="0"/>
        <w:spacing w:lineRule="exact" w:line="240" w:before="240" w:after="0"/>
        <w:ind w:firstLine="720" w:start="0" w:end="0"/>
        <w:jc w:val="both"/>
        <w:rPr>
          <w:sz w:val="22"/>
        </w:rPr>
      </w:pPr>
      <w:r>
        <w:rPr>
          <w:sz w:val="22"/>
        </w:rPr>
        <w:t>(f)</w:t>
        <w:tab/>
      </w:r>
      <w:r>
        <w:rPr>
          <w:b/>
          <w:sz w:val="22"/>
        </w:rPr>
        <w:t>“Termination Currency”</w:t>
      </w:r>
      <w:r>
        <w:rPr>
          <w:sz w:val="22"/>
        </w:rPr>
        <w:t xml:space="preserve"> means United States Dollars.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trike/>
          <w:sz w:val="22"/>
        </w:rPr>
      </w:pPr>
      <w:r>
        <w:rPr>
          <w:sz w:val="22"/>
        </w:rPr>
        <w:t>(g)</w:t>
      </w:r>
      <w:r>
        <w:rPr>
          <w:strike/>
          <w:sz w:val="22"/>
        </w:rPr>
        <w:t xml:space="preserve"> Section 5(b)(iv) is hereby amended by adding the following phrase between the closing parenthesis and the semicolon at the end thereof: “provided, however,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Annex A, but it shall be otherwise administered under Annex A.”</w:t>
      </w:r>
    </w:p>
    <w:p>
      <w:pPr>
        <w:pStyle w:val="Normal"/>
        <w:widowControl/>
        <w:bidi w:val="0"/>
        <w:spacing w:lineRule="atLeast" w:line="240"/>
        <w:ind w:firstLine="720" w:start="0" w:end="0"/>
        <w:jc w:val="both"/>
        <w:rPr>
          <w:strike/>
          <w:sz w:val="22"/>
        </w:rPr>
      </w:pPr>
      <w:r>
        <w:rPr>
          <w:strike/>
          <w:sz w:val="22"/>
        </w:rPr>
      </w:r>
    </w:p>
    <w:p>
      <w:pPr>
        <w:pStyle w:val="Normal"/>
        <w:widowControl/>
        <w:bidi w:val="0"/>
        <w:spacing w:lineRule="atLeast" w:line="240"/>
        <w:ind w:firstLine="720" w:start="0" w:end="0"/>
        <w:jc w:val="both"/>
        <w:rPr>
          <w:sz w:val="22"/>
        </w:rPr>
      </w:pPr>
      <w:r>
        <w:rPr>
          <w:strike/>
          <w:sz w:val="22"/>
        </w:rPr>
        <w:t>(h)</w:t>
      </w:r>
      <w:r>
        <w:rPr>
          <w:sz w:val="22"/>
        </w:rPr>
        <w:tab/>
      </w:r>
      <w:r>
        <w:rPr>
          <w:b/>
          <w:sz w:val="22"/>
        </w:rPr>
        <w:t>Additional Termination Event</w:t>
      </w:r>
      <w:r>
        <w:rPr>
          <w:sz w:val="22"/>
        </w:rPr>
        <w:t xml:space="preserve"> will apply.  The following will </w:t>
      </w:r>
      <w:r>
        <w:rPr>
          <w:strike/>
          <w:sz w:val="22"/>
        </w:rPr>
        <w:t>each</w:t>
      </w:r>
      <w:r>
        <w:rPr>
          <w:sz w:val="22"/>
        </w:rPr>
        <w:t xml:space="preserve"> constitute an Additional Termination Event with respect to Party B:</w:t>
      </w:r>
    </w:p>
    <w:p>
      <w:pPr>
        <w:pStyle w:val="Normal"/>
        <w:widowControl/>
        <w:bidi w:val="0"/>
        <w:spacing w:lineRule="exact" w:line="240" w:before="240" w:after="0"/>
        <w:ind w:hanging="0" w:start="720" w:end="0"/>
        <w:jc w:val="both"/>
        <w:rPr>
          <w:color w:val="FF0000"/>
          <w:sz w:val="22"/>
        </w:rPr>
      </w:pPr>
      <w:r>
        <w:rPr>
          <w:sz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p>
    <w:p>
      <w:pPr>
        <w:pStyle w:val="Normal"/>
        <w:widowControl/>
        <w:bidi w:val="0"/>
        <w:spacing w:lineRule="exact" w:line="240" w:before="240" w:after="0"/>
        <w:ind w:firstLine="720" w:start="0" w:end="0"/>
        <w:jc w:val="both"/>
        <w:rPr/>
      </w:pPr>
      <w:r>
        <w:rPr>
          <w:strike/>
          <w:sz w:val="22"/>
        </w:rPr>
        <w:t>(i)</w:t>
      </w:r>
      <w:r>
        <w:rPr>
          <w:b/>
          <w:sz w:val="22"/>
          <w:u w:val="single"/>
        </w:rPr>
        <w:t>(h)</w:t>
      </w:r>
      <w:r>
        <w:rPr>
          <w:b/>
          <w:sz w:val="22"/>
        </w:rPr>
        <w:tab/>
        <w:t>“Contractual Currency”</w:t>
      </w:r>
      <w:r>
        <w:rPr>
          <w:sz w:val="22"/>
        </w:rPr>
        <w:t xml:space="preserve"> unless otherwise specified in a Confirmation, shall mean United States Dollars.</w:t>
      </w:r>
    </w:p>
    <w:p>
      <w:pPr>
        <w:pStyle w:val="Normal"/>
        <w:widowControl/>
        <w:tabs>
          <w:tab w:val="clear" w:pos="720"/>
          <w:tab w:val="left" w:pos="1080" w:leader="none"/>
        </w:tabs>
        <w:bidi w:val="0"/>
        <w:spacing w:lineRule="exact" w:line="480"/>
        <w:ind w:hanging="0" w:start="0" w:end="0"/>
        <w:jc w:val="both"/>
        <w:rPr>
          <w:b/>
          <w:sz w:val="22"/>
        </w:rPr>
      </w:pPr>
      <w:r>
        <w:rPr>
          <w:b/>
          <w:sz w:val="22"/>
        </w:rPr>
        <w:t>Part 2.</w:t>
        <w:tab/>
        <w:t>Tax Representations.</w:t>
      </w:r>
    </w:p>
    <w:p>
      <w:pPr>
        <w:pStyle w:val="Normal"/>
        <w:widowControl/>
        <w:bidi w:val="0"/>
        <w:spacing w:lineRule="exact" w:line="240" w:before="240" w:after="0"/>
        <w:ind w:firstLine="720" w:start="0" w:end="0"/>
        <w:jc w:val="both"/>
        <w:rPr>
          <w:sz w:val="22"/>
        </w:rPr>
      </w:pPr>
      <w:r>
        <w:rPr>
          <w:sz w:val="22"/>
        </w:rPr>
        <w:t>(a)</w:t>
      </w:r>
      <w:r>
        <w:rPr>
          <w:b/>
          <w:sz w:val="22"/>
        </w:rPr>
        <w:tab/>
        <w:t xml:space="preserve">Payer Representations.  </w:t>
      </w:r>
      <w:r>
        <w:rPr>
          <w:sz w:val="22"/>
        </w:rPr>
        <w:t>For the purpose of Section 3(e), Party A and Party B make the following representation:</w:t>
      </w:r>
    </w:p>
    <w:p>
      <w:pPr>
        <w:pStyle w:val="Normal"/>
        <w:widowControl/>
        <w:bidi w:val="0"/>
        <w:spacing w:lineRule="exact" w:line="240" w:before="240" w:after="0"/>
        <w:ind w:hanging="0" w:start="720" w:end="0"/>
        <w:jc w:val="both"/>
        <w:rPr>
          <w:sz w:val="22"/>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bidi w:val="0"/>
        <w:spacing w:lineRule="exact" w:line="240" w:before="240" w:after="0"/>
        <w:ind w:firstLine="720" w:start="0" w:end="0"/>
        <w:jc w:val="both"/>
        <w:rPr>
          <w:sz w:val="22"/>
        </w:rPr>
      </w:pPr>
      <w:r>
        <w:rPr>
          <w:sz w:val="22"/>
        </w:rPr>
        <w:t>(b)</w:t>
      </w:r>
      <w:r>
        <w:rPr>
          <w:b/>
          <w:sz w:val="22"/>
        </w:rPr>
        <w:tab/>
        <w:t>Payee Representations.</w:t>
      </w:r>
      <w:r>
        <w:rPr>
          <w:sz w:val="22"/>
        </w:rPr>
        <w:t xml:space="preserve">  For the purpose of Section 3(f), Party A and Party B make the following representations:</w:t>
      </w:r>
    </w:p>
    <w:p>
      <w:pPr>
        <w:pStyle w:val="Normal"/>
        <w:widowControl/>
        <w:bidi w:val="0"/>
        <w:spacing w:lineRule="exact" w:line="240" w:before="240" w:after="0"/>
        <w:ind w:hanging="180" w:start="900" w:end="0"/>
        <w:jc w:val="both"/>
        <w:rPr>
          <w:sz w:val="22"/>
        </w:rPr>
      </w:pPr>
      <w:r>
        <w:rPr>
          <w:sz w:val="22"/>
        </w:rPr>
        <w:t>(i)</w:t>
        <w:tab/>
        <w:t>The following representation applies to Party A:</w:t>
      </w:r>
    </w:p>
    <w:p>
      <w:pPr>
        <w:pStyle w:val="Normal"/>
        <w:widowControl/>
        <w:bidi w:val="0"/>
        <w:spacing w:lineRule="exact" w:line="240" w:before="240" w:after="0"/>
        <w:ind w:firstLine="540" w:start="900" w:end="0"/>
        <w:jc w:val="both"/>
        <w:rPr>
          <w:sz w:val="22"/>
        </w:rPr>
      </w:pPr>
      <w:r>
        <w:rPr>
          <w:sz w:val="22"/>
        </w:rPr>
        <w:t>Party A is a corporation organized under the laws of the State of Delaware.</w:t>
      </w:r>
    </w:p>
    <w:p>
      <w:pPr>
        <w:pStyle w:val="Normal"/>
        <w:widowControl/>
        <w:bidi w:val="0"/>
        <w:spacing w:lineRule="exact" w:line="240" w:before="240" w:after="0"/>
        <w:ind w:hanging="180" w:start="900" w:end="0"/>
        <w:jc w:val="both"/>
        <w:rPr>
          <w:sz w:val="22"/>
        </w:rPr>
      </w:pPr>
      <w:r>
        <w:rPr>
          <w:sz w:val="22"/>
        </w:rPr>
        <w:t>(ii)</w:t>
        <w:tab/>
        <w:t>The following representation applies to Party B:</w:t>
      </w:r>
    </w:p>
    <w:p>
      <w:pPr>
        <w:pStyle w:val="Normal"/>
        <w:widowControl/>
        <w:bidi w:val="0"/>
        <w:spacing w:lineRule="exact" w:line="240" w:before="240" w:after="0"/>
        <w:ind w:firstLine="540" w:start="900" w:end="0"/>
        <w:jc w:val="both"/>
        <w:rPr>
          <w:sz w:val="22"/>
        </w:rPr>
      </w:pPr>
      <w:r>
        <w:rPr>
          <w:sz w:val="22"/>
        </w:rPr>
        <w:t xml:space="preserve">Party B is a corporation organized under the laws of the State of </w:t>
      </w:r>
      <w:r>
        <w:rPr>
          <w:strike/>
          <w:sz w:val="22"/>
        </w:rPr>
        <w:t>______________</w:t>
      </w:r>
      <w:r>
        <w:rPr>
          <w:b/>
          <w:sz w:val="22"/>
          <w:u w:val="single"/>
        </w:rPr>
        <w:t>Georgia</w:t>
      </w:r>
      <w:r>
        <w:rPr>
          <w:sz w:val="22"/>
        </w:rPr>
        <w:t>.</w:t>
      </w:r>
    </w:p>
    <w:p>
      <w:pPr>
        <w:pStyle w:val="Normal"/>
        <w:widowControl/>
        <w:bidi w:val="0"/>
        <w:spacing w:lineRule="exact" w:line="240" w:before="240" w:after="0"/>
        <w:ind w:hanging="0" w:start="0" w:end="0"/>
        <w:jc w:val="both"/>
        <w:rPr>
          <w:sz w:val="22"/>
        </w:rPr>
      </w:pPr>
      <w:r>
        <w:rPr>
          <w:b/>
          <w:sz w:val="22"/>
        </w:rPr>
        <w:t>Part 3.  Agreement to Deliver Documents.</w:t>
      </w:r>
    </w:p>
    <w:p>
      <w:pPr>
        <w:pStyle w:val="Normal"/>
        <w:widowControl/>
        <w:bidi w:val="0"/>
        <w:spacing w:lineRule="exact" w:line="240" w:before="240" w:after="0"/>
        <w:ind w:firstLine="720" w:start="0" w:end="0"/>
        <w:jc w:val="both"/>
        <w:rPr>
          <w:sz w:val="22"/>
        </w:rPr>
      </w:pPr>
      <w:r>
        <w:rPr>
          <w:sz w:val="22"/>
        </w:rPr>
        <w:t>For the purpose of Section 4(a), each party agrees to deliver the following documents, as applicable:</w:t>
      </w:r>
    </w:p>
    <w:p>
      <w:pPr>
        <w:pStyle w:val="Normal"/>
        <w:keepNext w:val="true"/>
        <w:widowControl/>
        <w:bidi w:val="0"/>
        <w:spacing w:lineRule="exact" w:line="240" w:before="240" w:after="0"/>
        <w:ind w:firstLine="720" w:start="0" w:end="0"/>
        <w:jc w:val="both"/>
        <w:rPr>
          <w:color w:val="000000"/>
          <w:sz w:val="22"/>
        </w:rPr>
      </w:pPr>
      <w:r>
        <w:rPr>
          <w:color w:val="000000"/>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7"/>
        <w:gridCol w:w="1985"/>
      </w:tblGrid>
      <w:tr>
        <w:trPr>
          <w:tblHeader w:val="true"/>
          <w:cantSplit w:val="true"/>
        </w:trPr>
        <w:tc>
          <w:tcPr>
            <w:tcW w:w="1837" w:type="dxa"/>
            <w:tcBorders/>
            <w:vAlign w:val="bottom"/>
          </w:tcPr>
          <w:p>
            <w:pPr>
              <w:pStyle w:val="Normal"/>
              <w:keepNext w:val="true"/>
              <w:widowControl/>
              <w:tabs>
                <w:tab w:val="clear" w:pos="720"/>
              </w:tabs>
              <w:bidi w:val="0"/>
              <w:spacing w:lineRule="atLeast" w:line="240" w:before="240" w:after="0"/>
              <w:ind w:hanging="0" w:start="0" w:end="0"/>
              <w:jc w:val="start"/>
              <w:rPr/>
            </w:pPr>
            <w:r>
              <w:rPr>
                <w:b/>
                <w:sz w:val="22"/>
              </w:rPr>
              <w:t xml:space="preserve">Party required to deliver </w:t>
            </w:r>
            <w:r>
              <w:rPr>
                <w:b/>
                <w:sz w:val="22"/>
                <w:u w:val="single"/>
              </w:rPr>
              <w:t>document</w:t>
            </w:r>
          </w:p>
        </w:tc>
        <w:tc>
          <w:tcPr>
            <w:tcW w:w="3886" w:type="dxa"/>
            <w:tcBorders/>
            <w:vAlign w:val="bottom"/>
          </w:tcPr>
          <w:p>
            <w:pPr>
              <w:pStyle w:val="Normal"/>
              <w:keepNext w:val="true"/>
              <w:widowControl/>
              <w:tabs>
                <w:tab w:val="clear" w:pos="720"/>
              </w:tabs>
              <w:bidi w:val="0"/>
              <w:spacing w:lineRule="atLeast" w:line="240" w:before="240" w:after="0"/>
              <w:ind w:hanging="0" w:start="0" w:end="0"/>
              <w:jc w:val="start"/>
              <w:rPr/>
            </w:pPr>
            <w:r>
              <w:rPr>
                <w:b/>
                <w:sz w:val="22"/>
                <w:u w:val="single"/>
              </w:rPr>
              <w:t>Form/Document/Certificate</w:t>
            </w:r>
          </w:p>
        </w:tc>
        <w:tc>
          <w:tcPr>
            <w:tcW w:w="2227" w:type="dxa"/>
            <w:tcBorders/>
            <w:vAlign w:val="bottom"/>
          </w:tcPr>
          <w:p>
            <w:pPr>
              <w:pStyle w:val="Normal"/>
              <w:keepNext w:val="true"/>
              <w:widowControl/>
              <w:tabs>
                <w:tab w:val="clear" w:pos="720"/>
              </w:tabs>
              <w:bidi w:val="0"/>
              <w:spacing w:lineRule="atLeast" w:line="240" w:before="240" w:after="0"/>
              <w:ind w:hanging="0" w:start="0" w:end="0"/>
              <w:jc w:val="start"/>
              <w:rPr/>
            </w:pPr>
            <w:r>
              <w:rPr>
                <w:b/>
                <w:sz w:val="22"/>
              </w:rPr>
              <w:t xml:space="preserve">Date by which to </w:t>
            </w:r>
            <w:r>
              <w:rPr>
                <w:b/>
                <w:sz w:val="22"/>
                <w:u w:val="single"/>
              </w:rPr>
              <w:t>be delivered</w:t>
            </w:r>
          </w:p>
        </w:tc>
        <w:tc>
          <w:tcPr>
            <w:tcW w:w="1985" w:type="dxa"/>
            <w:tcBorders/>
            <w:vAlign w:val="bottom"/>
          </w:tcPr>
          <w:p>
            <w:pPr>
              <w:pStyle w:val="Normal"/>
              <w:keepNext w:val="true"/>
              <w:widowControl/>
              <w:tabs>
                <w:tab w:val="clear" w:pos="720"/>
              </w:tabs>
              <w:bidi w:val="0"/>
              <w:spacing w:lineRule="atLeast" w:line="240" w:before="240" w:after="0"/>
              <w:ind w:hanging="0" w:start="0" w:end="0"/>
              <w:jc w:val="center"/>
              <w:rPr/>
            </w:pPr>
            <w:r>
              <w:rPr>
                <w:b/>
                <w:sz w:val="22"/>
              </w:rPr>
              <w:t xml:space="preserve">Covered by Section 3(d) </w:t>
            </w:r>
            <w:r>
              <w:rPr>
                <w:b/>
                <w:sz w:val="22"/>
                <w:u w:val="single"/>
              </w:rPr>
              <w:t>Representation</w:t>
            </w:r>
          </w:p>
        </w:tc>
      </w:tr>
      <w:tr>
        <w:trPr>
          <w:cantSplit w:val="true"/>
        </w:trPr>
        <w:tc>
          <w:tcPr>
            <w:tcW w:w="1837" w:type="dxa"/>
            <w:tcBorders/>
          </w:tcPr>
          <w:p>
            <w:pPr>
              <w:pStyle w:val="Normal"/>
              <w:keepNext w:val="true"/>
              <w:widowControl/>
              <w:tabs>
                <w:tab w:val="clear" w:pos="720"/>
              </w:tabs>
              <w:bidi w:val="0"/>
              <w:spacing w:lineRule="atLeast" w:line="240" w:before="240" w:after="0"/>
              <w:ind w:hanging="0" w:start="0" w:end="0"/>
              <w:jc w:val="both"/>
              <w:rPr/>
            </w:pPr>
            <w:r>
              <w:rPr>
                <w:sz w:val="22"/>
              </w:rPr>
              <w:t>Party A</w:t>
            </w:r>
          </w:p>
        </w:tc>
        <w:tc>
          <w:tcPr>
            <w:tcW w:w="3886" w:type="dxa"/>
            <w:tcBorders/>
          </w:tcPr>
          <w:p>
            <w:pPr>
              <w:pStyle w:val="Justified"/>
              <w:keepNext w:val="true"/>
              <w:widowControl/>
              <w:tabs>
                <w:tab w:val="clear" w:pos="720"/>
              </w:tabs>
              <w:bidi w:val="0"/>
              <w:spacing w:lineRule="atLeast" w:line="240" w:before="240" w:after="0"/>
              <w:rPr/>
            </w:pPr>
            <w:r>
              <w:rPr>
                <w:rFonts w:ascii="Times New Roman" w:hAnsi="Times New Roman"/>
              </w:rPr>
              <w:t>Duly executed Credit Support Document specified in Part 4(d)</w:t>
            </w:r>
          </w:p>
        </w:tc>
        <w:tc>
          <w:tcPr>
            <w:tcW w:w="2227" w:type="dxa"/>
            <w:tcBorders/>
          </w:tcPr>
          <w:p>
            <w:pPr>
              <w:pStyle w:val="Normal"/>
              <w:keepNext w:val="true"/>
              <w:widowControl/>
              <w:tabs>
                <w:tab w:val="clear" w:pos="720"/>
              </w:tabs>
              <w:bidi w:val="0"/>
              <w:spacing w:lineRule="atLeast" w:line="240" w:before="240" w:after="0"/>
              <w:ind w:hanging="0" w:start="0" w:end="0"/>
              <w:jc w:val="both"/>
              <w:rPr/>
            </w:pPr>
            <w:r>
              <w:rPr>
                <w:sz w:val="22"/>
              </w:rPr>
              <w:t>At execution of this Master Agreement</w:t>
            </w:r>
          </w:p>
        </w:tc>
        <w:tc>
          <w:tcPr>
            <w:tcW w:w="1985" w:type="dxa"/>
            <w:tcBorders/>
          </w:tcPr>
          <w:p>
            <w:pPr>
              <w:pStyle w:val="Normal"/>
              <w:keepNext w:val="true"/>
              <w:widowControl/>
              <w:tabs>
                <w:tab w:val="clear" w:pos="720"/>
              </w:tabs>
              <w:bidi w:val="0"/>
              <w:spacing w:lineRule="atLeast" w:line="240" w:before="240" w:after="0"/>
              <w:ind w:hanging="0" w:start="0" w:end="0"/>
              <w:jc w:val="center"/>
              <w:rPr/>
            </w:pPr>
            <w:r>
              <w:rPr>
                <w:sz w:val="22"/>
              </w:rPr>
              <w:t>Yes</w:t>
            </w:r>
          </w:p>
        </w:tc>
      </w:tr>
      <w:tr>
        <w:trPr>
          <w:cantSplit w:val="true"/>
        </w:trPr>
        <w:tc>
          <w:tcPr>
            <w:tcW w:w="1837" w:type="dxa"/>
            <w:tcBorders/>
          </w:tcPr>
          <w:p>
            <w:pPr>
              <w:pStyle w:val="Justified"/>
              <w:keepNext w:val="true"/>
              <w:widowControl/>
              <w:bidi w:val="0"/>
              <w:spacing w:lineRule="atLeast" w:line="240" w:before="240" w:after="0"/>
              <w:rPr/>
            </w:pPr>
            <w:r>
              <w:rPr>
                <w:rFonts w:ascii="Times New Roman" w:hAnsi="Times New Roman"/>
              </w:rPr>
              <w:t>Party A and Party B</w:t>
            </w:r>
          </w:p>
        </w:tc>
        <w:tc>
          <w:tcPr>
            <w:tcW w:w="3886" w:type="dxa"/>
            <w:tcBorders/>
          </w:tcPr>
          <w:p>
            <w:pPr>
              <w:pStyle w:val="Normal"/>
              <w:widowControl/>
              <w:tabs>
                <w:tab w:val="clear" w:pos="720"/>
                <w:tab w:val="left" w:pos="990" w:leader="none"/>
              </w:tabs>
              <w:bidi w:val="0"/>
              <w:spacing w:lineRule="exact" w:line="240" w:before="240" w:after="0"/>
              <w:ind w:hanging="0" w:start="0" w:end="0"/>
              <w:jc w:val="both"/>
              <w:rPr>
                <w:color w:val="FF0000"/>
                <w:sz w:val="22"/>
              </w:rPr>
            </w:pPr>
            <w:r>
              <w:rPr>
                <w:sz w:val="22"/>
              </w:rPr>
              <w:t>United States Internal Revenue Service Form W-9</w:t>
            </w:r>
          </w:p>
          <w:p>
            <w:pPr>
              <w:pStyle w:val="Justified"/>
              <w:keepNext w:val="true"/>
              <w:widowControl/>
              <w:bidi w:val="0"/>
              <w:spacing w:lineRule="atLeast" w:line="240" w:before="240" w:after="0"/>
              <w:rPr>
                <w:rFonts w:ascii="Times New Roman" w:hAnsi="Times New Roman"/>
              </w:rPr>
            </w:pPr>
            <w:r>
              <w:rPr>
                <w:rFonts w:ascii="Times New Roman" w:hAnsi="Times New Roman"/>
              </w:rPr>
            </w:r>
          </w:p>
        </w:tc>
        <w:tc>
          <w:tcPr>
            <w:tcW w:w="2227" w:type="dxa"/>
            <w:tcBorders/>
          </w:tcPr>
          <w:p>
            <w:pPr>
              <w:pStyle w:val="Normal"/>
              <w:keepNext w:val="true"/>
              <w:widowControl/>
              <w:bidi w:val="0"/>
              <w:spacing w:lineRule="atLeast" w:line="240" w:before="240" w:after="0"/>
              <w:ind w:hanging="0" w:start="0" w:end="0"/>
              <w:jc w:val="both"/>
              <w:rPr/>
            </w:pPr>
            <w:r>
              <w:rPr>
                <w:sz w:val="22"/>
              </w:rPr>
              <w:t xml:space="preserve">At execution of this Master Agreement and as otherwise provided in this Part 3 </w:t>
            </w:r>
          </w:p>
        </w:tc>
        <w:tc>
          <w:tcPr>
            <w:tcW w:w="1985" w:type="dxa"/>
            <w:tcBorders/>
          </w:tcPr>
          <w:p>
            <w:pPr>
              <w:pStyle w:val="Justified"/>
              <w:keepNext w:val="true"/>
              <w:widowControl/>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 and Party B</w:t>
            </w:r>
          </w:p>
        </w:tc>
        <w:tc>
          <w:tcPr>
            <w:tcW w:w="3886" w:type="dxa"/>
            <w:tcBorders/>
          </w:tcPr>
          <w:p>
            <w:pPr>
              <w:pStyle w:val="Justified"/>
              <w:widowControl/>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widowControl/>
              <w:bidi w:val="0"/>
              <w:spacing w:lineRule="atLeast" w:line="240" w:before="240" w:after="0"/>
              <w:ind w:hanging="0" w:start="0" w:end="0"/>
              <w:jc w:val="both"/>
              <w:rPr/>
            </w:pPr>
            <w:r>
              <w:rPr>
                <w:sz w:val="22"/>
              </w:rPr>
              <w:t>At execution of this Master Agreement</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 and Party B</w:t>
            </w:r>
          </w:p>
        </w:tc>
        <w:tc>
          <w:tcPr>
            <w:tcW w:w="3886" w:type="dxa"/>
            <w:tcBorders/>
          </w:tcPr>
          <w:p>
            <w:pPr>
              <w:pStyle w:val="Justified"/>
              <w:widowControl/>
              <w:bidi w:val="0"/>
              <w:spacing w:lineRule="atLeast" w:line="240" w:before="240" w:after="0"/>
              <w:rPr/>
            </w:pPr>
            <w:r>
              <w:rPr>
                <w:rFonts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227" w:type="dxa"/>
            <w:tcBorders/>
          </w:tcPr>
          <w:p>
            <w:pPr>
              <w:pStyle w:val="Justified"/>
              <w:widowControl/>
              <w:bidi w:val="0"/>
              <w:spacing w:lineRule="atLeast" w:line="240" w:before="240" w:after="0"/>
              <w:rPr/>
            </w:pPr>
            <w:r>
              <w:rPr>
                <w:rFonts w:ascii="Times New Roman" w:hAnsi="Times New Roman"/>
              </w:rPr>
              <w:t>At execution of this Master Agreement</w:t>
            </w:r>
          </w:p>
        </w:tc>
        <w:tc>
          <w:tcPr>
            <w:tcW w:w="1985" w:type="dxa"/>
            <w:tcBorders/>
          </w:tcPr>
          <w:p>
            <w:pPr>
              <w:pStyle w:val="Normal"/>
              <w:widowControl/>
              <w:bidi w:val="0"/>
              <w:spacing w:lineRule="atLeast" w:line="240" w:before="240" w:after="0"/>
              <w:ind w:hanging="0" w:start="0" w:end="0"/>
              <w:jc w:val="center"/>
              <w:rPr/>
            </w:pPr>
            <w:r>
              <w:rPr>
                <w:sz w:val="22"/>
              </w:rPr>
              <w:t>Yes</w:t>
            </w:r>
            <w:r>
              <w:rPr>
                <w:b/>
                <w:strike/>
                <w:sz w:val="22"/>
              </w:rPr>
              <w:t>]</w:t>
            </w:r>
            <w:r>
              <w:rPr>
                <w:b/>
                <w:sz w:val="22"/>
              </w:rPr>
              <w:t xml:space="preserve"> </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w:t>
            </w:r>
          </w:p>
        </w:tc>
        <w:tc>
          <w:tcPr>
            <w:tcW w:w="3886" w:type="dxa"/>
            <w:tcBorders/>
          </w:tcPr>
          <w:p>
            <w:pPr>
              <w:pStyle w:val="Normal"/>
              <w:widowControl/>
              <w:bidi w:val="0"/>
              <w:spacing w:lineRule="atLeast" w:line="240" w:before="240" w:after="0"/>
              <w:ind w:hanging="0" w:start="0" w:end="0"/>
              <w:jc w:val="both"/>
              <w:rPr/>
            </w:pPr>
            <w:r>
              <w:rPr>
                <w:sz w:val="22"/>
              </w:rPr>
              <w:t>Annual Audited Consolidated Financial Statement of Party A’s Credit Support Provider certified by independent public accountants</w:t>
            </w:r>
          </w:p>
        </w:tc>
        <w:tc>
          <w:tcPr>
            <w:tcW w:w="2227" w:type="dxa"/>
            <w:tcBorders/>
          </w:tcPr>
          <w:p>
            <w:pPr>
              <w:pStyle w:val="Justified"/>
              <w:widowControl/>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w:t>
            </w:r>
          </w:p>
        </w:tc>
        <w:tc>
          <w:tcPr>
            <w:tcW w:w="3886" w:type="dxa"/>
            <w:tcBorders/>
          </w:tcPr>
          <w:p>
            <w:pPr>
              <w:pStyle w:val="Normal"/>
              <w:widowControl/>
              <w:bidi w:val="0"/>
              <w:spacing w:lineRule="atLeast" w:line="240" w:before="240" w:after="0"/>
              <w:ind w:hanging="0" w:start="0" w:end="0"/>
              <w:jc w:val="both"/>
              <w:rPr/>
            </w:pPr>
            <w:r>
              <w:rPr>
                <w:sz w:val="22"/>
              </w:rPr>
              <w:t>Quarterly Unaudited Consolidated Financial Statement of Party A’s Credit Support Provider</w:t>
            </w:r>
          </w:p>
        </w:tc>
        <w:tc>
          <w:tcPr>
            <w:tcW w:w="2227" w:type="dxa"/>
            <w:tcBorders/>
          </w:tcPr>
          <w:p>
            <w:pPr>
              <w:pStyle w:val="Justified"/>
              <w:widowControl/>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Justified"/>
              <w:widowControl/>
              <w:bidi w:val="0"/>
              <w:spacing w:lineRule="atLeast" w:line="240" w:before="240" w:after="0"/>
              <w:rPr/>
            </w:pPr>
            <w:r>
              <w:rPr>
                <w:rFonts w:ascii="Times New Roman" w:hAnsi="Times New Roman"/>
              </w:rPr>
              <w:t>Party B</w:t>
            </w:r>
          </w:p>
        </w:tc>
        <w:tc>
          <w:tcPr>
            <w:tcW w:w="3886" w:type="dxa"/>
            <w:tcBorders/>
          </w:tcPr>
          <w:p>
            <w:pPr>
              <w:pStyle w:val="Normal"/>
              <w:widowControl/>
              <w:bidi w:val="0"/>
              <w:spacing w:lineRule="atLeast" w:line="240" w:before="240" w:after="0"/>
              <w:ind w:hanging="0" w:start="0" w:end="0"/>
              <w:jc w:val="both"/>
              <w:rPr/>
            </w:pPr>
            <w:r>
              <w:rPr>
                <w:sz w:val="22"/>
              </w:rPr>
              <w:t>Annual Audited Consolidated Financial Statement of Party B certified by independent public accountants</w:t>
            </w:r>
          </w:p>
        </w:tc>
        <w:tc>
          <w:tcPr>
            <w:tcW w:w="2227" w:type="dxa"/>
            <w:tcBorders/>
          </w:tcPr>
          <w:p>
            <w:pPr>
              <w:pStyle w:val="Justified"/>
              <w:widowControl/>
              <w:bidi w:val="0"/>
              <w:spacing w:lineRule="atLeast" w:line="240" w:before="240" w:after="0"/>
              <w:jc w:val="start"/>
              <w:rPr/>
            </w:pPr>
            <w:r>
              <w:rPr>
                <w:rFonts w:ascii="Times New Roman" w:hAnsi="Times New Roman"/>
              </w:rPr>
              <w:t xml:space="preserve">Promptly following demand by Party A, but in no event later than 120 days after the end of each fiscal year of Party B </w:t>
            </w:r>
            <w:r>
              <w:rPr>
                <w:rFonts w:ascii="Times New Roman" w:hAnsi="Times New Roman"/>
                <w:b/>
                <w:u w:val="single"/>
              </w:rPr>
              <w:t xml:space="preserve">if such Financial Statement is not available on “EDGAR” or Party B’s home page on the World Wide Web at </w:t>
            </w:r>
            <w:r>
              <w:rPr>
                <w:rFonts w:ascii="Times New Roman" w:hAnsi="Times New Roman"/>
                <w:b/>
                <w:spacing w:val="-10"/>
                <w:u w:val="single"/>
              </w:rPr>
              <w:t>www.southernco.com</w:t>
            </w:r>
          </w:p>
        </w:tc>
        <w:tc>
          <w:tcPr>
            <w:tcW w:w="1985" w:type="dxa"/>
            <w:tcBorders/>
          </w:tcPr>
          <w:p>
            <w:pPr>
              <w:pStyle w:val="Justified"/>
              <w:widowControl/>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widowControl/>
              <w:tabs>
                <w:tab w:val="clear" w:pos="720"/>
              </w:tabs>
              <w:bidi w:val="0"/>
              <w:spacing w:lineRule="atLeast" w:line="240" w:before="240" w:after="0"/>
              <w:ind w:hanging="0" w:start="0" w:end="0"/>
              <w:jc w:val="both"/>
              <w:rPr/>
            </w:pPr>
            <w:r>
              <w:rPr>
                <w:sz w:val="22"/>
              </w:rPr>
              <w:t>Party B</w:t>
            </w:r>
          </w:p>
        </w:tc>
        <w:tc>
          <w:tcPr>
            <w:tcW w:w="3886" w:type="dxa"/>
            <w:tcBorders/>
          </w:tcPr>
          <w:p>
            <w:pPr>
              <w:pStyle w:val="Normal"/>
              <w:widowControl/>
              <w:tabs>
                <w:tab w:val="clear" w:pos="720"/>
              </w:tabs>
              <w:bidi w:val="0"/>
              <w:spacing w:lineRule="atLeast" w:line="240" w:before="240" w:after="0"/>
              <w:ind w:hanging="0" w:start="0" w:end="0"/>
              <w:jc w:val="both"/>
              <w:rPr/>
            </w:pPr>
            <w:r>
              <w:rPr>
                <w:sz w:val="22"/>
              </w:rPr>
              <w:t>Quarterly Unaudited Consolidated Financial Statement of Party B</w:t>
            </w:r>
          </w:p>
        </w:tc>
        <w:tc>
          <w:tcPr>
            <w:tcW w:w="2227" w:type="dxa"/>
            <w:tcBorders/>
          </w:tcPr>
          <w:p>
            <w:pPr>
              <w:pStyle w:val="Normal"/>
              <w:widowControl/>
              <w:tabs>
                <w:tab w:val="clear" w:pos="720"/>
              </w:tabs>
              <w:bidi w:val="0"/>
              <w:spacing w:lineRule="atLeast" w:line="240" w:before="240" w:after="0"/>
              <w:ind w:hanging="0" w:start="0" w:end="0"/>
              <w:jc w:val="start"/>
              <w:rPr/>
            </w:pPr>
            <w:r>
              <w:rPr>
                <w:sz w:val="22"/>
              </w:rPr>
              <w:t xml:space="preserve">Promptly following demand by Party A, but in no event later than 60 days after the end of each of the first three fiscal quarters of each fiscal year of Party B </w:t>
            </w:r>
            <w:r>
              <w:rPr>
                <w:b/>
                <w:sz w:val="22"/>
                <w:u w:val="single"/>
              </w:rPr>
              <w:t xml:space="preserve">if such Financial Statement is not available on “EDGAR” or Party B’s home page on the World Wide Web at </w:t>
            </w:r>
            <w:r>
              <w:rPr>
                <w:b/>
                <w:spacing w:val="-10"/>
                <w:sz w:val="22"/>
                <w:u w:val="single"/>
              </w:rPr>
              <w:t>www.southernco.com</w:t>
            </w:r>
          </w:p>
        </w:tc>
        <w:tc>
          <w:tcPr>
            <w:tcW w:w="1985" w:type="dxa"/>
            <w:tcBorders/>
          </w:tcPr>
          <w:p>
            <w:pPr>
              <w:pStyle w:val="Normal"/>
              <w:widowControl/>
              <w:tabs>
                <w:tab w:val="clear" w:pos="720"/>
              </w:tabs>
              <w:bidi w:val="0"/>
              <w:spacing w:lineRule="atLeast" w:line="240" w:before="240" w:after="0"/>
              <w:ind w:hanging="0" w:start="0" w:end="0"/>
              <w:jc w:val="center"/>
              <w:rPr/>
            </w:pPr>
            <w:r>
              <w:rPr>
                <w:sz w:val="22"/>
              </w:rPr>
              <w:t>Yes</w:t>
            </w:r>
          </w:p>
        </w:tc>
      </w:tr>
    </w:tbl>
    <w:p>
      <w:pPr>
        <w:pStyle w:val="Normal"/>
        <w:keepNext w:val="true"/>
        <w:widowControl/>
        <w:bidi w:val="0"/>
        <w:spacing w:lineRule="exact" w:line="240" w:before="480" w:after="0"/>
        <w:ind w:hanging="0" w:start="0" w:end="0"/>
        <w:jc w:val="both"/>
        <w:rPr>
          <w:b/>
          <w:sz w:val="22"/>
        </w:rPr>
      </w:pPr>
      <w:r>
        <w:rPr>
          <w:b/>
          <w:sz w:val="22"/>
        </w:rPr>
        <w:t>Part 4.  Miscellaneous.</w:t>
      </w:r>
    </w:p>
    <w:p>
      <w:pPr>
        <w:pStyle w:val="Normal"/>
        <w:keepNext w:val="true"/>
        <w:widowControl/>
        <w:bidi w:val="0"/>
        <w:spacing w:lineRule="exact" w:line="240" w:before="240" w:after="0"/>
        <w:ind w:firstLine="720" w:start="0" w:end="0"/>
        <w:jc w:val="both"/>
        <w:rPr>
          <w:sz w:val="22"/>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widowControl/>
        <w:bidi w:val="0"/>
        <w:spacing w:lineRule="exact" w:line="240" w:before="240" w:after="0"/>
        <w:ind w:hanging="720" w:start="720" w:end="0"/>
        <w:jc w:val="both"/>
        <w:rPr>
          <w:sz w:val="22"/>
        </w:rPr>
      </w:pPr>
      <w:r>
        <w:rPr>
          <w:sz w:val="22"/>
        </w:rPr>
        <w:t>Address for notices or communications to Party A:</w:t>
      </w:r>
    </w:p>
    <w:p>
      <w:pPr>
        <w:pStyle w:val="Normal"/>
        <w:keepNext w:val="true"/>
        <w:widowControl/>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139" w:type="dxa"/>
            <w:tcBorders/>
          </w:tcPr>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Enron North America Corp.</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P.O. Box 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77210-4428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1400 Smith Street</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77002</w:t>
            </w:r>
          </w:p>
          <w:p>
            <w:pPr>
              <w:pStyle w:val="Justified"/>
              <w:keepNext w:val="true"/>
              <w:widowControl/>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widowControl/>
              <w:tabs>
                <w:tab w:val="clear" w:pos="720"/>
                <w:tab w:val="left" w:pos="4230" w:leader="none"/>
                <w:tab w:val="left" w:pos="9360" w:leader="none"/>
              </w:tabs>
              <w:bidi w:val="0"/>
              <w:spacing w:lineRule="exact" w:line="240"/>
              <w:ind w:hanging="0" w:start="72" w:end="0"/>
              <w:jc w:val="both"/>
              <w:rPr>
                <w:sz w:val="22"/>
                <w:u w:val="single"/>
              </w:rPr>
            </w:pPr>
            <w:r>
              <w:rPr>
                <w:sz w:val="22"/>
              </w:rPr>
              <w:t>Facsimile No.:  (713) 646-4816</w:t>
            </w:r>
          </w:p>
          <w:p>
            <w:pPr>
              <w:pStyle w:val="Normal"/>
              <w:keepNext w:val="true"/>
              <w:widowControl/>
              <w:tabs>
                <w:tab w:val="clear" w:pos="720"/>
                <w:tab w:val="left" w:pos="4230" w:leader="none"/>
                <w:tab w:val="left" w:pos="9360" w:leader="none"/>
              </w:tabs>
              <w:bidi w:val="0"/>
              <w:spacing w:lineRule="exact" w:line="240"/>
              <w:ind w:hanging="0" w:start="72" w:end="0"/>
              <w:jc w:val="both"/>
              <w:rPr/>
            </w:pPr>
            <w:r>
              <w:rPr>
                <w:sz w:val="22"/>
              </w:rPr>
              <w:t>Telephone No.:  (713) 853-3300</w:t>
            </w:r>
          </w:p>
        </w:tc>
      </w:tr>
    </w:tbl>
    <w:p>
      <w:pPr>
        <w:pStyle w:val="Normal"/>
        <w:widowControl/>
        <w:tabs>
          <w:tab w:val="clear" w:pos="720"/>
          <w:tab w:val="right" w:pos="9360" w:leader="dot"/>
        </w:tabs>
        <w:bidi w:val="0"/>
        <w:spacing w:lineRule="exact" w:line="240" w:before="240" w:after="0"/>
        <w:ind w:hanging="0" w:start="0" w:end="0"/>
        <w:jc w:val="both"/>
        <w:rPr>
          <w:sz w:val="22"/>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bidi w:val="0"/>
        <w:spacing w:lineRule="exact" w:line="240"/>
        <w:ind w:hanging="0" w:start="0" w:end="0"/>
        <w:jc w:val="both"/>
        <w:rPr>
          <w:sz w:val="22"/>
        </w:rPr>
      </w:pPr>
      <w:r>
        <w:rPr>
          <w:sz w:val="22"/>
        </w:rPr>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t>Address for notices or communications to Party B:</w:t>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Georgia Power Company</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270 Peachtree Street, Suite 2000</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Atlanta, Georgia 30303</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pPr>
            <w:r>
              <w:rPr>
                <w:sz w:val="22"/>
              </w:rPr>
              <w:t xml:space="preserve">Attn.:  </w:t>
            </w:r>
            <w:r>
              <w:rPr>
                <w:strike/>
                <w:sz w:val="22"/>
              </w:rPr>
              <w:t>____________________________</w:t>
            </w:r>
            <w:r>
              <w:rPr>
                <w:b/>
                <w:sz w:val="22"/>
                <w:u w:val="single"/>
              </w:rPr>
              <w:t>Manager, Risk Control</w:t>
            </w:r>
          </w:p>
        </w:tc>
        <w:tc>
          <w:tcPr>
            <w:tcW w:w="3290" w:type="dxa"/>
            <w:tcBorders/>
          </w:tcPr>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sz w:val="22"/>
              </w:rPr>
            </w:pPr>
            <w:r>
              <w:rPr>
                <w:sz w:val="22"/>
              </w:rPr>
              <w:t>Facsimile No.:</w:t>
            </w:r>
            <w:r>
              <w:rPr>
                <w:b/>
                <w:sz w:val="22"/>
                <w:u w:val="single"/>
              </w:rPr>
              <w:t xml:space="preserve">  (205) 257-5858</w:t>
            </w:r>
          </w:p>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pPr>
            <w:r>
              <w:rPr>
                <w:sz w:val="22"/>
              </w:rPr>
              <w:t xml:space="preserve">Telephone No.:  </w:t>
            </w:r>
            <w:r>
              <w:rPr>
                <w:b/>
                <w:sz w:val="22"/>
                <w:u w:val="single"/>
              </w:rPr>
              <w:t>(205) 257-6208</w:t>
            </w:r>
          </w:p>
        </w:tc>
      </w:tr>
    </w:tbl>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start="0" w:end="0"/>
        <w:jc w:val="both"/>
        <w:rPr>
          <w:sz w:val="22"/>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widowControl/>
        <w:bidi w:val="0"/>
        <w:spacing w:lineRule="exact" w:line="240" w:before="240" w:after="0"/>
        <w:ind w:firstLine="720" w:start="0" w:end="0"/>
        <w:jc w:val="both"/>
        <w:rPr>
          <w:sz w:val="22"/>
        </w:rPr>
      </w:pPr>
      <w:r>
        <w:rPr>
          <w:sz w:val="22"/>
        </w:rPr>
        <w:t>(c)</w:t>
        <w:tab/>
      </w:r>
      <w:r>
        <w:rPr>
          <w:b/>
          <w:sz w:val="22"/>
        </w:rPr>
        <w:t>Calculation Agent.</w:t>
      </w:r>
      <w:r>
        <w:rPr>
          <w:sz w:val="22"/>
        </w:rPr>
        <w:t xml:space="preserve">  The Calculation Agent is Party A </w:t>
      </w:r>
      <w:r>
        <w:rPr>
          <w:b/>
          <w:sz w:val="22"/>
          <w:u w:val="single"/>
        </w:rPr>
        <w:t>unless an Event of Default, Potential Event of Default, or an Early Termination Date has occurred in which the Defaulting Party or Affected Party is the Calculation Agent, in which case, Party B shall be the Calculation Agent, or unless otherwise specified in a Confirmation in relation to the relevant Transaction.  Failure of a party acting as Calculation Agent to comply with or perform any of its agreements or obligations in that capacity shall not be an Event of Default with respect to such party under this Agreement.  The sole remedy of the other party with respect to such failure will be the right, but not the obligation, upon notice to the non-performing Calculation Agent, and provided that such failure is continuing, to designate itself or a third party as a replacement Calculation Agent for as long as such failure continues.  If such right is exercised, the designation shall be binding on the party then currently designated as the Calculation Agent.  In the event a calculation or determination is disputed by Party B, the parties shall endeavor to resolve such dispute in good faith</w:t>
      </w:r>
      <w:r>
        <w:rPr>
          <w:sz w:val="22"/>
        </w:rPr>
        <w:t>.</w:t>
      </w:r>
    </w:p>
    <w:p>
      <w:pPr>
        <w:pStyle w:val="Normal"/>
        <w:widowControl/>
        <w:bidi w:val="0"/>
        <w:spacing w:lineRule="exact" w:line="240" w:before="240" w:after="0"/>
        <w:ind w:firstLine="720" w:start="0" w:end="0"/>
        <w:jc w:val="both"/>
        <w:rPr>
          <w:sz w:val="22"/>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widowControl/>
        <w:bidi w:val="0"/>
        <w:spacing w:lineRule="exact" w:line="240" w:before="240" w:after="0"/>
        <w:ind w:firstLine="720" w:start="0" w:end="0"/>
        <w:jc w:val="both"/>
        <w:rPr>
          <w:sz w:val="22"/>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widowControl/>
        <w:bidi w:val="0"/>
        <w:spacing w:lineRule="exact" w:line="240" w:before="240" w:after="0"/>
        <w:ind w:firstLine="720" w:start="0" w:end="0"/>
        <w:jc w:val="both"/>
        <w:rPr>
          <w:sz w:val="22"/>
        </w:rPr>
      </w:pPr>
      <w:r>
        <w:rPr>
          <w:sz w:val="22"/>
        </w:rPr>
        <w:t>(f)</w:t>
        <w:tab/>
      </w:r>
      <w:r>
        <w:rPr>
          <w:b/>
          <w:sz w:val="22"/>
        </w:rPr>
        <w:t>Netting of Payments.</w:t>
      </w:r>
      <w:r>
        <w:rPr>
          <w:sz w:val="22"/>
        </w:rPr>
        <w:t xml:space="preserve">  Section 2(c)(ii) will not apply to all Transactions.</w:t>
      </w:r>
    </w:p>
    <w:p>
      <w:pPr>
        <w:pStyle w:val="Normal"/>
        <w:widowControl/>
        <w:bidi w:val="0"/>
        <w:spacing w:lineRule="exact" w:line="240" w:before="240" w:after="0"/>
        <w:ind w:firstLine="720" w:start="0" w:end="0"/>
        <w:jc w:val="both"/>
        <w:rPr>
          <w:b/>
          <w:sz w:val="22"/>
        </w:rPr>
      </w:pPr>
      <w:r>
        <w:rPr>
          <w:sz w:val="22"/>
        </w:rPr>
        <w:t>(g)</w:t>
        <w:tab/>
      </w:r>
      <w:r>
        <w:rPr>
          <w:b/>
          <w:sz w:val="22"/>
        </w:rPr>
        <w:t xml:space="preserve">Governing Law.  This Agreement and each Confirmation will be governed by, and construed, interpreted, and enforced in accordance with, the substantive law of the State of </w:t>
      </w:r>
      <w:r>
        <w:rPr>
          <w:b/>
          <w:strike/>
          <w:sz w:val="22"/>
        </w:rPr>
        <w:t>Texas</w:t>
      </w:r>
      <w:r>
        <w:rPr>
          <w:b/>
          <w:sz w:val="22"/>
        </w:rPr>
        <w:t xml:space="preserve"> </w:t>
      </w:r>
      <w:r>
        <w:rPr>
          <w:b/>
          <w:sz w:val="22"/>
          <w:u w:val="single"/>
        </w:rPr>
        <w:t>New York</w:t>
      </w:r>
      <w:r>
        <w:rPr>
          <w:b/>
          <w:sz w:val="22"/>
        </w:rPr>
        <w:t xml:space="preserve"> (without reference to its choice of law doctrine).</w:t>
      </w:r>
    </w:p>
    <w:p>
      <w:pPr>
        <w:pStyle w:val="Normal"/>
        <w:widowControl/>
        <w:bidi w:val="0"/>
        <w:spacing w:lineRule="exact" w:line="240" w:before="240" w:after="0"/>
        <w:ind w:firstLine="720" w:start="0" w:end="0"/>
        <w:jc w:val="both"/>
        <w:rPr>
          <w:sz w:val="22"/>
        </w:rPr>
      </w:pPr>
      <w:r>
        <w:rPr>
          <w:sz w:val="22"/>
        </w:rPr>
        <w:t>(h)</w:t>
        <w:tab/>
      </w:r>
      <w:r>
        <w:rPr>
          <w:b/>
          <w:sz w:val="22"/>
        </w:rPr>
        <w:t>Jurisdiction.</w:t>
      </w:r>
      <w:r>
        <w:rPr>
          <w:sz w:val="22"/>
        </w:rPr>
        <w:t xml:space="preserve">  Section 13(b) is hereby deleted in its entirety and replaced with the following:</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b/>
          <w:sz w:val="22"/>
        </w:rPr>
        <w:t>Forum For The Arbitration And Selection Of Arbitrators:</w:t>
      </w:r>
      <w:r>
        <w:rPr>
          <w:sz w:val="22"/>
        </w:rPr>
        <w:t xml:space="preserve">  The arbitration proceeding shall be conducted in </w:t>
      </w:r>
      <w:r>
        <w:rPr>
          <w:strike/>
          <w:sz w:val="22"/>
        </w:rPr>
        <w:t>Houston, Texas</w:t>
      </w:r>
      <w:r>
        <w:rPr>
          <w:sz w:val="22"/>
        </w:rPr>
        <w:t xml:space="preserve"> </w:t>
      </w:r>
      <w:r>
        <w:rPr>
          <w:b/>
          <w:sz w:val="22"/>
          <w:u w:val="single"/>
        </w:rPr>
        <w:t>New York, New York</w:t>
      </w:r>
      <w:r>
        <w:rPr>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bidi w:val="0"/>
        <w:ind w:hanging="0" w:start="0" w:end="0"/>
        <w:jc w:val="both"/>
        <w:rPr>
          <w:sz w:val="22"/>
        </w:rPr>
      </w:pPr>
      <w:r>
        <w:rPr>
          <w:sz w:val="22"/>
        </w:rPr>
      </w:r>
    </w:p>
    <w:p>
      <w:pPr>
        <w:pStyle w:val="Normal"/>
        <w:widowControl/>
        <w:bidi w:val="0"/>
        <w:ind w:hanging="0"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widowControl/>
        <w:bidi w:val="0"/>
        <w:ind w:hanging="0" w:start="0" w:end="0"/>
        <w:jc w:val="both"/>
        <w:rPr>
          <w:b/>
          <w:sz w:val="22"/>
        </w:rPr>
      </w:pPr>
      <w:r>
        <w:rPr>
          <w:b/>
          <w:sz w:val="22"/>
        </w:rPr>
      </w:r>
      <w:r>
        <w:br w:type="page"/>
      </w:r>
    </w:p>
    <w:p>
      <w:pPr>
        <w:pStyle w:val="Normal"/>
        <w:widowControl/>
        <w:bidi w:val="0"/>
        <w:ind w:hanging="0" w:start="0" w:end="0"/>
        <w:jc w:val="both"/>
        <w:rPr>
          <w:b/>
          <w:sz w:val="22"/>
        </w:rPr>
      </w:pPr>
      <w:r>
        <w:rPr>
          <w:b/>
          <w:sz w:val="22"/>
        </w:rPr>
        <w:t>Part 5.  Other Provisions.</w:t>
      </w:r>
    </w:p>
    <w:p>
      <w:pPr>
        <w:pStyle w:val="Normal"/>
        <w:widowControl/>
        <w:bidi w:val="0"/>
        <w:spacing w:lineRule="exact" w:line="240" w:before="240" w:after="0"/>
        <w:ind w:firstLine="720" w:start="0" w:end="0"/>
        <w:jc w:val="both"/>
        <w:rPr>
          <w:sz w:val="22"/>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bidi w:val="0"/>
        <w:spacing w:lineRule="exact" w:line="240" w:before="240" w:after="0"/>
        <w:ind w:firstLine="720" w:start="0" w:end="0"/>
        <w:jc w:val="both"/>
        <w:rPr>
          <w:sz w:val="22"/>
        </w:rPr>
      </w:pPr>
      <w:r>
        <w:rPr>
          <w:sz w:val="22"/>
        </w:rPr>
        <w:t>(b)</w:t>
        <w:tab/>
      </w:r>
      <w:r>
        <w:rPr>
          <w:b/>
          <w:sz w:val="22"/>
        </w:rPr>
        <w:t>Representations.</w:t>
      </w:r>
      <w:r>
        <w:rPr>
          <w:sz w:val="22"/>
        </w:rPr>
        <w:t xml:space="preserve">  Section 3 is hereby amended by adding at the end thereof the following Subsections (g) and (h):</w:t>
      </w:r>
    </w:p>
    <w:p>
      <w:pPr>
        <w:pStyle w:val="Normal"/>
        <w:widowControl/>
        <w:bidi w:val="0"/>
        <w:spacing w:lineRule="exact" w:line="240" w:before="240" w:after="0"/>
        <w:ind w:firstLine="720" w:start="720" w:end="0"/>
        <w:jc w:val="both"/>
        <w:rPr>
          <w:sz w:val="22"/>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widowControl/>
        <w:bidi w:val="0"/>
        <w:spacing w:lineRule="exact" w:line="240" w:before="240" w:after="0"/>
        <w:ind w:firstLine="720" w:start="720" w:end="0"/>
        <w:jc w:val="both"/>
        <w:rPr>
          <w:sz w:val="22"/>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bidi w:val="0"/>
        <w:spacing w:lineRule="exact" w:line="240" w:before="240" w:after="0"/>
        <w:ind w:firstLine="720" w:start="0" w:end="0"/>
        <w:jc w:val="both"/>
        <w:rPr>
          <w:sz w:val="22"/>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bidi w:val="0"/>
        <w:spacing w:lineRule="exact" w:line="240" w:before="240" w:after="0"/>
        <w:ind w:firstLine="720" w:start="0" w:end="0"/>
        <w:jc w:val="both"/>
        <w:rPr>
          <w:sz w:val="22"/>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bidi w:val="0"/>
        <w:spacing w:lineRule="exact" w:line="240" w:before="240" w:after="0"/>
        <w:ind w:firstLine="720" w:start="0" w:end="0"/>
        <w:jc w:val="both"/>
        <w:rPr>
          <w:sz w:val="22"/>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r>
        <w:rPr>
          <w:strike/>
          <w:sz w:val="22"/>
        </w:rPr>
        <w:t>two</w:t>
      </w:r>
      <w:r>
        <w:rPr>
          <w:sz w:val="22"/>
        </w:rPr>
        <w:t xml:space="preserve"> </w:t>
      </w:r>
      <w:r>
        <w:rPr>
          <w:b/>
          <w:sz w:val="22"/>
          <w:u w:val="single"/>
        </w:rPr>
        <w:t>three</w:t>
      </w:r>
      <w:r>
        <w:rPr>
          <w:sz w:val="22"/>
        </w:rPr>
        <w:t xml:space="preser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bidi w:val="0"/>
        <w:spacing w:lineRule="exact" w:line="240" w:before="240" w:after="0"/>
        <w:ind w:firstLine="720" w:start="0" w:end="0"/>
        <w:jc w:val="both"/>
        <w:rPr>
          <w:sz w:val="22"/>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bidi w:val="0"/>
        <w:spacing w:lineRule="exact" w:line="240" w:before="240" w:after="0"/>
        <w:ind w:firstLine="720" w:start="0" w:end="0"/>
        <w:jc w:val="both"/>
        <w:rPr>
          <w:sz w:val="22"/>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bidi w:val="0"/>
        <w:spacing w:lineRule="exact" w:line="240" w:before="240" w:after="0"/>
        <w:ind w:firstLine="720" w:start="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bidi w:val="0"/>
        <w:spacing w:lineRule="exact" w:line="240" w:before="240" w:after="0"/>
        <w:ind w:firstLine="720" w:start="0" w:end="0"/>
        <w:jc w:val="both"/>
        <w:rPr>
          <w:b/>
          <w:sz w:val="22"/>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widowControl/>
        <w:bidi w:val="0"/>
        <w:spacing w:lineRule="exact" w:line="240" w:before="240" w:after="0"/>
        <w:ind w:firstLine="720" w:start="0" w:end="0"/>
        <w:jc w:val="both"/>
        <w:rPr>
          <w:sz w:val="22"/>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bidi w:val="0"/>
        <w:spacing w:lineRule="exact" w:line="240"/>
        <w:ind w:firstLine="630" w:start="0" w:end="0"/>
        <w:jc w:val="both"/>
        <w:rPr>
          <w:sz w:val="22"/>
        </w:rPr>
      </w:pPr>
      <w:r>
        <w:rPr>
          <w:sz w:val="22"/>
        </w:rPr>
      </w:r>
    </w:p>
    <w:p>
      <w:pPr>
        <w:pStyle w:val="Normal"/>
        <w:keepNext w:val="true"/>
        <w:widowControl/>
        <w:bidi w:val="0"/>
        <w:spacing w:lineRule="exact" w:line="240"/>
        <w:ind w:firstLine="630" w:start="0" w:end="0"/>
        <w:jc w:val="both"/>
        <w:rPr>
          <w:sz w:val="22"/>
        </w:rPr>
      </w:pPr>
      <w:r>
        <w:rPr>
          <w:sz w:val="22"/>
        </w:rPr>
        <w:t>(j)</w:t>
        <w:tab/>
      </w:r>
      <w:r>
        <w:rPr>
          <w:b/>
          <w:sz w:val="22"/>
        </w:rPr>
        <w:t>Transfer.</w:t>
      </w:r>
      <w:r>
        <w:rPr>
          <w:sz w:val="22"/>
        </w:rPr>
        <w:t xml:space="preserve">  Section 7 is hereby amended by adding the following Subsection (c):</w:t>
      </w:r>
    </w:p>
    <w:p>
      <w:pPr>
        <w:pStyle w:val="Normal"/>
        <w:keepNext w:val="true"/>
        <w:widowControl/>
        <w:bidi w:val="0"/>
        <w:spacing w:lineRule="exact" w:line="240"/>
        <w:ind w:firstLine="630" w:start="0" w:end="0"/>
        <w:jc w:val="both"/>
        <w:rPr>
          <w:sz w:val="22"/>
        </w:rPr>
      </w:pPr>
      <w:r>
        <w:rPr>
          <w:sz w:val="22"/>
        </w:rPr>
      </w:r>
    </w:p>
    <w:p>
      <w:pPr>
        <w:pStyle w:val="Normal"/>
        <w:keepNext w:val="true"/>
        <w:widowControl/>
        <w:bidi w:val="0"/>
        <w:spacing w:lineRule="exact" w:line="240"/>
        <w:ind w:firstLine="720" w:start="72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widowControl/>
        <w:bidi w:val="0"/>
        <w:spacing w:lineRule="exact" w:line="240" w:before="240" w:after="0"/>
        <w:ind w:firstLine="720" w:start="0" w:end="0"/>
        <w:jc w:val="both"/>
        <w:rPr>
          <w:sz w:val="22"/>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widowControl/>
        <w:bidi w:val="0"/>
        <w:spacing w:lineRule="exact" w:line="240" w:before="240" w:after="0"/>
        <w:ind w:firstLine="720" w:start="0" w:end="0"/>
        <w:jc w:val="both"/>
        <w:rPr>
          <w:sz w:val="22"/>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bidi w:val="0"/>
        <w:spacing w:lineRule="exact" w:line="240"/>
        <w:ind w:firstLine="720" w:start="0" w:end="0"/>
        <w:jc w:val="both"/>
        <w:rPr>
          <w:sz w:val="22"/>
        </w:rPr>
      </w:pPr>
      <w:r>
        <w:rPr>
          <w:sz w:val="22"/>
        </w:rPr>
      </w:r>
    </w:p>
    <w:p>
      <w:pPr>
        <w:pStyle w:val="Normal"/>
        <w:widowControl/>
        <w:bidi w:val="0"/>
        <w:spacing w:lineRule="exact" w:line="240"/>
        <w:ind w:firstLine="720" w:start="0" w:end="0"/>
        <w:jc w:val="both"/>
        <w:rPr>
          <w:sz w:val="22"/>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widowControl/>
        <w:bidi w:val="0"/>
        <w:spacing w:lineRule="exact" w:line="240" w:before="240" w:after="0"/>
        <w:ind w:hanging="0" w:start="0" w:end="0"/>
        <w:jc w:val="both"/>
        <w:rPr>
          <w:b/>
          <w:strike/>
          <w:sz w:val="22"/>
        </w:rPr>
      </w:pPr>
      <w:r>
        <w:rPr>
          <w:b/>
          <w:strike/>
          <w:sz w:val="22"/>
        </w:rPr>
        <w:t xml:space="preserve">(n) Existing Transactions.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widowControl/>
        <w:bidi w:val="0"/>
        <w:spacing w:lineRule="exact" w:line="240" w:before="240" w:after="0"/>
        <w:ind w:hanging="0" w:start="0" w:end="0"/>
        <w:jc w:val="both"/>
        <w:rPr>
          <w:b/>
          <w:sz w:val="22"/>
        </w:rPr>
      </w:pPr>
      <w:r>
        <w:rPr>
          <w:b/>
          <w:sz w:val="22"/>
        </w:rPr>
        <w:t>Part 6.  Additional Provisions For Commodity Derivatives Transactions.</w:t>
      </w:r>
    </w:p>
    <w:p>
      <w:pPr>
        <w:pStyle w:val="Justified"/>
        <w:widowControl/>
        <w:tabs>
          <w:tab w:val="clear" w:pos="720"/>
          <w:tab w:val="left" w:pos="1350" w:leader="none"/>
        </w:tabs>
        <w:bidi w:val="0"/>
        <w:spacing w:before="0" w:after="0"/>
        <w:rPr>
          <w:rFonts w:ascii="Times New Roman" w:hAnsi="Times New Roman"/>
        </w:rPr>
      </w:pPr>
      <w:r>
        <w:rPr>
          <w:rFonts w:ascii="Times New Roman" w:hAnsi="Times New Roman"/>
        </w:rPr>
      </w:r>
    </w:p>
    <w:p>
      <w:pPr>
        <w:pStyle w:val="Normal"/>
        <w:widowControl/>
        <w:bidi w:val="0"/>
        <w:ind w:firstLine="720" w:start="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(c)</w:t>
        <w:tab/>
        <w:t>Section 7.4(c)(viii) of the Commodity Definitions is hereby amended by the addition of the following at the end thereof:</w:t>
      </w:r>
    </w:p>
    <w:p>
      <w:pPr>
        <w:pStyle w:val="Normal"/>
        <w:widowControl/>
        <w:bidi w:val="0"/>
        <w:ind w:firstLine="720" w:start="0" w:end="0"/>
        <w:jc w:val="both"/>
        <w:rPr>
          <w:sz w:val="22"/>
        </w:rPr>
      </w:pPr>
      <w:r>
        <w:rPr>
          <w:sz w:val="22"/>
        </w:rPr>
      </w:r>
    </w:p>
    <w:p>
      <w:pPr>
        <w:pStyle w:val="Normal"/>
        <w:widowControl/>
        <w:bidi w:val="0"/>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bidi w:val="0"/>
        <w:ind w:firstLine="720" w:start="720" w:end="0"/>
        <w:jc w:val="both"/>
        <w:rPr>
          <w:sz w:val="22"/>
        </w:rPr>
      </w:pPr>
      <w:r>
        <w:rPr>
          <w:sz w:val="22"/>
        </w:rPr>
      </w:r>
    </w:p>
    <w:p>
      <w:pPr>
        <w:pStyle w:val="Normal"/>
        <w:widowControl/>
        <w:bidi w:val="0"/>
        <w:ind w:firstLine="720" w:start="0" w:end="0"/>
        <w:jc w:val="both"/>
        <w:rPr>
          <w:sz w:val="22"/>
        </w:rPr>
      </w:pPr>
      <w:r>
        <w:rPr>
          <w:sz w:val="22"/>
        </w:rPr>
        <w:t>(d)</w:t>
        <w:tab/>
        <w:t>Section 7.5(e) of the Commodity Definitions is hereby deleted.</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(e)</w:t>
        <w:tab/>
        <w:t>“Additional Market Disruption Events” shall apply only if so specified in the relevant Confirmation.</w:t>
      </w:r>
    </w:p>
    <w:p>
      <w:pPr>
        <w:pStyle w:val="Normal"/>
        <w:widowControl/>
        <w:bidi w:val="0"/>
        <w:ind w:firstLine="720" w:start="0" w:end="0"/>
        <w:jc w:val="both"/>
        <w:rPr>
          <w:sz w:val="22"/>
        </w:rPr>
      </w:pPr>
      <w:r>
        <w:rPr>
          <w:sz w:val="22"/>
        </w:rPr>
      </w:r>
    </w:p>
    <w:p>
      <w:pPr>
        <w:pStyle w:val="BodyTextIndent2"/>
        <w:widowControl/>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widowControl/>
        <w:bidi w:val="0"/>
        <w:ind w:hanging="0" w:start="0" w:end="0"/>
        <w:jc w:val="both"/>
        <w:rPr>
          <w:sz w:val="22"/>
        </w:rPr>
      </w:pPr>
      <w:r>
        <w:rPr>
          <w:sz w:val="22"/>
        </w:rPr>
      </w:r>
    </w:p>
    <w:p>
      <w:pPr>
        <w:pStyle w:val="BlockText"/>
        <w:widowControl/>
        <w:bidi w:val="0"/>
        <w:ind w:hanging="720" w:start="1440" w:end="720"/>
        <w:rPr>
          <w:rFonts w:ascii="Times New Roman" w:hAnsi="Times New Roman"/>
        </w:rPr>
      </w:pPr>
      <w:r>
        <w:rPr/>
        <w:t>(i)</w:t>
        <w:tab/>
        <w:t>“Postponement”, with three (3) Commodity Business Days as the Maximum Days of Disruption;</w:t>
      </w:r>
    </w:p>
    <w:p>
      <w:pPr>
        <w:pStyle w:val="Normal"/>
        <w:widowControl/>
        <w:bidi w:val="0"/>
        <w:ind w:hanging="720" w:start="1440" w:end="720"/>
        <w:jc w:val="both"/>
        <w:rPr>
          <w:sz w:val="22"/>
        </w:rPr>
      </w:pPr>
      <w:r>
        <w:rPr>
          <w:sz w:val="22"/>
        </w:rPr>
      </w:r>
    </w:p>
    <w:p>
      <w:pPr>
        <w:pStyle w:val="BlockText"/>
        <w:widowControl/>
        <w:bidi w:val="0"/>
        <w:ind w:hanging="720" w:start="1440" w:end="720"/>
        <w:rPr>
          <w:rFonts w:ascii="Times New Roman" w:hAnsi="Times New Roman"/>
        </w:rPr>
      </w:pPr>
      <w:r>
        <w:rPr/>
        <w:t>(ii)</w:t>
        <w:tab/>
        <w:t>“Fallback Reference Price” (if the relevant parties have specified an alternate Commodity Reference Price in the Confirmation);</w:t>
      </w:r>
    </w:p>
    <w:p>
      <w:pPr>
        <w:pStyle w:val="Normal"/>
        <w:widowControl/>
        <w:bidi w:val="0"/>
        <w:ind w:hanging="720" w:start="1440" w:end="720"/>
        <w:jc w:val="both"/>
        <w:rPr>
          <w:sz w:val="22"/>
        </w:rPr>
      </w:pPr>
      <w:r>
        <w:rPr>
          <w:sz w:val="22"/>
        </w:rPr>
      </w:r>
    </w:p>
    <w:p>
      <w:pPr>
        <w:pStyle w:val="BlockText"/>
        <w:widowControl/>
        <w:bidi w:val="0"/>
        <w:ind w:hanging="720" w:start="1440" w:end="720"/>
        <w:rPr>
          <w:rFonts w:ascii="Times New Roman" w:hAnsi="Times New Roman"/>
        </w:rPr>
      </w:pPr>
      <w:r>
        <w:rPr/>
        <w:t>(iii)</w:t>
        <w:tab/>
        <w:t>“Negotiated Fallback” (provided that the reference in Section 7.5(c)(iv) to “fifth Business Day” shall be amended to be “twelfth Business Day”); and</w:t>
      </w:r>
    </w:p>
    <w:p>
      <w:pPr>
        <w:pStyle w:val="Normal"/>
        <w:widowControl/>
        <w:bidi w:val="0"/>
        <w:ind w:hanging="720" w:start="1440" w:end="720"/>
        <w:jc w:val="both"/>
        <w:rPr>
          <w:sz w:val="22"/>
        </w:rPr>
      </w:pPr>
      <w:r>
        <w:rPr>
          <w:sz w:val="22"/>
        </w:rPr>
      </w:r>
    </w:p>
    <w:p>
      <w:pPr>
        <w:pStyle w:val="Normal"/>
        <w:widowControl/>
        <w:bidi w:val="0"/>
        <w:ind w:hanging="720" w:start="1440" w:end="0"/>
        <w:jc w:val="both"/>
        <w:rPr>
          <w:sz w:val="22"/>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widowControl/>
        <w:bidi w:val="0"/>
        <w:ind w:firstLine="720" w:start="0" w:end="0"/>
        <w:jc w:val="both"/>
        <w:rPr>
          <w:sz w:val="22"/>
        </w:rPr>
      </w:pPr>
      <w:r>
        <w:rPr>
          <w:sz w:val="22"/>
        </w:rPr>
      </w:r>
    </w:p>
    <w:p>
      <w:pPr>
        <w:pStyle w:val="Normal"/>
        <w:widowControl/>
        <w:bidi w:val="0"/>
        <w:ind w:firstLine="720" w:start="0" w:end="0"/>
        <w:jc w:val="both"/>
        <w:rPr>
          <w:color w:val="000000"/>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r>
        <w:rPr>
          <w:sz w:val="22"/>
        </w:rPr>
        <w:t>”</w:t>
      </w:r>
    </w:p>
    <w:p>
      <w:pPr>
        <w:pStyle w:val="Normal"/>
        <w:widowControl/>
        <w:bidi w:val="0"/>
        <w:ind w:firstLine="720" w:start="0" w:end="0"/>
        <w:jc w:val="both"/>
        <w:rPr>
          <w:color w:val="000000"/>
          <w:sz w:val="22"/>
        </w:rPr>
      </w:pPr>
      <w:r>
        <w:rPr>
          <w:color w:val="000000"/>
          <w:sz w:val="22"/>
        </w:rPr>
      </w:r>
    </w:p>
    <w:p>
      <w:pPr>
        <w:pStyle w:val="Normal"/>
        <w:widowControl/>
        <w:bidi w:val="0"/>
        <w:ind w:firstLine="720" w:start="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bidi w:val="0"/>
        <w:spacing w:before="0" w:after="0"/>
        <w:rPr>
          <w:rFonts w:ascii="Times New Roman" w:hAnsi="Times New Roman"/>
        </w:rPr>
      </w:pPr>
      <w:r>
        <w:rPr>
          <w:rFonts w:ascii="Times New Roman" w:hAnsi="Times New Roman"/>
        </w:rPr>
      </w:r>
    </w:p>
    <w:p>
      <w:pPr>
        <w:pStyle w:val="Justified"/>
        <w:widowControl/>
        <w:bidi w:val="0"/>
        <w:spacing w:before="0" w:after="0"/>
        <w:rPr>
          <w:rFonts w:ascii="Times New Roman" w:hAnsi="Times New Roman"/>
        </w:rPr>
      </w:pPr>
      <w:r>
        <w:rPr>
          <w:rFonts w:ascii="Times New Roman" w:hAnsi="Times New Roman"/>
        </w:rPr>
        <w:t>EXECUTED effective as of the date first written above.</w:t>
      </w:r>
    </w:p>
    <w:p>
      <w:pPr>
        <w:pStyle w:val="Normal"/>
        <w:widowControl/>
        <w:bidi w:val="0"/>
        <w:ind w:hanging="0" w:start="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trHeight w:val="1710" w:hRule="atLeast"/>
          <w:cantSplit w:val="true"/>
        </w:trPr>
        <w:tc>
          <w:tcPr>
            <w:tcW w:w="4788" w:type="dxa"/>
            <w:tcBorders/>
          </w:tcPr>
          <w:p>
            <w:pPr>
              <w:pStyle w:val="Normal"/>
              <w:keepNext w:val="true"/>
              <w:widowControl/>
              <w:tabs>
                <w:tab w:val="clear" w:pos="720"/>
              </w:tabs>
              <w:bidi w:val="0"/>
              <w:spacing w:lineRule="exact" w:line="240"/>
              <w:ind w:hanging="0" w:start="0" w:end="0"/>
              <w:jc w:val="both"/>
              <w:rPr>
                <w:sz w:val="22"/>
              </w:rPr>
            </w:pPr>
            <w:r>
              <w:rPr>
                <w:b/>
                <w:sz w:val="22"/>
              </w:rPr>
              <w:t>ENRON NORTH AMERICA CORP.</w:t>
            </w:r>
          </w:p>
          <w:p>
            <w:pPr>
              <w:pStyle w:val="Normal"/>
              <w:keepNext w:val="true"/>
              <w:widowControl/>
              <w:tabs>
                <w:tab w:val="clear" w:pos="720"/>
              </w:tabs>
              <w:bidi w:val="0"/>
              <w:spacing w:lineRule="exact" w:line="240"/>
              <w:ind w:hanging="0" w:start="0" w:end="0"/>
              <w:jc w:val="both"/>
              <w:rPr>
                <w:b/>
                <w:color w:val="7F007F"/>
                <w:sz w:val="22"/>
              </w:rPr>
            </w:pPr>
            <w:r>
              <w:rPr>
                <w:b/>
                <w:color w:val="7F007F"/>
                <w:sz w:val="22"/>
              </w:rPr>
            </w:r>
          </w:p>
          <w:p>
            <w:pPr>
              <w:pStyle w:val="Normal"/>
              <w:keepNext w:val="true"/>
              <w:widowControl/>
              <w:tabs>
                <w:tab w:val="clear" w:pos="720"/>
              </w:tabs>
              <w:bidi w:val="0"/>
              <w:spacing w:lineRule="exact" w:line="240"/>
              <w:ind w:hanging="0" w:start="0" w:end="0"/>
              <w:jc w:val="both"/>
              <w:rPr>
                <w:b/>
                <w:color w:val="FF0000"/>
                <w:sz w:val="22"/>
              </w:rPr>
            </w:pPr>
            <w:r>
              <w:rPr>
                <w:b/>
                <w:color w:val="FF0000"/>
                <w:sz w:val="22"/>
              </w:rPr>
            </w:r>
          </w:p>
          <w:p>
            <w:pPr>
              <w:pStyle w:val="Normal"/>
              <w:keepNext w:val="true"/>
              <w:widowControl/>
              <w:tabs>
                <w:tab w:val="clear" w:pos="720"/>
              </w:tabs>
              <w:bidi w:val="0"/>
              <w:spacing w:lineRule="exact" w:line="240"/>
              <w:ind w:hanging="0" w:start="0" w:end="0"/>
              <w:jc w:val="both"/>
              <w:rPr>
                <w:sz w:val="22"/>
                <w:u w:val="single"/>
              </w:rPr>
            </w:pPr>
            <w:r>
              <w:rPr>
                <w:sz w:val="22"/>
              </w:rPr>
              <w:t>By:</w:t>
              <w:tab/>
            </w:r>
            <w:r>
              <w:rPr>
                <w:sz w:val="22"/>
                <w:u w:val="single"/>
              </w:rPr>
              <w:tab/>
              <w:tab/>
              <w:tab/>
              <w:tab/>
              <w:tab/>
            </w:r>
          </w:p>
          <w:p>
            <w:pPr>
              <w:pStyle w:val="Normal"/>
              <w:keepNext w:val="true"/>
              <w:widowControl/>
              <w:tabs>
                <w:tab w:val="clear" w:pos="720"/>
              </w:tabs>
              <w:bidi w:val="0"/>
              <w:spacing w:lineRule="exact" w:line="240"/>
              <w:ind w:hanging="0" w:start="0" w:end="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bidi w:val="0"/>
              <w:spacing w:lineRule="exact" w:line="240"/>
              <w:ind w:hanging="0" w:start="0" w:end="0"/>
              <w:jc w:val="both"/>
              <w:rPr>
                <w:sz w:val="22"/>
              </w:rPr>
            </w:pPr>
            <w:r>
              <w:rPr>
                <w:sz w:val="22"/>
              </w:rPr>
              <w:t xml:space="preserve">Title:    </w:t>
            </w:r>
            <w:r>
              <w:rPr>
                <w:sz w:val="22"/>
                <w:u w:val="single"/>
              </w:rPr>
              <w:tab/>
            </w:r>
          </w:p>
          <w:p>
            <w:pPr>
              <w:pStyle w:val="Normal"/>
              <w:keepNext w:val="true"/>
              <w:widowControl/>
              <w:tabs>
                <w:tab w:val="clear" w:pos="720"/>
              </w:tabs>
              <w:bidi w:val="0"/>
              <w:spacing w:lineRule="exact" w:line="240"/>
              <w:ind w:hanging="0" w:start="0" w:end="0"/>
              <w:jc w:val="both"/>
              <w:rPr/>
            </w:pPr>
            <w:r>
              <w:rPr>
                <w:sz w:val="22"/>
              </w:rPr>
              <w:t xml:space="preserve">Date:     </w:t>
            </w:r>
            <w:r>
              <w:rPr>
                <w:sz w:val="22"/>
                <w:u w:val="single"/>
              </w:rPr>
              <w:tab/>
              <w:tab/>
              <w:tab/>
              <w:tab/>
              <w:tab/>
            </w:r>
          </w:p>
        </w:tc>
        <w:tc>
          <w:tcPr>
            <w:tcW w:w="4787" w:type="dxa"/>
            <w:tcBorders/>
          </w:tcPr>
          <w:p>
            <w:pPr>
              <w:pStyle w:val="Heading4"/>
              <w:widowControl/>
              <w:numPr>
                <w:ilvl w:val="0"/>
                <w:numId w:val="0"/>
              </w:numPr>
              <w:tabs>
                <w:tab w:val="clear" w:pos="1080"/>
              </w:tabs>
              <w:bidi w:val="0"/>
              <w:spacing w:lineRule="exact" w:line="240"/>
              <w:ind w:hanging="0" w:start="0"/>
              <w:outlineLvl w:val="3"/>
              <w:rPr>
                <w:rFonts w:ascii="Times New Roman" w:hAnsi="Times New Roman"/>
              </w:rPr>
            </w:pPr>
            <w:r>
              <w:rPr>
                <w:rFonts w:ascii="Times" w:hAnsi="Times"/>
                <w:caps/>
              </w:rPr>
              <w:t>Georgia Power Company</w:t>
            </w:r>
          </w:p>
          <w:p>
            <w:pPr>
              <w:pStyle w:val="Normal"/>
              <w:keepNext w:val="true"/>
              <w:widowControl/>
              <w:tabs>
                <w:tab w:val="clear" w:pos="720"/>
              </w:tabs>
              <w:bidi w:val="0"/>
              <w:spacing w:lineRule="exact" w:line="240"/>
              <w:ind w:hanging="0" w:start="0" w:end="0"/>
              <w:jc w:val="both"/>
              <w:rPr>
                <w:sz w:val="22"/>
              </w:rPr>
            </w:pPr>
            <w:r>
              <w:rPr>
                <w:sz w:val="22"/>
              </w:rPr>
            </w:r>
          </w:p>
          <w:p>
            <w:pPr>
              <w:pStyle w:val="Normal"/>
              <w:keepNext w:val="true"/>
              <w:widowControl/>
              <w:tabs>
                <w:tab w:val="clear" w:pos="720"/>
              </w:tabs>
              <w:bidi w:val="0"/>
              <w:spacing w:lineRule="exact" w:line="240"/>
              <w:ind w:hanging="0" w:start="0" w:end="0"/>
              <w:jc w:val="both"/>
              <w:rPr>
                <w:sz w:val="22"/>
              </w:rPr>
            </w:pPr>
            <w:r>
              <w:rPr>
                <w:sz w:val="22"/>
              </w:rPr>
            </w:r>
          </w:p>
          <w:p>
            <w:pPr>
              <w:pStyle w:val="Normal"/>
              <w:keepNext w:val="true"/>
              <w:widowControl/>
              <w:tabs>
                <w:tab w:val="clear" w:pos="720"/>
              </w:tabs>
              <w:bidi w:val="0"/>
              <w:spacing w:lineRule="exact" w:line="240"/>
              <w:ind w:hanging="0" w:start="0" w:end="0"/>
              <w:jc w:val="both"/>
              <w:rPr>
                <w:sz w:val="22"/>
                <w:u w:val="single"/>
              </w:rPr>
            </w:pPr>
            <w:r>
              <w:rPr>
                <w:sz w:val="22"/>
              </w:rPr>
              <w:t>By:</w:t>
              <w:tab/>
            </w:r>
            <w:r>
              <w:rPr>
                <w:sz w:val="22"/>
                <w:u w:val="single"/>
              </w:rPr>
              <w:tab/>
              <w:tab/>
              <w:tab/>
              <w:tab/>
              <w:tab/>
            </w:r>
          </w:p>
          <w:p>
            <w:pPr>
              <w:pStyle w:val="Normal"/>
              <w:keepNext w:val="true"/>
              <w:widowControl/>
              <w:tabs>
                <w:tab w:val="clear" w:pos="720"/>
              </w:tabs>
              <w:bidi w:val="0"/>
              <w:spacing w:lineRule="exact" w:line="240"/>
              <w:ind w:hanging="0" w:start="0" w:end="0"/>
              <w:jc w:val="both"/>
              <w:rPr>
                <w:sz w:val="22"/>
              </w:rPr>
            </w:pPr>
            <w:r>
              <w:rPr>
                <w:sz w:val="22"/>
              </w:rPr>
              <w:t>Name:</w:t>
              <w:tab/>
            </w:r>
            <w:r>
              <w:rPr>
                <w:sz w:val="22"/>
                <w:u w:val="single"/>
              </w:rPr>
              <w:tab/>
              <w:tab/>
              <w:tab/>
              <w:tab/>
              <w:tab/>
            </w:r>
          </w:p>
          <w:p>
            <w:pPr>
              <w:pStyle w:val="Normal"/>
              <w:keepNext w:val="true"/>
              <w:widowControl/>
              <w:tabs>
                <w:tab w:val="clear" w:pos="720"/>
              </w:tabs>
              <w:bidi w:val="0"/>
              <w:spacing w:lineRule="exact" w:line="240"/>
              <w:ind w:hanging="0" w:start="0" w:end="0"/>
              <w:jc w:val="both"/>
              <w:rPr>
                <w:sz w:val="22"/>
                <w:u w:val="single"/>
              </w:rPr>
            </w:pPr>
            <w:r>
              <w:rPr>
                <w:sz w:val="22"/>
              </w:rPr>
              <w:t>Title:</w:t>
              <w:tab/>
            </w:r>
            <w:r>
              <w:rPr>
                <w:sz w:val="22"/>
                <w:u w:val="single"/>
              </w:rPr>
              <w:tab/>
              <w:tab/>
              <w:tab/>
              <w:tab/>
              <w:tab/>
            </w:r>
          </w:p>
          <w:p>
            <w:pPr>
              <w:pStyle w:val="Normal"/>
              <w:keepNext w:val="true"/>
              <w:widowControl/>
              <w:tabs>
                <w:tab w:val="clear" w:pos="720"/>
              </w:tabs>
              <w:bidi w:val="0"/>
              <w:spacing w:lineRule="exact" w:line="240"/>
              <w:ind w:hanging="0" w:start="0" w:end="0"/>
              <w:jc w:val="both"/>
              <w:rPr/>
            </w:pPr>
            <w:r>
              <w:rPr>
                <w:sz w:val="22"/>
              </w:rPr>
              <w:t xml:space="preserve">Date:     </w:t>
            </w:r>
            <w:r>
              <w:rPr>
                <w:sz w:val="22"/>
                <w:u w:val="single"/>
              </w:rPr>
              <w:tab/>
              <w:tab/>
              <w:tab/>
              <w:tab/>
              <w:tab/>
            </w:r>
          </w:p>
        </w:tc>
      </w:tr>
    </w:tbl>
    <w:p>
      <w:pPr>
        <w:pStyle w:val="Normal"/>
        <w:widowControl/>
        <w:tabs>
          <w:tab w:val="clear" w:pos="720"/>
          <w:tab w:val="left" w:pos="2880" w:leader="none"/>
        </w:tabs>
        <w:bidi w:val="0"/>
        <w:spacing w:lineRule="exact" w:line="240"/>
        <w:ind w:hanging="2880" w:start="2880" w:end="0"/>
        <w:jc w:val="both"/>
        <w:rPr>
          <w:sz w:val="22"/>
        </w:rPr>
      </w:pPr>
      <w:r>
        <w:rPr>
          <w:sz w:val="22"/>
        </w:rPr>
      </w:r>
    </w:p>
    <w:p>
      <w:pPr>
        <w:pStyle w:val="Normal"/>
        <w:widowControl/>
        <w:tabs>
          <w:tab w:val="clear" w:pos="720"/>
          <w:tab w:val="left" w:pos="2880" w:leader="none"/>
        </w:tabs>
        <w:bidi w:val="0"/>
        <w:spacing w:lineRule="exact" w:line="240"/>
        <w:ind w:hanging="2880" w:start="2880" w:end="0"/>
        <w:jc w:val="both"/>
        <w:rPr>
          <w:sz w:val="22"/>
        </w:rPr>
      </w:pPr>
      <w:r>
        <w:rPr>
          <w:sz w:val="22"/>
        </w:rPr>
      </w:r>
    </w:p>
    <w:p>
      <w:pPr>
        <w:pStyle w:val="Normal"/>
        <w:widowControl/>
        <w:tabs>
          <w:tab w:val="clear" w:pos="720"/>
          <w:tab w:val="left" w:pos="2700" w:leader="none"/>
        </w:tabs>
        <w:bidi w:val="0"/>
        <w:spacing w:lineRule="exact" w:line="240"/>
        <w:ind w:hanging="3060" w:start="3060" w:end="0"/>
        <w:jc w:val="both"/>
        <w:rPr>
          <w:sz w:val="22"/>
        </w:rPr>
      </w:pPr>
      <w:r>
        <w:rPr>
          <w:sz w:val="22"/>
        </w:rPr>
        <w:t>ANNEX A</w:t>
        <w:tab/>
        <w:t>ISDA CREDIT SUPPORT ANNEX, including Paragraph 13 thereto</w:t>
      </w:r>
    </w:p>
    <w:p>
      <w:pPr>
        <w:pStyle w:val="Normal"/>
        <w:widowControl/>
        <w:tabs>
          <w:tab w:val="clear" w:pos="720"/>
          <w:tab w:val="left" w:pos="2700" w:leader="none"/>
        </w:tabs>
        <w:bidi w:val="0"/>
        <w:spacing w:lineRule="exact" w:line="240"/>
        <w:ind w:hanging="3060" w:start="3060" w:end="0"/>
        <w:jc w:val="both"/>
        <w:rPr>
          <w:sz w:val="22"/>
        </w:rPr>
      </w:pPr>
      <w:r>
        <w:rPr>
          <w:sz w:val="22"/>
        </w:rPr>
        <w:t>SCHEDULE 1</w:t>
        <w:tab/>
        <w:t>IRREVOCABLE TRANSFERABLE STANDBY LETTER OF CREDIT</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0"/>
        </w:sectPr>
        <w:pStyle w:val="Normal"/>
        <w:widowControl/>
        <w:tabs>
          <w:tab w:val="clear" w:pos="720"/>
          <w:tab w:val="left" w:pos="2700" w:leader="none"/>
        </w:tabs>
        <w:bidi w:val="0"/>
        <w:spacing w:lineRule="exact" w:line="240"/>
        <w:ind w:hanging="3060" w:start="3060" w:end="0"/>
        <w:jc w:val="both"/>
        <w:rPr>
          <w:sz w:val="22"/>
        </w:rPr>
      </w:pPr>
      <w:r>
        <w:rPr>
          <w:sz w:val="22"/>
        </w:rPr>
        <w:t>EXHIBIT A</w:t>
        <w:tab/>
        <w:t>FORM OF GUARANTY (PARTY A)</w:t>
      </w:r>
    </w:p>
    <w:p>
      <w:pPr>
        <w:pStyle w:val="Normal"/>
        <w:widowControl/>
        <w:bidi w:val="0"/>
        <w:ind w:hanging="0" w:start="0" w:end="0"/>
        <w:jc w:val="center"/>
        <w:rPr>
          <w:b/>
          <w:sz w:val="22"/>
          <w:u w:val="single"/>
        </w:rPr>
      </w:pPr>
      <w:r>
        <w:rPr>
          <w:b/>
          <w:sz w:val="22"/>
          <w:u w:val="single"/>
        </w:rPr>
        <w:t>PARAGRAPH 13</w:t>
      </w:r>
    </w:p>
    <w:p>
      <w:pPr>
        <w:pStyle w:val="Normal"/>
        <w:widowControl/>
        <w:bidi w:val="0"/>
        <w:ind w:hanging="0" w:start="0" w:end="0"/>
        <w:jc w:val="center"/>
        <w:rPr>
          <w:b/>
          <w:sz w:val="22"/>
        </w:rPr>
      </w:pPr>
      <w:r>
        <w:rPr>
          <w:b/>
          <w:sz w:val="22"/>
        </w:rPr>
        <w:t>to the</w:t>
      </w:r>
    </w:p>
    <w:p>
      <w:pPr>
        <w:pStyle w:val="Normal"/>
        <w:widowControl/>
        <w:bidi w:val="0"/>
        <w:ind w:hanging="0" w:start="0" w:end="0"/>
        <w:jc w:val="center"/>
        <w:rPr>
          <w:b/>
          <w:sz w:val="22"/>
        </w:rPr>
      </w:pPr>
      <w:r>
        <w:rPr>
          <w:b/>
          <w:sz w:val="22"/>
        </w:rPr>
        <w:t>ISDA CREDIT SUPPORT ANNEX</w:t>
      </w:r>
    </w:p>
    <w:p>
      <w:pPr>
        <w:pStyle w:val="Normal"/>
        <w:widowControl/>
        <w:bidi w:val="0"/>
        <w:ind w:hanging="0" w:start="0" w:end="0"/>
        <w:jc w:val="center"/>
        <w:rPr>
          <w:b/>
          <w:sz w:val="22"/>
        </w:rPr>
      </w:pPr>
      <w:r>
        <w:rPr>
          <w:b/>
          <w:sz w:val="22"/>
        </w:rPr>
      </w:r>
    </w:p>
    <w:p>
      <w:pPr>
        <w:pStyle w:val="Normal"/>
        <w:widowControl/>
        <w:bidi w:val="0"/>
        <w:ind w:hanging="0" w:start="0" w:end="0"/>
        <w:jc w:val="center"/>
        <w:rPr>
          <w:b/>
          <w:sz w:val="22"/>
        </w:rPr>
      </w:pPr>
      <w:r>
        <w:rPr>
          <w:b/>
          <w:sz w:val="22"/>
        </w:rPr>
        <w:t>dated as of _________________, 2001</w:t>
      </w:r>
    </w:p>
    <w:p>
      <w:pPr>
        <w:pStyle w:val="Normal"/>
        <w:widowControl/>
        <w:bidi w:val="0"/>
        <w:ind w:hanging="0" w:start="0" w:end="0"/>
        <w:jc w:val="center"/>
        <w:rPr>
          <w:b/>
          <w:sz w:val="22"/>
        </w:rPr>
      </w:pPr>
      <w:r>
        <w:rPr>
          <w:b/>
          <w:sz w:val="22"/>
        </w:rPr>
      </w:r>
    </w:p>
    <w:p>
      <w:pPr>
        <w:pStyle w:val="Normal"/>
        <w:widowControl/>
        <w:bidi w:val="0"/>
        <w:ind w:hanging="0" w:start="0" w:end="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widowControl/>
              <w:tabs>
                <w:tab w:val="clear" w:pos="720"/>
                <w:tab w:val="center" w:pos="5760" w:leader="none"/>
              </w:tabs>
              <w:bidi w:val="0"/>
              <w:spacing w:before="240" w:after="0"/>
              <w:ind w:hanging="0" w:start="0" w:end="0"/>
              <w:jc w:val="center"/>
              <w:rPr/>
            </w:pPr>
            <w:r>
              <w:rPr>
                <w:b/>
                <w:sz w:val="22"/>
              </w:rPr>
              <w:t>ENRON NORTH AMERICA CORP., a corporation organized under the law of the State of Delaware (“Party A”), and</w:t>
            </w:r>
          </w:p>
        </w:tc>
        <w:tc>
          <w:tcPr>
            <w:tcW w:w="4787" w:type="dxa"/>
            <w:tcBorders/>
          </w:tcPr>
          <w:p>
            <w:pPr>
              <w:pStyle w:val="Normal"/>
              <w:widowControl/>
              <w:tabs>
                <w:tab w:val="clear" w:pos="720"/>
                <w:tab w:val="center" w:pos="5760" w:leader="none"/>
              </w:tabs>
              <w:bidi w:val="0"/>
              <w:spacing w:before="240" w:after="0"/>
              <w:ind w:hanging="0" w:start="0" w:end="0"/>
              <w:jc w:val="center"/>
              <w:rPr>
                <w:b/>
                <w:sz w:val="22"/>
              </w:rPr>
            </w:pPr>
            <w:r>
              <w:rPr>
                <w:rFonts w:ascii="Times" w:hAnsi="Times"/>
                <w:b/>
                <w:caps/>
                <w:sz w:val="22"/>
              </w:rPr>
              <w:t>Georgia Power Company</w:t>
            </w:r>
            <w:r>
              <w:rPr>
                <w:b/>
                <w:sz w:val="22"/>
              </w:rPr>
              <w:t xml:space="preserve">, a </w:t>
            </w:r>
            <w:r>
              <w:rPr>
                <w:b/>
                <w:strike/>
                <w:sz w:val="22"/>
              </w:rPr>
              <w:t>_________________</w:t>
            </w:r>
            <w:r>
              <w:rPr>
                <w:b/>
                <w:sz w:val="22"/>
                <w:u w:val="single"/>
              </w:rPr>
              <w:t>corporation</w:t>
            </w:r>
            <w:r>
              <w:rPr>
                <w:b/>
                <w:sz w:val="22"/>
              </w:rPr>
              <w:t xml:space="preserve"> organized under the law of the State of </w:t>
            </w:r>
            <w:r>
              <w:rPr>
                <w:b/>
                <w:strike/>
                <w:sz w:val="22"/>
              </w:rPr>
              <w:t>______________</w:t>
            </w:r>
            <w:r>
              <w:rPr>
                <w:b/>
                <w:sz w:val="22"/>
                <w:u w:val="single"/>
              </w:rPr>
              <w:t>Georgia</w:t>
            </w:r>
            <w:r>
              <w:rPr>
                <w:b/>
                <w:sz w:val="22"/>
              </w:rPr>
              <w:t xml:space="preserve"> (“Party B”)</w:t>
            </w:r>
          </w:p>
          <w:p>
            <w:pPr>
              <w:pStyle w:val="Normal"/>
              <w:widowControl/>
              <w:tabs>
                <w:tab w:val="clear" w:pos="720"/>
                <w:tab w:val="center" w:pos="5760" w:leader="none"/>
              </w:tabs>
              <w:bidi w:val="0"/>
              <w:spacing w:before="240" w:after="0"/>
              <w:ind w:hanging="0" w:start="0" w:end="0"/>
              <w:jc w:val="center"/>
              <w:rPr>
                <w:b/>
                <w:color w:val="7F7F00"/>
                <w:sz w:val="22"/>
              </w:rPr>
            </w:pPr>
            <w:r>
              <w:rPr>
                <w:b/>
                <w:color w:val="7F7F00"/>
                <w:sz w:val="22"/>
              </w:rPr>
            </w:r>
          </w:p>
        </w:tc>
      </w:tr>
    </w:tbl>
    <w:p>
      <w:pPr>
        <w:pStyle w:val="Justified"/>
        <w:bidi w:val="0"/>
        <w:spacing w:before="0" w:after="0"/>
        <w:rPr>
          <w:rFonts w:ascii="Times New Roman" w:hAnsi="Times New Roman"/>
        </w:rPr>
      </w:pPr>
      <w:r>
        <w:rPr>
          <w:rFonts w:ascii="Times New Roman" w:hAnsi="Times New Roman"/>
        </w:rPr>
      </w:r>
    </w:p>
    <w:p>
      <w:pPr>
        <w:pStyle w:val="Normal"/>
        <w:widowControl/>
        <w:bidi w:val="0"/>
        <w:ind w:hanging="0" w:start="0" w:end="0"/>
        <w:jc w:val="both"/>
        <w:rPr>
          <w:sz w:val="22"/>
        </w:rPr>
      </w:pPr>
      <w:r>
        <w:rPr>
          <w:b/>
          <w:sz w:val="22"/>
        </w:rPr>
        <w:t>Paragraph 13.  Elections and Variables.</w:t>
      </w:r>
    </w:p>
    <w:p>
      <w:pPr>
        <w:pStyle w:val="Normal"/>
        <w:widowControl/>
        <w:bidi w:val="0"/>
        <w:ind w:hanging="0" w:start="0" w:end="0"/>
        <w:jc w:val="both"/>
        <w:rPr>
          <w:sz w:val="22"/>
        </w:rPr>
      </w:pPr>
      <w:r>
        <w:rPr>
          <w:sz w:val="22"/>
        </w:rPr>
      </w:r>
    </w:p>
    <w:p>
      <w:pPr>
        <w:pStyle w:val="Normal"/>
        <w:widowControl/>
        <w:bidi w:val="0"/>
        <w:ind w:hanging="720" w:start="720" w:end="0"/>
        <w:jc w:val="both"/>
        <w:rPr>
          <w:sz w:val="22"/>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bidi w:val="0"/>
        <w:ind w:hanging="360" w:start="360" w:end="0"/>
        <w:jc w:val="both"/>
        <w:rPr>
          <w:sz w:val="22"/>
        </w:rPr>
      </w:pPr>
      <w:r>
        <w:rPr>
          <w:sz w:val="22"/>
        </w:rPr>
      </w:r>
    </w:p>
    <w:p>
      <w:pPr>
        <w:pStyle w:val="Normal"/>
        <w:widowControl/>
        <w:bidi w:val="0"/>
        <w:ind w:hanging="0" w:start="630" w:end="0"/>
        <w:jc w:val="both"/>
        <w:rPr>
          <w:sz w:val="22"/>
        </w:rPr>
      </w:pPr>
      <w:r>
        <w:rPr>
          <w:sz w:val="22"/>
        </w:rPr>
        <w:t>With respect to Party A:  None.</w:t>
      </w:r>
    </w:p>
    <w:p>
      <w:pPr>
        <w:pStyle w:val="Normal"/>
        <w:widowControl/>
        <w:bidi w:val="0"/>
        <w:ind w:hanging="0" w:start="630" w:end="0"/>
        <w:jc w:val="both"/>
        <w:rPr>
          <w:sz w:val="22"/>
        </w:rPr>
      </w:pPr>
      <w:r>
        <w:rPr>
          <w:sz w:val="22"/>
        </w:rPr>
      </w:r>
    </w:p>
    <w:p>
      <w:pPr>
        <w:pStyle w:val="Normal"/>
        <w:widowControl/>
        <w:bidi w:val="0"/>
        <w:ind w:hanging="0" w:start="630" w:end="0"/>
        <w:jc w:val="both"/>
        <w:rPr>
          <w:sz w:val="22"/>
        </w:rPr>
      </w:pPr>
      <w:r>
        <w:rPr>
          <w:sz w:val="22"/>
        </w:rPr>
        <w:t>With respect to Party B:  None.</w:t>
      </w:r>
    </w:p>
    <w:p>
      <w:pPr>
        <w:pStyle w:val="Normal"/>
        <w:widowControl/>
        <w:bidi w:val="0"/>
        <w:ind w:hanging="720" w:start="720" w:end="0"/>
        <w:jc w:val="both"/>
        <w:rPr>
          <w:sz w:val="22"/>
        </w:rPr>
      </w:pPr>
      <w:r>
        <w:rPr>
          <w:sz w:val="22"/>
        </w:rPr>
      </w:r>
    </w:p>
    <w:p>
      <w:pPr>
        <w:pStyle w:val="Normal"/>
        <w:widowControl/>
        <w:bidi w:val="0"/>
        <w:ind w:hanging="360" w:start="360" w:end="0"/>
        <w:jc w:val="both"/>
        <w:rPr>
          <w:b/>
          <w:sz w:val="22"/>
        </w:rPr>
      </w:pPr>
      <w:r>
        <w:rPr>
          <w:sz w:val="22"/>
        </w:rPr>
        <w:t>(b)</w:t>
        <w:tab/>
      </w:r>
      <w:r>
        <w:rPr>
          <w:b/>
          <w:sz w:val="22"/>
        </w:rPr>
        <w:t>Credit Support Obligations.</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Delivery Amount, Return Amount, and Credit Support Amount.</w:t>
      </w:r>
    </w:p>
    <w:p>
      <w:pPr>
        <w:pStyle w:val="Normal"/>
        <w:widowControl/>
        <w:bidi w:val="0"/>
        <w:ind w:hanging="1260" w:start="1440" w:end="0"/>
        <w:jc w:val="both"/>
        <w:rPr>
          <w:sz w:val="22"/>
        </w:rPr>
      </w:pPr>
      <w:r>
        <w:rPr>
          <w:sz w:val="22"/>
        </w:rPr>
      </w:r>
    </w:p>
    <w:p>
      <w:pPr>
        <w:pStyle w:val="Normal"/>
        <w:widowControl/>
        <w:tabs>
          <w:tab w:val="clear" w:pos="720"/>
          <w:tab w:val="left" w:pos="1080" w:leader="none"/>
        </w:tabs>
        <w:bidi w:val="0"/>
        <w:ind w:hanging="0" w:start="720" w:end="0"/>
        <w:jc w:val="both"/>
        <w:rPr>
          <w:sz w:val="22"/>
        </w:rPr>
      </w:pPr>
      <w:r>
        <w:rPr>
          <w:sz w:val="22"/>
        </w:rPr>
        <w:t xml:space="preserve">(A) </w:t>
      </w:r>
      <w:r>
        <w:rPr>
          <w:b/>
          <w:sz w:val="22"/>
        </w:rPr>
        <w:t>“Delivery Amount”</w:t>
      </w:r>
      <w:r>
        <w:rPr>
          <w:sz w:val="22"/>
        </w:rPr>
        <w:t xml:space="preserve"> has the meaning specified in Paragraph 3(a).</w:t>
      </w:r>
    </w:p>
    <w:p>
      <w:pPr>
        <w:pStyle w:val="Normal"/>
        <w:widowControl/>
        <w:bidi w:val="0"/>
        <w:ind w:hanging="0" w:start="720" w:end="0"/>
        <w:jc w:val="both"/>
        <w:rPr>
          <w:sz w:val="22"/>
        </w:rPr>
      </w:pPr>
      <w:r>
        <w:rPr>
          <w:sz w:val="22"/>
        </w:rPr>
      </w:r>
    </w:p>
    <w:p>
      <w:pPr>
        <w:pStyle w:val="Normal"/>
        <w:widowControl/>
        <w:tabs>
          <w:tab w:val="clear" w:pos="720"/>
          <w:tab w:val="left" w:pos="1080" w:leader="none"/>
        </w:tabs>
        <w:bidi w:val="0"/>
        <w:ind w:hanging="0" w:start="720" w:end="0"/>
        <w:jc w:val="both"/>
        <w:rPr>
          <w:sz w:val="22"/>
        </w:rPr>
      </w:pPr>
      <w:r>
        <w:rPr>
          <w:sz w:val="22"/>
        </w:rPr>
        <w:t xml:space="preserve">(B) </w:t>
      </w:r>
      <w:r>
        <w:rPr>
          <w:b/>
          <w:sz w:val="22"/>
        </w:rPr>
        <w:t>“Return Amount”</w:t>
      </w:r>
      <w:r>
        <w:rPr>
          <w:sz w:val="22"/>
        </w:rPr>
        <w:t xml:space="preserve"> has the meaning specified in Paragraph 3(b).</w:t>
      </w:r>
    </w:p>
    <w:p>
      <w:pPr>
        <w:pStyle w:val="Normal"/>
        <w:widowControl/>
        <w:bidi w:val="0"/>
        <w:ind w:hanging="0" w:start="720" w:end="0"/>
        <w:jc w:val="both"/>
        <w:rPr>
          <w:sz w:val="22"/>
        </w:rPr>
      </w:pPr>
      <w:r>
        <w:rPr>
          <w:sz w:val="22"/>
        </w:rPr>
      </w:r>
    </w:p>
    <w:p>
      <w:pPr>
        <w:pStyle w:val="Normal"/>
        <w:widowControl/>
        <w:tabs>
          <w:tab w:val="clear" w:pos="720"/>
          <w:tab w:val="left" w:pos="1080" w:leader="none"/>
        </w:tabs>
        <w:bidi w:val="0"/>
        <w:ind w:hanging="0"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widowControl/>
        <w:bidi w:val="0"/>
        <w:ind w:hanging="0"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widowControl/>
              <w:tabs>
                <w:tab w:val="clear" w:pos="720"/>
              </w:tabs>
              <w:bidi w:val="0"/>
              <w:ind w:hanging="0" w:start="0" w:end="0"/>
              <w:jc w:val="center"/>
              <w:rPr>
                <w:b/>
                <w:sz w:val="22"/>
              </w:rPr>
            </w:pPr>
            <w:r>
              <w:rPr>
                <w:b/>
                <w:sz w:val="22"/>
              </w:rPr>
            </w:r>
          </w:p>
        </w:tc>
        <w:tc>
          <w:tcPr>
            <w:tcW w:w="2880" w:type="dxa"/>
            <w:tcBorders/>
          </w:tcPr>
          <w:p>
            <w:pPr>
              <w:pStyle w:val="Normal"/>
              <w:keepNext w:val="true"/>
              <w:widowControl/>
              <w:tabs>
                <w:tab w:val="clear" w:pos="720"/>
              </w:tabs>
              <w:bidi w:val="0"/>
              <w:ind w:hanging="0" w:start="0" w:end="0"/>
              <w:jc w:val="center"/>
              <w:rPr>
                <w:b/>
                <w:sz w:val="22"/>
              </w:rPr>
            </w:pPr>
            <w:r>
              <w:rPr>
                <w:b/>
                <w:sz w:val="22"/>
              </w:rPr>
            </w:r>
          </w:p>
        </w:tc>
        <w:tc>
          <w:tcPr>
            <w:tcW w:w="1441"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pPr>
            <w:r>
              <w:rPr>
                <w:b/>
                <w:sz w:val="22"/>
              </w:rPr>
              <w:t>Party A</w:t>
            </w:r>
          </w:p>
        </w:tc>
        <w:tc>
          <w:tcPr>
            <w:tcW w:w="1440"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pPr>
            <w:r>
              <w:rPr>
                <w:b/>
                <w:sz w:val="22"/>
              </w:rPr>
              <w:t>Party B</w:t>
            </w:r>
          </w:p>
        </w:tc>
        <w:tc>
          <w:tcPr>
            <w:tcW w:w="1365" w:type="dxa"/>
            <w:tcBorders/>
          </w:tcPr>
          <w:p>
            <w:pPr>
              <w:pStyle w:val="Normal"/>
              <w:keepNext w:val="true"/>
              <w:widowControl/>
              <w:tabs>
                <w:tab w:val="clear" w:pos="720"/>
              </w:tabs>
              <w:bidi w:val="0"/>
              <w:ind w:hanging="0" w:start="0" w:end="0"/>
              <w:jc w:val="center"/>
              <w:rPr>
                <w:b/>
                <w:sz w:val="22"/>
              </w:rPr>
            </w:pPr>
            <w:r>
              <w:rPr>
                <w:b/>
                <w:sz w:val="22"/>
              </w:rPr>
              <w:t>Valuation</w:t>
            </w:r>
          </w:p>
          <w:p>
            <w:pPr>
              <w:pStyle w:val="Normal"/>
              <w:keepNext w:val="true"/>
              <w:widowControl/>
              <w:tabs>
                <w:tab w:val="clear" w:pos="720"/>
              </w:tabs>
              <w:bidi w:val="0"/>
              <w:ind w:hanging="0" w:start="0" w:end="0"/>
              <w:jc w:val="center"/>
              <w:rPr>
                <w:b/>
                <w:sz w:val="22"/>
              </w:rPr>
            </w:pPr>
            <w:r>
              <w:rPr>
                <w:b/>
                <w:sz w:val="22"/>
              </w:rPr>
              <w:t>Percentage</w:t>
            </w:r>
          </w:p>
          <w:p>
            <w:pPr>
              <w:pStyle w:val="Normal"/>
              <w:keepNext w:val="true"/>
              <w:widowControl/>
              <w:tabs>
                <w:tab w:val="clear" w:pos="720"/>
              </w:tabs>
              <w:bidi w:val="0"/>
              <w:ind w:hanging="0" w:start="0" w:end="0"/>
              <w:jc w:val="center"/>
              <w:rPr>
                <w:b/>
                <w:sz w:val="22"/>
              </w:rPr>
            </w:pPr>
            <w:r>
              <w:rPr>
                <w:b/>
                <w:sz w:val="22"/>
              </w:rPr>
            </w:r>
          </w:p>
        </w:tc>
      </w:tr>
      <w:tr>
        <w:trPr>
          <w:cantSplit w:val="true"/>
        </w:trPr>
        <w:tc>
          <w:tcPr>
            <w:tcW w:w="629" w:type="dxa"/>
            <w:tcBorders/>
          </w:tcPr>
          <w:p>
            <w:pPr>
              <w:pStyle w:val="Normal"/>
              <w:widowControl/>
              <w:tabs>
                <w:tab w:val="clear" w:pos="720"/>
              </w:tabs>
              <w:bidi w:val="0"/>
              <w:ind w:hanging="0" w:start="0" w:end="0"/>
              <w:jc w:val="both"/>
              <w:rPr/>
            </w:pPr>
            <w:r>
              <w:rPr>
                <w:sz w:val="22"/>
              </w:rPr>
              <w:t>(A)</w:t>
            </w:r>
          </w:p>
        </w:tc>
        <w:tc>
          <w:tcPr>
            <w:tcW w:w="2880" w:type="dxa"/>
            <w:tcBorders/>
          </w:tcPr>
          <w:p>
            <w:pPr>
              <w:pStyle w:val="Normal"/>
              <w:widowControl/>
              <w:tabs>
                <w:tab w:val="clear" w:pos="720"/>
              </w:tabs>
              <w:bidi w:val="0"/>
              <w:ind w:hanging="0" w:start="0" w:end="0"/>
              <w:jc w:val="start"/>
              <w:rPr>
                <w:sz w:val="22"/>
              </w:rPr>
            </w:pPr>
            <w:r>
              <w:rPr>
                <w:sz w:val="22"/>
              </w:rPr>
              <w:t>Cash</w:t>
            </w:r>
          </w:p>
          <w:p>
            <w:pPr>
              <w:pStyle w:val="Normal"/>
              <w:widowControl/>
              <w:tabs>
                <w:tab w:val="clear" w:pos="720"/>
              </w:tabs>
              <w:bidi w:val="0"/>
              <w:ind w:hanging="0" w:start="0" w:end="0"/>
              <w:jc w:val="start"/>
              <w:rPr>
                <w:sz w:val="22"/>
              </w:rPr>
            </w:pPr>
            <w:r>
              <w:rPr>
                <w:sz w:val="22"/>
              </w:rPr>
            </w:r>
          </w:p>
        </w:tc>
        <w:tc>
          <w:tcPr>
            <w:tcW w:w="1441" w:type="dxa"/>
            <w:tcBorders/>
          </w:tcPr>
          <w:p>
            <w:pPr>
              <w:pStyle w:val="Normal"/>
              <w:widowControl/>
              <w:tabs>
                <w:tab w:val="clear" w:pos="720"/>
              </w:tabs>
              <w:bidi w:val="0"/>
              <w:ind w:hanging="0" w:start="0" w:end="0"/>
              <w:jc w:val="center"/>
              <w:rPr/>
            </w:pPr>
            <w:r>
              <w:rPr>
                <w:sz w:val="22"/>
              </w:rPr>
              <w:t>[X]</w:t>
            </w:r>
          </w:p>
        </w:tc>
        <w:tc>
          <w:tcPr>
            <w:tcW w:w="1440" w:type="dxa"/>
            <w:tcBorders/>
          </w:tcPr>
          <w:p>
            <w:pPr>
              <w:pStyle w:val="Normal"/>
              <w:widowControl/>
              <w:tabs>
                <w:tab w:val="clear" w:pos="720"/>
              </w:tabs>
              <w:bidi w:val="0"/>
              <w:ind w:hanging="0" w:start="0" w:end="0"/>
              <w:jc w:val="center"/>
              <w:rPr/>
            </w:pPr>
            <w:r>
              <w:rPr>
                <w:sz w:val="22"/>
              </w:rPr>
              <w:t>[X]</w:t>
            </w:r>
          </w:p>
        </w:tc>
        <w:tc>
          <w:tcPr>
            <w:tcW w:w="1365" w:type="dxa"/>
            <w:tcBorders/>
          </w:tcPr>
          <w:p>
            <w:pPr>
              <w:pStyle w:val="Normal"/>
              <w:widowControl/>
              <w:tabs>
                <w:tab w:val="clear" w:pos="720"/>
              </w:tabs>
              <w:bidi w:val="0"/>
              <w:ind w:hanging="0" w:start="0" w:end="0"/>
              <w:jc w:val="center"/>
              <w:rPr/>
            </w:pPr>
            <w:r>
              <w:rPr>
                <w:sz w:val="22"/>
              </w:rPr>
              <w:t>100%</w:t>
            </w:r>
          </w:p>
        </w:tc>
      </w:tr>
      <w:tr>
        <w:trPr>
          <w:cantSplit w:val="true"/>
        </w:trPr>
        <w:tc>
          <w:tcPr>
            <w:tcW w:w="629" w:type="dxa"/>
            <w:tcBorders/>
          </w:tcPr>
          <w:p>
            <w:pPr>
              <w:pStyle w:val="Normal"/>
              <w:widowControl/>
              <w:bidi w:val="0"/>
              <w:ind w:hanging="0" w:start="0" w:end="0"/>
              <w:jc w:val="both"/>
              <w:rPr/>
            </w:pPr>
            <w:r>
              <w:rPr>
                <w:sz w:val="22"/>
              </w:rPr>
              <w:t>(B)</w:t>
            </w:r>
          </w:p>
        </w:tc>
        <w:tc>
          <w:tcPr>
            <w:tcW w:w="2880" w:type="dxa"/>
            <w:tcBorders/>
          </w:tcPr>
          <w:p>
            <w:pPr>
              <w:pStyle w:val="Normal"/>
              <w:widowControl/>
              <w:bidi w:val="0"/>
              <w:ind w:hanging="0" w:start="0" w:end="0"/>
              <w:jc w:val="start"/>
              <w:rPr>
                <w:sz w:val="22"/>
              </w:rPr>
            </w:pPr>
            <w:r>
              <w:rPr>
                <w:sz w:val="22"/>
              </w:rPr>
              <w:t>Negotiable debt obligations issued by the U.S. Treasury Department having an original maturity at issuance of not more than one year (“Government Obligations”)</w:t>
            </w:r>
          </w:p>
          <w:p>
            <w:pPr>
              <w:pStyle w:val="Normal"/>
              <w:widowControl/>
              <w:bidi w:val="0"/>
              <w:ind w:hanging="0" w:start="0" w:end="0"/>
              <w:jc w:val="start"/>
              <w:rPr>
                <w:sz w:val="22"/>
              </w:rPr>
            </w:pPr>
            <w:r>
              <w:rPr>
                <w:sz w:val="22"/>
              </w:rPr>
            </w:r>
          </w:p>
        </w:tc>
        <w:tc>
          <w:tcPr>
            <w:tcW w:w="1441" w:type="dxa"/>
            <w:tcBorders/>
          </w:tcPr>
          <w:p>
            <w:pPr>
              <w:pStyle w:val="Normal"/>
              <w:widowControl/>
              <w:bidi w:val="0"/>
              <w:ind w:hanging="0" w:start="0" w:end="0"/>
              <w:jc w:val="center"/>
              <w:rPr/>
            </w:pPr>
            <w:r>
              <w:rPr>
                <w:sz w:val="22"/>
              </w:rPr>
              <w:t>[  ]</w:t>
            </w:r>
          </w:p>
        </w:tc>
        <w:tc>
          <w:tcPr>
            <w:tcW w:w="1440" w:type="dxa"/>
            <w:tcBorders/>
          </w:tcPr>
          <w:p>
            <w:pPr>
              <w:pStyle w:val="Normal"/>
              <w:widowControl/>
              <w:bidi w:val="0"/>
              <w:ind w:hanging="0" w:start="0" w:end="0"/>
              <w:jc w:val="center"/>
              <w:rPr/>
            </w:pPr>
            <w:r>
              <w:rPr>
                <w:sz w:val="22"/>
              </w:rPr>
              <w:t>[  ]</w:t>
            </w:r>
          </w:p>
        </w:tc>
        <w:tc>
          <w:tcPr>
            <w:tcW w:w="1365" w:type="dxa"/>
            <w:tcBorders/>
          </w:tcPr>
          <w:p>
            <w:pPr>
              <w:pStyle w:val="Normal"/>
              <w:widowControl/>
              <w:bidi w:val="0"/>
              <w:ind w:hanging="0" w:start="0" w:end="0"/>
              <w:jc w:val="center"/>
              <w:rPr/>
            </w:pPr>
            <w:r>
              <w:rPr>
                <w:sz w:val="22"/>
              </w:rPr>
              <w:t>98%</w:t>
            </w:r>
          </w:p>
        </w:tc>
      </w:tr>
      <w:tr>
        <w:trPr>
          <w:cantSplit w:val="true"/>
        </w:trPr>
        <w:tc>
          <w:tcPr>
            <w:tcW w:w="629" w:type="dxa"/>
            <w:tcBorders/>
          </w:tcPr>
          <w:p>
            <w:pPr>
              <w:pStyle w:val="Normal"/>
              <w:widowControl/>
              <w:tabs>
                <w:tab w:val="clear" w:pos="720"/>
              </w:tabs>
              <w:bidi w:val="0"/>
              <w:ind w:hanging="0" w:start="0" w:end="0"/>
              <w:jc w:val="both"/>
              <w:rPr/>
            </w:pPr>
            <w:r>
              <w:rPr>
                <w:sz w:val="22"/>
              </w:rPr>
              <w:t>(C)</w:t>
            </w:r>
          </w:p>
        </w:tc>
        <w:tc>
          <w:tcPr>
            <w:tcW w:w="2880" w:type="dxa"/>
            <w:tcBorders/>
          </w:tcPr>
          <w:p>
            <w:pPr>
              <w:pStyle w:val="Normal"/>
              <w:widowControl/>
              <w:tabs>
                <w:tab w:val="clear" w:pos="720"/>
              </w:tabs>
              <w:bidi w:val="0"/>
              <w:ind w:hanging="0" w:start="0" w:end="0"/>
              <w:jc w:val="start"/>
              <w:rPr/>
            </w:pPr>
            <w:r>
              <w:rPr>
                <w:sz w:val="22"/>
              </w:rPr>
              <w:t>Other:</w:t>
              <w:tab/>
              <w:t>None</w:t>
            </w:r>
          </w:p>
        </w:tc>
        <w:tc>
          <w:tcPr>
            <w:tcW w:w="1441" w:type="dxa"/>
            <w:tcBorders/>
          </w:tcPr>
          <w:p>
            <w:pPr>
              <w:pStyle w:val="Normal"/>
              <w:widowControl/>
              <w:tabs>
                <w:tab w:val="clear" w:pos="720"/>
              </w:tabs>
              <w:bidi w:val="0"/>
              <w:ind w:hanging="0" w:start="0" w:end="0"/>
              <w:jc w:val="center"/>
              <w:rPr>
                <w:sz w:val="22"/>
              </w:rPr>
            </w:pPr>
            <w:r>
              <w:rPr>
                <w:sz w:val="22"/>
              </w:rPr>
            </w:r>
          </w:p>
        </w:tc>
        <w:tc>
          <w:tcPr>
            <w:tcW w:w="1440" w:type="dxa"/>
            <w:tcBorders/>
          </w:tcPr>
          <w:p>
            <w:pPr>
              <w:pStyle w:val="Normal"/>
              <w:widowControl/>
              <w:tabs>
                <w:tab w:val="clear" w:pos="720"/>
              </w:tabs>
              <w:bidi w:val="0"/>
              <w:ind w:hanging="0" w:start="0" w:end="0"/>
              <w:jc w:val="center"/>
              <w:rPr>
                <w:sz w:val="22"/>
              </w:rPr>
            </w:pPr>
            <w:r>
              <w:rPr>
                <w:sz w:val="22"/>
              </w:rPr>
            </w:r>
          </w:p>
        </w:tc>
        <w:tc>
          <w:tcPr>
            <w:tcW w:w="1365" w:type="dxa"/>
            <w:tcBorders/>
          </w:tcPr>
          <w:p>
            <w:pPr>
              <w:pStyle w:val="Normal"/>
              <w:widowControl/>
              <w:tabs>
                <w:tab w:val="clear" w:pos="720"/>
              </w:tabs>
              <w:bidi w:val="0"/>
              <w:ind w:hanging="0" w:start="0" w:end="0"/>
              <w:jc w:val="center"/>
              <w:rPr>
                <w:sz w:val="22"/>
              </w:rPr>
            </w:pPr>
            <w:r>
              <w:rPr>
                <w:sz w:val="22"/>
              </w:rPr>
            </w:r>
          </w:p>
        </w:tc>
      </w:tr>
    </w:tbl>
    <w:p>
      <w:pPr>
        <w:pStyle w:val="Normal"/>
        <w:widowControl/>
        <w:bidi w:val="0"/>
        <w:ind w:hanging="0" w:start="1440" w:end="0"/>
        <w:jc w:val="both"/>
        <w:rPr>
          <w:sz w:val="22"/>
        </w:rPr>
      </w:pPr>
      <w:r>
        <w:rPr>
          <w:sz w:val="22"/>
        </w:rPr>
      </w:r>
    </w:p>
    <w:p>
      <w:pPr>
        <w:pStyle w:val="Normal"/>
        <w:keepNext w:val="true"/>
        <w:widowControl/>
        <w:bidi w:val="0"/>
        <w:ind w:hanging="0"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keepNext w:val="true"/>
        <w:widowControl/>
        <w:bidi w:val="0"/>
        <w:ind w:hanging="0"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cantSplit w:val="true"/>
        </w:trPr>
        <w:tc>
          <w:tcPr>
            <w:tcW w:w="1799" w:type="dxa"/>
            <w:tcBorders/>
          </w:tcPr>
          <w:p>
            <w:pPr>
              <w:pStyle w:val="Justified"/>
              <w:keepNext w:val="true"/>
              <w:tabs>
                <w:tab w:val="clear" w:pos="720"/>
              </w:tabs>
              <w:bidi w:val="0"/>
              <w:spacing w:before="0" w:after="0"/>
              <w:rPr>
                <w:rFonts w:ascii="Times New Roman" w:hAnsi="Times New Roman"/>
              </w:rPr>
            </w:pPr>
            <w:r>
              <w:rPr>
                <w:rFonts w:ascii="Times New Roman" w:hAnsi="Times New Roman"/>
              </w:rPr>
            </w:r>
          </w:p>
        </w:tc>
        <w:tc>
          <w:tcPr>
            <w:tcW w:w="1441"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b/>
                <w:sz w:val="22"/>
              </w:rPr>
            </w:pPr>
            <w:r>
              <w:rPr>
                <w:b/>
                <w:sz w:val="22"/>
              </w:rPr>
              <w:t>Party A</w:t>
            </w:r>
          </w:p>
          <w:p>
            <w:pPr>
              <w:pStyle w:val="Normal"/>
              <w:keepNext w:val="true"/>
              <w:widowControl/>
              <w:tabs>
                <w:tab w:val="clear" w:pos="720"/>
              </w:tabs>
              <w:bidi w:val="0"/>
              <w:ind w:hanging="0" w:start="0" w:end="0"/>
              <w:jc w:val="center"/>
              <w:rPr>
                <w:b/>
                <w:sz w:val="22"/>
              </w:rPr>
            </w:pPr>
            <w:r>
              <w:rPr>
                <w:b/>
                <w:sz w:val="22"/>
              </w:rPr>
            </w:r>
          </w:p>
        </w:tc>
        <w:tc>
          <w:tcPr>
            <w:tcW w:w="1643"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b/>
                <w:sz w:val="22"/>
              </w:rPr>
            </w:pPr>
            <w:r>
              <w:rPr>
                <w:b/>
                <w:sz w:val="22"/>
              </w:rPr>
              <w:t>Party B</w:t>
            </w:r>
          </w:p>
          <w:p>
            <w:pPr>
              <w:pStyle w:val="Normal"/>
              <w:keepNext w:val="true"/>
              <w:widowControl/>
              <w:tabs>
                <w:tab w:val="clear" w:pos="720"/>
              </w:tabs>
              <w:bidi w:val="0"/>
              <w:ind w:hanging="0" w:start="0" w:end="0"/>
              <w:jc w:val="center"/>
              <w:rPr>
                <w:b/>
                <w:sz w:val="22"/>
              </w:rPr>
            </w:pPr>
            <w:r>
              <w:rPr>
                <w:b/>
                <w:sz w:val="22"/>
              </w:rPr>
            </w:r>
          </w:p>
        </w:tc>
        <w:tc>
          <w:tcPr>
            <w:tcW w:w="3757" w:type="dxa"/>
            <w:tcBorders/>
          </w:tcPr>
          <w:p>
            <w:pPr>
              <w:pStyle w:val="Normal"/>
              <w:keepNext w:val="true"/>
              <w:widowControl/>
              <w:tabs>
                <w:tab w:val="clear" w:pos="720"/>
              </w:tabs>
              <w:bidi w:val="0"/>
              <w:ind w:hanging="0" w:start="0" w:end="0"/>
              <w:jc w:val="center"/>
              <w:rPr>
                <w:b/>
                <w:sz w:val="22"/>
              </w:rPr>
            </w:pPr>
            <w:r>
              <w:rPr>
                <w:b/>
                <w:sz w:val="22"/>
              </w:rPr>
              <w:t>Valuation</w:t>
            </w:r>
          </w:p>
          <w:p>
            <w:pPr>
              <w:pStyle w:val="Normal"/>
              <w:keepNext w:val="true"/>
              <w:widowControl/>
              <w:tabs>
                <w:tab w:val="clear" w:pos="720"/>
              </w:tabs>
              <w:bidi w:val="0"/>
              <w:ind w:hanging="0" w:start="0" w:end="0"/>
              <w:jc w:val="center"/>
              <w:rPr>
                <w:b/>
                <w:sz w:val="22"/>
              </w:rPr>
            </w:pPr>
            <w:r>
              <w:rPr>
                <w:b/>
                <w:sz w:val="22"/>
              </w:rPr>
              <w:t>Percentage</w:t>
            </w:r>
          </w:p>
          <w:p>
            <w:pPr>
              <w:pStyle w:val="Normal"/>
              <w:keepNext w:val="true"/>
              <w:widowControl/>
              <w:tabs>
                <w:tab w:val="clear" w:pos="720"/>
              </w:tabs>
              <w:bidi w:val="0"/>
              <w:ind w:hanging="0" w:start="0" w:end="0"/>
              <w:jc w:val="center"/>
              <w:rPr>
                <w:b/>
                <w:sz w:val="22"/>
              </w:rPr>
            </w:pPr>
            <w:r>
              <w:rPr>
                <w:b/>
                <w:sz w:val="22"/>
              </w:rPr>
            </w:r>
          </w:p>
        </w:tc>
      </w:tr>
      <w:tr>
        <w:trPr>
          <w:cantSplit w:val="true"/>
        </w:trPr>
        <w:tc>
          <w:tcPr>
            <w:tcW w:w="1799" w:type="dxa"/>
            <w:tcBorders/>
          </w:tcPr>
          <w:p>
            <w:pPr>
              <w:pStyle w:val="Normal"/>
              <w:keepNext w:val="true"/>
              <w:widowControl/>
              <w:tabs>
                <w:tab w:val="clear" w:pos="720"/>
              </w:tabs>
              <w:bidi w:val="0"/>
              <w:ind w:hanging="0" w:start="0" w:end="0"/>
              <w:jc w:val="both"/>
              <w:rPr/>
            </w:pPr>
            <w:r>
              <w:rPr>
                <w:sz w:val="22"/>
              </w:rPr>
              <w:t>Letters of Credit</w:t>
            </w:r>
          </w:p>
        </w:tc>
        <w:tc>
          <w:tcPr>
            <w:tcW w:w="1441" w:type="dxa"/>
            <w:tcBorders/>
          </w:tcPr>
          <w:p>
            <w:pPr>
              <w:pStyle w:val="Normal"/>
              <w:keepNext w:val="true"/>
              <w:widowControl/>
              <w:tabs>
                <w:tab w:val="clear" w:pos="720"/>
              </w:tabs>
              <w:bidi w:val="0"/>
              <w:ind w:hanging="0" w:start="0" w:end="0"/>
              <w:jc w:val="center"/>
              <w:rPr/>
            </w:pPr>
            <w:r>
              <w:rPr>
                <w:sz w:val="22"/>
              </w:rPr>
              <w:t>[X]</w:t>
            </w:r>
          </w:p>
        </w:tc>
        <w:tc>
          <w:tcPr>
            <w:tcW w:w="1643" w:type="dxa"/>
            <w:tcBorders/>
          </w:tcPr>
          <w:p>
            <w:pPr>
              <w:pStyle w:val="Normal"/>
              <w:keepNext w:val="true"/>
              <w:widowControl/>
              <w:tabs>
                <w:tab w:val="clear" w:pos="720"/>
              </w:tabs>
              <w:bidi w:val="0"/>
              <w:ind w:hanging="0" w:start="0" w:end="0"/>
              <w:jc w:val="center"/>
              <w:rPr/>
            </w:pPr>
            <w:r>
              <w:rPr>
                <w:sz w:val="22"/>
              </w:rPr>
              <w:t>[X]</w:t>
            </w:r>
          </w:p>
        </w:tc>
        <w:tc>
          <w:tcPr>
            <w:tcW w:w="3757" w:type="dxa"/>
            <w:tcBorders/>
          </w:tcPr>
          <w:p>
            <w:pPr>
              <w:pStyle w:val="Normal"/>
              <w:keepNext w:val="true"/>
              <w:widowControl/>
              <w:tabs>
                <w:tab w:val="clear" w:pos="720"/>
              </w:tabs>
              <w:bidi w:val="0"/>
              <w:ind w:hanging="0" w:start="0" w:end="0"/>
              <w:jc w:val="start"/>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widowControl/>
        <w:bidi w:val="0"/>
        <w:ind w:hanging="0" w:start="1440" w:end="0"/>
        <w:jc w:val="both"/>
        <w:rPr>
          <w:sz w:val="22"/>
        </w:rPr>
      </w:pPr>
      <w:r>
        <w:rPr>
          <w:sz w:val="22"/>
        </w:rPr>
      </w:r>
    </w:p>
    <w:p>
      <w:pPr>
        <w:pStyle w:val="Normal"/>
        <w:widowControl/>
        <w:bidi w:val="0"/>
        <w:ind w:hanging="0" w:start="720" w:end="0"/>
        <w:jc w:val="both"/>
        <w:rPr>
          <w:b/>
          <w:sz w:val="22"/>
        </w:rPr>
      </w:pPr>
      <w:r>
        <w:rPr>
          <w:sz w:val="22"/>
        </w:rPr>
        <w:t xml:space="preserve">(iv)  </w:t>
      </w:r>
      <w:r>
        <w:rPr>
          <w:b/>
          <w:sz w:val="22"/>
        </w:rPr>
        <w:t>Thresholds.</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widowControl/>
        <w:bidi w:val="0"/>
        <w:ind w:hanging="0" w:start="720" w:end="0"/>
        <w:jc w:val="both"/>
        <w:rPr>
          <w:sz w:val="22"/>
        </w:rPr>
      </w:pPr>
      <w:r>
        <w:rPr>
          <w:sz w:val="22"/>
        </w:rPr>
      </w:r>
    </w:p>
    <w:p>
      <w:pPr>
        <w:pStyle w:val="Normal"/>
        <w:widowControl/>
        <w:bidi w:val="0"/>
        <w:ind w:hanging="0" w:start="720" w:end="0"/>
        <w:jc w:val="both"/>
        <w:rPr>
          <w:color w:val="000000"/>
          <w:sz w:val="22"/>
        </w:rPr>
      </w:pPr>
      <w:r>
        <w:rPr>
          <w:color w:val="000000"/>
          <w:sz w:val="22"/>
        </w:rPr>
        <w:t xml:space="preserve">(B)  </w:t>
      </w:r>
      <w:r>
        <w:rPr>
          <w:b/>
          <w:color w:val="000000"/>
          <w:sz w:val="22"/>
        </w:rPr>
        <w:t>“Threshold”</w:t>
      </w:r>
      <w:r>
        <w:rPr>
          <w:color w:val="000000"/>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widowControl/>
        <w:bidi w:val="0"/>
        <w:ind w:hanging="0" w:start="720" w:end="0"/>
        <w:jc w:val="both"/>
        <w:rPr>
          <w:color w:val="000000"/>
          <w:sz w:val="22"/>
        </w:rPr>
      </w:pPr>
      <w:r>
        <w:rPr>
          <w:color w:val="000000"/>
          <w:sz w:val="22"/>
        </w:rPr>
      </w:r>
    </w:p>
    <w:p>
      <w:pPr>
        <w:pStyle w:val="Normal"/>
        <w:widowControl/>
        <w:bidi w:val="0"/>
        <w:ind w:hanging="0" w:start="720" w:end="0"/>
        <w:jc w:val="both"/>
        <w:rPr>
          <w:sz w:val="22"/>
        </w:rPr>
      </w:pPr>
      <w:r>
        <w:rPr>
          <w:sz w:val="22"/>
        </w:rPr>
        <w:t xml:space="preserve">(C)  </w:t>
      </w:r>
      <w:r>
        <w:rPr>
          <w:b/>
          <w:sz w:val="22"/>
        </w:rPr>
        <w:t>“Minimum Transfer Amount”</w:t>
      </w:r>
      <w:r>
        <w:rPr>
          <w:sz w:val="22"/>
        </w:rPr>
        <w:t xml:space="preserve"> means with respect to Party A:  U.S. </w:t>
      </w:r>
      <w:r>
        <w:rPr>
          <w:strike/>
          <w:sz w:val="22"/>
        </w:rPr>
        <w:t>$0</w:t>
      </w:r>
      <w:r>
        <w:rPr>
          <w:sz w:val="22"/>
        </w:rPr>
        <w:t xml:space="preserve"> </w:t>
      </w:r>
      <w:r>
        <w:rPr>
          <w:b/>
          <w:sz w:val="22"/>
          <w:u w:val="single"/>
        </w:rPr>
        <w:t>$100,000</w:t>
      </w:r>
      <w:r>
        <w:rPr>
          <w:sz w:val="22"/>
        </w:rPr>
        <w:t>.</w:t>
      </w:r>
    </w:p>
    <w:p>
      <w:pPr>
        <w:pStyle w:val="Normal"/>
        <w:widowControl/>
        <w:bidi w:val="0"/>
        <w:ind w:hanging="0" w:start="720" w:end="0"/>
        <w:jc w:val="both"/>
        <w:rPr>
          <w:sz w:val="22"/>
        </w:rPr>
      </w:pPr>
      <w:r>
        <w:rPr>
          <w:sz w:val="22"/>
        </w:rPr>
      </w:r>
    </w:p>
    <w:p>
      <w:pPr>
        <w:pStyle w:val="Normal"/>
        <w:widowControl/>
        <w:bidi w:val="0"/>
        <w:ind w:firstLine="360" w:start="720" w:end="0"/>
        <w:jc w:val="both"/>
        <w:rPr>
          <w:sz w:val="22"/>
        </w:rPr>
      </w:pPr>
      <w:r>
        <w:rPr>
          <w:b/>
          <w:sz w:val="22"/>
        </w:rPr>
        <w:t>“</w:t>
      </w:r>
      <w:r>
        <w:rPr>
          <w:b/>
          <w:sz w:val="22"/>
        </w:rPr>
        <w:t>Minimum Transfer Amount”</w:t>
      </w:r>
      <w:r>
        <w:rPr>
          <w:sz w:val="22"/>
        </w:rPr>
        <w:t xml:space="preserve"> means with respect to Party B:  U.S. </w:t>
      </w:r>
      <w:r>
        <w:rPr>
          <w:strike/>
          <w:sz w:val="22"/>
        </w:rPr>
        <w:t>$0</w:t>
      </w:r>
      <w:r>
        <w:rPr>
          <w:sz w:val="22"/>
        </w:rPr>
        <w:t xml:space="preserve"> </w:t>
      </w:r>
      <w:r>
        <w:rPr>
          <w:b/>
          <w:sz w:val="22"/>
          <w:u w:val="single"/>
        </w:rPr>
        <w:t>$100,000</w:t>
      </w:r>
      <w:r>
        <w:rPr>
          <w:sz w:val="22"/>
        </w:rPr>
        <w:t>.</w:t>
      </w:r>
    </w:p>
    <w:p>
      <w:pPr>
        <w:pStyle w:val="Normal"/>
        <w:widowControl/>
        <w:bidi w:val="0"/>
        <w:ind w:hanging="0" w:start="720" w:end="0"/>
        <w:jc w:val="both"/>
        <w:rPr>
          <w:sz w:val="22"/>
        </w:rPr>
      </w:pPr>
      <w:r>
        <w:rPr>
          <w:sz w:val="22"/>
        </w:rPr>
      </w:r>
    </w:p>
    <w:p>
      <w:pPr>
        <w:pStyle w:val="Normal"/>
        <w:widowControl/>
        <w:bidi w:val="0"/>
        <w:ind w:hanging="0" w:start="720" w:end="0"/>
        <w:jc w:val="both"/>
        <w:rPr>
          <w:color w:val="000000"/>
          <w:sz w:val="22"/>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(c)  </w:t>
      </w:r>
      <w:r>
        <w:rPr>
          <w:b/>
          <w:sz w:val="22"/>
        </w:rPr>
        <w:t>Valuation and Timing.</w:t>
      </w:r>
    </w:p>
    <w:p>
      <w:pPr>
        <w:pStyle w:val="Normal"/>
        <w:widowControl/>
        <w:bidi w:val="0"/>
        <w:spacing w:before="240" w:after="0"/>
        <w:ind w:hanging="0" w:start="720" w:end="0"/>
        <w:jc w:val="both"/>
        <w:rPr>
          <w:sz w:val="22"/>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“Valuation Date”</w:t>
      </w:r>
      <w:r>
        <w:rPr>
          <w:sz w:val="22"/>
        </w:rPr>
        <w:t xml:space="preserve"> means any Local Business Day.</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(iii)  </w:t>
      </w:r>
      <w:r>
        <w:rPr>
          <w:b/>
          <w:sz w:val="22"/>
        </w:rPr>
        <w:t>“Valuation Time”</w:t>
      </w:r>
      <w:r>
        <w:rPr>
          <w:sz w:val="22"/>
        </w:rPr>
        <w:t xml:space="preserve"> means:</w:t>
      </w:r>
    </w:p>
    <w:p>
      <w:pPr>
        <w:pStyle w:val="Normal"/>
        <w:widowControl/>
        <w:bidi w:val="0"/>
        <w:ind w:hanging="720" w:start="1440" w:end="0"/>
        <w:jc w:val="both"/>
        <w:rPr>
          <w:sz w:val="22"/>
        </w:rPr>
      </w:pPr>
      <w:r>
        <w:rPr>
          <w:sz w:val="22"/>
        </w:rPr>
      </w:r>
    </w:p>
    <w:p>
      <w:pPr>
        <w:pStyle w:val="Normal"/>
        <w:widowControl/>
        <w:bidi w:val="0"/>
        <w:ind w:hanging="360" w:start="1440" w:end="0"/>
        <w:jc w:val="both"/>
        <w:rPr>
          <w:sz w:val="22"/>
        </w:rPr>
      </w:pPr>
      <w:r>
        <w:rPr>
          <w:sz w:val="22"/>
        </w:rPr>
        <w:t>[  ]  the close of business in the city of the Valuation Agent on the Valuation Date or date of calculation, as applicable;</w:t>
      </w:r>
    </w:p>
    <w:p>
      <w:pPr>
        <w:pStyle w:val="Normal"/>
        <w:widowControl/>
        <w:bidi w:val="0"/>
        <w:ind w:hanging="360" w:start="1440" w:end="0"/>
        <w:jc w:val="both"/>
        <w:rPr>
          <w:sz w:val="22"/>
        </w:rPr>
      </w:pPr>
      <w:r>
        <w:rPr>
          <w:sz w:val="22"/>
        </w:rPr>
      </w:r>
    </w:p>
    <w:p>
      <w:pPr>
        <w:pStyle w:val="Normal"/>
        <w:widowControl/>
        <w:bidi w:val="0"/>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provided that the calculations of Value and Exposure will be made as of approximately the same time on the same date.</w:t>
      </w:r>
    </w:p>
    <w:p>
      <w:pPr>
        <w:pStyle w:val="Normal"/>
        <w:widowControl/>
        <w:bidi w:val="0"/>
        <w:ind w:hanging="0" w:start="360" w:end="0"/>
        <w:jc w:val="both"/>
        <w:rPr>
          <w:sz w:val="22"/>
        </w:rPr>
      </w:pPr>
      <w:r>
        <w:rPr>
          <w:sz w:val="22"/>
        </w:rPr>
      </w:r>
    </w:p>
    <w:p>
      <w:pPr>
        <w:pStyle w:val="Normal"/>
        <w:widowControl/>
        <w:bidi w:val="0"/>
        <w:ind w:hanging="0" w:start="720" w:end="0"/>
        <w:jc w:val="both"/>
        <w:rPr>
          <w:sz w:val="22"/>
        </w:rPr>
      </w:pPr>
      <w:r>
        <w:rPr>
          <w:sz w:val="22"/>
        </w:rPr>
        <w:t>(iv)  “</w:t>
      </w:r>
      <w:r>
        <w:rPr>
          <w:b/>
          <w:sz w:val="22"/>
        </w:rPr>
        <w:t>Notification Time”</w:t>
      </w:r>
      <w:r>
        <w:rPr>
          <w:sz w:val="22"/>
        </w:rPr>
        <w:t xml:space="preserve"> means 10:00 a.m., New York time, on a Local Business Day.</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bidi w:val="0"/>
        <w:ind w:hanging="0"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widowControl/>
              <w:tabs>
                <w:tab w:val="clear" w:pos="720"/>
              </w:tabs>
              <w:bidi w:val="0"/>
              <w:ind w:hanging="0" w:start="-18" w:end="0"/>
              <w:jc w:val="start"/>
              <w:rPr/>
            </w:pPr>
            <w:r>
              <w:rPr>
                <w:b/>
                <w:sz w:val="22"/>
              </w:rPr>
              <w:t>Specified Condition</w:t>
            </w:r>
          </w:p>
        </w:tc>
        <w:tc>
          <w:tcPr>
            <w:tcW w:w="1280" w:type="dxa"/>
            <w:tcBorders/>
          </w:tcPr>
          <w:p>
            <w:pPr>
              <w:pStyle w:val="Normal"/>
              <w:widowControl/>
              <w:tabs>
                <w:tab w:val="clear" w:pos="720"/>
              </w:tabs>
              <w:bidi w:val="0"/>
              <w:ind w:hanging="0" w:start="0" w:end="0"/>
              <w:jc w:val="center"/>
              <w:rPr/>
            </w:pPr>
            <w:r>
              <w:rPr>
                <w:b/>
                <w:sz w:val="22"/>
              </w:rPr>
              <w:t>Party A</w:t>
            </w:r>
          </w:p>
        </w:tc>
        <w:tc>
          <w:tcPr>
            <w:tcW w:w="1281" w:type="dxa"/>
            <w:tcBorders/>
          </w:tcPr>
          <w:p>
            <w:pPr>
              <w:pStyle w:val="Normal"/>
              <w:widowControl/>
              <w:tabs>
                <w:tab w:val="clear" w:pos="720"/>
              </w:tabs>
              <w:bidi w:val="0"/>
              <w:ind w:hanging="0" w:start="0" w:end="0"/>
              <w:jc w:val="center"/>
              <w:rPr>
                <w:b/>
                <w:sz w:val="22"/>
              </w:rPr>
            </w:pPr>
            <w:r>
              <w:rPr>
                <w:b/>
                <w:sz w:val="22"/>
              </w:rPr>
              <w:t>Party B</w:t>
            </w:r>
          </w:p>
          <w:p>
            <w:pPr>
              <w:pStyle w:val="Normal"/>
              <w:widowControl/>
              <w:tabs>
                <w:tab w:val="clear" w:pos="720"/>
              </w:tabs>
              <w:bidi w:val="0"/>
              <w:ind w:hanging="0" w:start="0" w:end="0"/>
              <w:jc w:val="center"/>
              <w:rPr>
                <w:b/>
                <w:sz w:val="22"/>
              </w:rPr>
            </w:pPr>
            <w:r>
              <w:rPr>
                <w:b/>
                <w:sz w:val="22"/>
              </w:rPr>
            </w:r>
          </w:p>
        </w:tc>
      </w:tr>
      <w:tr>
        <w:trPr>
          <w:cantSplit w:val="true"/>
        </w:trPr>
        <w:tc>
          <w:tcPr>
            <w:tcW w:w="3599" w:type="dxa"/>
            <w:tcBorders/>
          </w:tcPr>
          <w:p>
            <w:pPr>
              <w:pStyle w:val="Normal"/>
              <w:widowControl/>
              <w:tabs>
                <w:tab w:val="clear" w:pos="720"/>
              </w:tabs>
              <w:bidi w:val="0"/>
              <w:ind w:hanging="0" w:start="-18" w:end="0"/>
              <w:jc w:val="start"/>
              <w:rPr>
                <w:sz w:val="22"/>
              </w:rPr>
            </w:pPr>
            <w:r>
              <w:rPr>
                <w:sz w:val="22"/>
              </w:rPr>
              <w:t>Illegality</w:t>
            </w:r>
          </w:p>
          <w:p>
            <w:pPr>
              <w:pStyle w:val="Normal"/>
              <w:widowControl/>
              <w:tabs>
                <w:tab w:val="clear" w:pos="720"/>
              </w:tabs>
              <w:bidi w:val="0"/>
              <w:ind w:hanging="0" w:start="-18" w:end="0"/>
              <w:jc w:val="start"/>
              <w:rPr>
                <w:sz w:val="22"/>
              </w:rPr>
            </w:pPr>
            <w:r>
              <w:rPr>
                <w:sz w:val="22"/>
              </w:rPr>
            </w:r>
          </w:p>
        </w:tc>
        <w:tc>
          <w:tcPr>
            <w:tcW w:w="1280" w:type="dxa"/>
            <w:tcBorders/>
          </w:tcPr>
          <w:p>
            <w:pPr>
              <w:pStyle w:val="Normal"/>
              <w:widowControl/>
              <w:tabs>
                <w:tab w:val="clear" w:pos="720"/>
              </w:tabs>
              <w:bidi w:val="0"/>
              <w:ind w:hanging="0" w:start="0" w:end="0"/>
              <w:jc w:val="center"/>
              <w:rPr/>
            </w:pPr>
            <w:r>
              <w:rPr>
                <w:sz w:val="22"/>
              </w:rPr>
              <w:t>[X]</w:t>
            </w:r>
          </w:p>
        </w:tc>
        <w:tc>
          <w:tcPr>
            <w:tcW w:w="1281" w:type="dxa"/>
            <w:tcBorders/>
          </w:tcPr>
          <w:p>
            <w:pPr>
              <w:pStyle w:val="Normal"/>
              <w:widowControl/>
              <w:tabs>
                <w:tab w:val="clear" w:pos="720"/>
              </w:tabs>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Tax Event</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Tax Event Upon Merger</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Credit Event Upon Merger</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tabs>
                <w:tab w:val="clear" w:pos="720"/>
              </w:tabs>
              <w:bidi w:val="0"/>
              <w:ind w:hanging="0" w:start="-18" w:end="0"/>
              <w:jc w:val="start"/>
              <w:rPr>
                <w:sz w:val="22"/>
              </w:rPr>
            </w:pPr>
            <w:r>
              <w:rPr>
                <w:sz w:val="22"/>
              </w:rPr>
              <w:t>Additional Termination Event(s):</w:t>
            </w:r>
          </w:p>
          <w:p>
            <w:pPr>
              <w:pStyle w:val="Normal"/>
              <w:widowControl/>
              <w:tabs>
                <w:tab w:val="clear" w:pos="720"/>
              </w:tabs>
              <w:bidi w:val="0"/>
              <w:ind w:hanging="0" w:start="-18" w:end="0"/>
              <w:jc w:val="start"/>
              <w:rPr>
                <w:sz w:val="22"/>
              </w:rPr>
            </w:pPr>
            <w:r>
              <w:rPr>
                <w:sz w:val="22"/>
              </w:rPr>
            </w:r>
          </w:p>
        </w:tc>
        <w:tc>
          <w:tcPr>
            <w:tcW w:w="1280" w:type="dxa"/>
            <w:tcBorders/>
          </w:tcPr>
          <w:p>
            <w:pPr>
              <w:pStyle w:val="Normal"/>
              <w:widowControl/>
              <w:tabs>
                <w:tab w:val="clear" w:pos="720"/>
              </w:tabs>
              <w:bidi w:val="0"/>
              <w:ind w:hanging="0" w:start="0" w:end="0"/>
              <w:jc w:val="center"/>
              <w:rPr/>
            </w:pPr>
            <w:r>
              <w:rPr>
                <w:sz w:val="22"/>
              </w:rPr>
              <w:t>None</w:t>
            </w:r>
          </w:p>
        </w:tc>
        <w:tc>
          <w:tcPr>
            <w:tcW w:w="1281" w:type="dxa"/>
            <w:tcBorders/>
          </w:tcPr>
          <w:p>
            <w:pPr>
              <w:pStyle w:val="Normal"/>
              <w:widowControl/>
              <w:tabs>
                <w:tab w:val="clear" w:pos="720"/>
              </w:tabs>
              <w:bidi w:val="0"/>
              <w:ind w:hanging="0" w:start="0" w:end="0"/>
              <w:jc w:val="center"/>
              <w:rPr/>
            </w:pPr>
            <w:r>
              <w:rPr>
                <w:sz w:val="22"/>
              </w:rPr>
              <w:t>None</w:t>
            </w:r>
          </w:p>
        </w:tc>
      </w:tr>
    </w:tbl>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(e)  </w:t>
      </w:r>
      <w:r>
        <w:rPr>
          <w:b/>
          <w:sz w:val="22"/>
        </w:rPr>
        <w:t>Substitution.</w:t>
      </w:r>
    </w:p>
    <w:p>
      <w:pPr>
        <w:pStyle w:val="Normal"/>
        <w:widowControl/>
        <w:bidi w:val="0"/>
        <w:ind w:hanging="720" w:start="720" w:end="0"/>
        <w:jc w:val="both"/>
        <w:rPr>
          <w:sz w:val="22"/>
        </w:rPr>
      </w:pPr>
      <w:r>
        <w:rPr>
          <w:sz w:val="22"/>
        </w:rPr>
      </w:r>
    </w:p>
    <w:p>
      <w:pPr>
        <w:pStyle w:val="Normal"/>
        <w:widowControl/>
        <w:bidi w:val="0"/>
        <w:ind w:hanging="720" w:start="1440" w:end="0"/>
        <w:jc w:val="both"/>
        <w:rPr>
          <w:sz w:val="22"/>
        </w:rPr>
      </w:pPr>
      <w:r>
        <w:rPr>
          <w:sz w:val="22"/>
        </w:rPr>
        <w:t xml:space="preserve">(i)  </w:t>
      </w:r>
      <w:r>
        <w:rPr>
          <w:b/>
          <w:sz w:val="22"/>
        </w:rPr>
        <w:t>“Substitution Date”</w:t>
      </w:r>
      <w:r>
        <w:rPr>
          <w:sz w:val="22"/>
        </w:rPr>
        <w:t xml:space="preserve"> has the meaning specified in Paragraph 4(d)(ii).</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(f)  </w:t>
      </w:r>
      <w:r>
        <w:rPr>
          <w:b/>
          <w:sz w:val="22"/>
        </w:rPr>
        <w:t>Dispute Resolution.</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widowControl/>
        <w:bidi w:val="0"/>
        <w:ind w:hanging="0" w:start="720" w:end="0"/>
        <w:jc w:val="both"/>
        <w:rPr>
          <w:sz w:val="22"/>
        </w:rPr>
      </w:pPr>
      <w:r>
        <w:rPr>
          <w:sz w:val="22"/>
        </w:rPr>
      </w:r>
    </w:p>
    <w:p>
      <w:pPr>
        <w:pStyle w:val="Normal"/>
        <w:widowControl/>
        <w:bidi w:val="0"/>
        <w:ind w:hanging="0" w:start="1080" w:end="0"/>
        <w:jc w:val="both"/>
        <w:rPr>
          <w:sz w:val="22"/>
        </w:rPr>
      </w:pPr>
      <w:r>
        <w:rPr>
          <w:sz w:val="22"/>
        </w:rPr>
        <w:t>(1)  With respect to cash, the face amount thereof; and</w:t>
      </w:r>
    </w:p>
    <w:p>
      <w:pPr>
        <w:pStyle w:val="Normal"/>
        <w:widowControl/>
        <w:bidi w:val="0"/>
        <w:ind w:hanging="0" w:start="1080" w:end="0"/>
        <w:jc w:val="both"/>
        <w:rPr>
          <w:sz w:val="22"/>
        </w:rPr>
      </w:pPr>
      <w:r>
        <w:rPr>
          <w:sz w:val="22"/>
        </w:rPr>
      </w:r>
    </w:p>
    <w:p>
      <w:pPr>
        <w:pStyle w:val="Normal"/>
        <w:widowControl/>
        <w:tabs>
          <w:tab w:val="clear" w:pos="720"/>
          <w:tab w:val="left" w:pos="1455" w:leader="none"/>
        </w:tabs>
        <w:bidi w:val="0"/>
        <w:ind w:hanging="375" w:start="1455" w:end="0"/>
        <w:jc w:val="both"/>
        <w:rPr>
          <w:sz w:val="22"/>
        </w:rPr>
      </w:pPr>
      <w:r>
        <w:rPr>
          <w:sz w:val="22"/>
        </w:rPr>
        <w:t>(2)</w:t>
        <w:tab/>
        <w:t xml:space="preserve">With respect to </w:t>
      </w:r>
      <w:r>
        <w:rPr>
          <w:strike/>
          <w:sz w:val="22"/>
        </w:rPr>
        <w:t>any Government Obligations, the sum of (A)(x) the mean of the high bid and low asked prices quoted on such date by two principal market makers of recognized national standing (each a “Principal Market Maker”)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r>
        <w:rPr>
          <w:sz w:val="22"/>
        </w:rPr>
        <w:t xml:space="preserve"> </w:t>
      </w:r>
      <w:r>
        <w:rPr>
          <w:b/>
          <w:sz w:val="22"/>
          <w:u w:val="single"/>
        </w:rPr>
        <w:t>a Letter of Credit, the stated amount (undrawn portion thereof), provided the Valuation Percentage is 100%.  If the Valuation Percentage is not 100%, the Value will be deemed to be zero (0).</w:t>
      </w:r>
    </w:p>
    <w:p>
      <w:pPr>
        <w:pStyle w:val="Normal"/>
        <w:widowControl/>
        <w:bidi w:val="0"/>
        <w:ind w:hanging="0" w:start="1080" w:end="0"/>
        <w:jc w:val="both"/>
        <w:rPr>
          <w:sz w:val="22"/>
        </w:rPr>
      </w:pPr>
      <w:r>
        <w:rPr>
          <w:sz w:val="22"/>
        </w:rPr>
      </w:r>
    </w:p>
    <w:p>
      <w:pPr>
        <w:pStyle w:val="Normal"/>
        <w:widowControl/>
        <w:bidi w:val="0"/>
        <w:ind w:hanging="0" w:start="720" w:end="0"/>
        <w:jc w:val="both"/>
        <w:rPr>
          <w:sz w:val="22"/>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bidi w:val="0"/>
        <w:ind w:hanging="0" w:start="540" w:end="0"/>
        <w:jc w:val="both"/>
        <w:rPr>
          <w:sz w:val="22"/>
        </w:rPr>
      </w:pPr>
      <w:r>
        <w:rPr>
          <w:sz w:val="22"/>
        </w:rPr>
      </w:r>
    </w:p>
    <w:p>
      <w:pPr>
        <w:pStyle w:val="Normal"/>
        <w:widowControl/>
        <w:bidi w:val="0"/>
        <w:ind w:hanging="720" w:start="720" w:end="0"/>
        <w:jc w:val="both"/>
        <w:rPr>
          <w:sz w:val="22"/>
        </w:rPr>
      </w:pPr>
      <w:r>
        <w:rPr>
          <w:sz w:val="22"/>
        </w:rPr>
        <w:t>(g)</w:t>
        <w:tab/>
      </w:r>
      <w:r>
        <w:rPr>
          <w:b/>
          <w:sz w:val="22"/>
        </w:rPr>
        <w:t>Holding and Using Posted Collateral.</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widowControl/>
        <w:bidi w:val="0"/>
        <w:ind w:hanging="0" w:start="900" w:end="0"/>
        <w:jc w:val="both"/>
        <w:rPr>
          <w:sz w:val="22"/>
        </w:rPr>
      </w:pPr>
      <w:r>
        <w:rPr>
          <w:sz w:val="22"/>
        </w:rPr>
      </w:r>
    </w:p>
    <w:p>
      <w:pPr>
        <w:pStyle w:val="Normal"/>
        <w:widowControl/>
        <w:bidi w:val="0"/>
        <w:ind w:hanging="0" w:start="1080" w:end="0"/>
        <w:jc w:val="both"/>
        <w:rPr>
          <w:sz w:val="22"/>
        </w:rPr>
      </w:pPr>
      <w:r>
        <w:rPr>
          <w:sz w:val="22"/>
        </w:rPr>
        <w:t>(1) Party A is not a Defaulting Party and a Material Adverse Change has not occurred with respect to Party A.</w:t>
      </w:r>
    </w:p>
    <w:p>
      <w:pPr>
        <w:pStyle w:val="BodyText2"/>
        <w:widowControl/>
        <w:bidi w:val="0"/>
        <w:spacing w:before="240" w:after="0"/>
        <w:ind w:hanging="0" w:start="1080" w:end="0"/>
        <w:rPr>
          <w:rFonts w:ascii="Times New Roman" w:hAnsi="Times New Roman"/>
          <w:sz w:val="22"/>
        </w:rPr>
      </w:pPr>
      <w:r>
        <w:rPr>
          <w:sz w:val="22"/>
        </w:rPr>
        <w:t>(2) Posted Collateral may be held only in the following jurisdictions:  Any jurisdiction within the United States.</w:t>
      </w:r>
    </w:p>
    <w:p>
      <w:pPr>
        <w:pStyle w:val="BodyText2"/>
        <w:widowControl/>
        <w:bidi w:val="0"/>
        <w:spacing w:before="240" w:after="0"/>
        <w:ind w:hanging="0" w:start="1080" w:end="0"/>
        <w:rPr>
          <w:rFonts w:ascii="Times New Roman" w:hAnsi="Times New Roman"/>
          <w:sz w:val="22"/>
        </w:rPr>
      </w:pPr>
      <w:r>
        <w:rPr>
          <w:sz w:val="22"/>
        </w:rPr>
        <w:t>(3) The Custodian is a Qualified Institution (as defined below), approved by Party B (which approval shall not be unreasonably withheld).</w:t>
      </w:r>
      <w:r>
        <w:rPr>
          <w:color w:val="0000FF"/>
          <w:sz w:val="22"/>
        </w:rPr>
        <w:t xml:space="preserve"> </w:t>
      </w:r>
      <w:r>
        <w:rPr>
          <w:sz w:val="22"/>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widowControl/>
        <w:bidi w:val="0"/>
        <w:ind w:hanging="720" w:start="2160" w:end="0"/>
        <w:jc w:val="both"/>
        <w:rPr>
          <w:sz w:val="22"/>
        </w:rPr>
      </w:pPr>
      <w:r>
        <w:rPr>
          <w:sz w:val="22"/>
        </w:rPr>
      </w:r>
    </w:p>
    <w:p>
      <w:pPr>
        <w:pStyle w:val="Normal"/>
        <w:widowControl/>
        <w:bidi w:val="0"/>
        <w:ind w:hanging="0" w:start="720" w:end="0"/>
        <w:jc w:val="both"/>
        <w:rPr>
          <w:sz w:val="22"/>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widowControl/>
        <w:bidi w:val="0"/>
        <w:ind w:hanging="720" w:start="2160" w:end="0"/>
        <w:jc w:val="both"/>
        <w:rPr>
          <w:sz w:val="22"/>
        </w:rPr>
      </w:pPr>
      <w:r>
        <w:rPr>
          <w:sz w:val="22"/>
        </w:rPr>
      </w:r>
    </w:p>
    <w:p>
      <w:pPr>
        <w:pStyle w:val="Normal"/>
        <w:widowControl/>
        <w:bidi w:val="0"/>
        <w:ind w:hanging="0" w:start="1080" w:end="0"/>
        <w:jc w:val="both"/>
        <w:rPr>
          <w:sz w:val="22"/>
        </w:rPr>
      </w:pPr>
      <w:r>
        <w:rPr>
          <w:sz w:val="22"/>
        </w:rPr>
        <w:t>(1) Party B is not a Defaulting Party and a Material Adverse Change has not occurred with respect to Party B.</w:t>
      </w:r>
    </w:p>
    <w:p>
      <w:pPr>
        <w:pStyle w:val="Normal"/>
        <w:widowControl/>
        <w:bidi w:val="0"/>
        <w:ind w:hanging="0" w:start="1080" w:end="0"/>
        <w:jc w:val="both"/>
        <w:rPr>
          <w:sz w:val="22"/>
        </w:rPr>
      </w:pPr>
      <w:r>
        <w:rPr>
          <w:color w:val="FF0000"/>
          <w:sz w:val="22"/>
        </w:rPr>
        <w:t xml:space="preserve"> </w:t>
      </w:r>
    </w:p>
    <w:p>
      <w:pPr>
        <w:pStyle w:val="Normal"/>
        <w:widowControl/>
        <w:bidi w:val="0"/>
        <w:ind w:hanging="0" w:start="1080" w:end="0"/>
        <w:jc w:val="both"/>
        <w:rPr>
          <w:color w:val="FF0000"/>
          <w:sz w:val="22"/>
        </w:rPr>
      </w:pPr>
      <w:r>
        <w:rPr>
          <w:sz w:val="22"/>
        </w:rPr>
        <w:t>(2) Posted Collateral may be held only in the following jurisdictions:  Any jurisdiction in the United States.</w:t>
      </w:r>
    </w:p>
    <w:p>
      <w:pPr>
        <w:pStyle w:val="BodyText2"/>
        <w:widowControl/>
        <w:bidi w:val="0"/>
        <w:spacing w:before="240" w:after="0"/>
        <w:ind w:hanging="0" w:start="1080" w:end="0"/>
        <w:rPr>
          <w:rFonts w:ascii="Times New Roman" w:hAnsi="Times New Roman"/>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widowControl/>
        <w:bidi w:val="0"/>
        <w:ind w:hanging="0" w:start="1080" w:end="0"/>
        <w:jc w:val="both"/>
        <w:rPr>
          <w:color w:val="0000FF"/>
          <w:sz w:val="22"/>
        </w:rPr>
      </w:pPr>
      <w:r>
        <w:rPr>
          <w:color w:val="0000FF"/>
          <w:sz w:val="22"/>
        </w:rPr>
      </w:r>
    </w:p>
    <w:p>
      <w:pPr>
        <w:pStyle w:val="BodyTextIndent3"/>
        <w:bidi w:val="0"/>
        <w:spacing w:lineRule="exact" w:line="240"/>
        <w:ind w:hanging="0" w:start="720" w:end="0"/>
        <w:rPr>
          <w:rFonts w:ascii="Times New Roman" w:hAnsi="Times New Roman"/>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widowControl/>
        <w:bidi w:val="0"/>
        <w:ind w:hanging="0" w:start="720" w:end="0"/>
        <w:jc w:val="both"/>
        <w:rPr>
          <w:sz w:val="22"/>
        </w:rPr>
      </w:pPr>
      <w:r>
        <w:rPr>
          <w:sz w:val="22"/>
        </w:rPr>
      </w:r>
    </w:p>
    <w:p>
      <w:pPr>
        <w:pStyle w:val="Normal"/>
        <w:keepNext w:val="true"/>
        <w:widowControl/>
        <w:bidi w:val="0"/>
        <w:ind w:hanging="0" w:start="720" w:end="0"/>
        <w:jc w:val="both"/>
        <w:rPr>
          <w:sz w:val="22"/>
        </w:rPr>
      </w:pPr>
      <w:r>
        <w:rPr>
          <w:sz w:val="22"/>
        </w:rPr>
        <w:t xml:space="preserve">(ii)  </w:t>
      </w:r>
      <w:r>
        <w:rPr>
          <w:b/>
          <w:sz w:val="22"/>
        </w:rPr>
        <w:t>Use of Posted Collateral.</w:t>
      </w:r>
    </w:p>
    <w:p>
      <w:pPr>
        <w:pStyle w:val="Normal"/>
        <w:keepNext w:val="true"/>
        <w:widowControl/>
        <w:bidi w:val="0"/>
        <w:ind w:hanging="0" w:start="720" w:end="0"/>
        <w:jc w:val="both"/>
        <w:rPr>
          <w:sz w:val="22"/>
        </w:rPr>
      </w:pPr>
      <w:r>
        <w:rPr>
          <w:sz w:val="22"/>
        </w:rPr>
      </w:r>
    </w:p>
    <w:p>
      <w:pPr>
        <w:pStyle w:val="Normal"/>
        <w:keepNext w:val="true"/>
        <w:widowControl/>
        <w:bidi w:val="0"/>
        <w:ind w:hanging="0" w:start="720" w:end="0"/>
        <w:jc w:val="both"/>
        <w:rPr>
          <w:sz w:val="22"/>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w:t>
      </w:r>
      <w:r>
        <w:rPr>
          <w:color w:val="FF0000"/>
          <w:sz w:val="22"/>
        </w:rPr>
        <w:t xml:space="preserve"> </w:t>
      </w:r>
      <w:r>
        <w:rPr>
          <w:sz w:val="22"/>
        </w:rPr>
        <w:t>shall be the “Downgraded Party”; and if such Credit Rating Event occurs with respect to a party’s Custodian, such Custodian shall be the “Downgraded Custodian”), then:</w:t>
      </w:r>
    </w:p>
    <w:p>
      <w:pPr>
        <w:pStyle w:val="Normal"/>
        <w:widowControl/>
        <w:bidi w:val="0"/>
        <w:ind w:hanging="720" w:start="2160" w:end="0"/>
        <w:jc w:val="both"/>
        <w:rPr>
          <w:sz w:val="22"/>
        </w:rPr>
      </w:pPr>
      <w:r>
        <w:rPr>
          <w:sz w:val="22"/>
        </w:rPr>
      </w:r>
    </w:p>
    <w:p>
      <w:pPr>
        <w:pStyle w:val="Normal"/>
        <w:widowControl/>
        <w:bidi w:val="0"/>
        <w:ind w:hanging="0"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widowControl/>
        <w:bidi w:val="0"/>
        <w:ind w:hanging="0" w:start="1440" w:end="0"/>
        <w:jc w:val="both"/>
        <w:rPr>
          <w:sz w:val="22"/>
        </w:rPr>
      </w:pPr>
      <w:r>
        <w:rPr>
          <w:sz w:val="22"/>
        </w:rPr>
      </w:r>
    </w:p>
    <w:p>
      <w:pPr>
        <w:pStyle w:val="Normal"/>
        <w:widowControl/>
        <w:bidi w:val="0"/>
        <w:ind w:hanging="0" w:start="1440" w:end="0"/>
        <w:jc w:val="both"/>
        <w:rPr>
          <w:sz w:val="22"/>
        </w:rPr>
      </w:pPr>
      <w:r>
        <w:rPr>
          <w:sz w:val="22"/>
        </w:rPr>
        <w:t xml:space="preserve">(2)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w:t>
      </w:r>
      <w:r>
        <w:rPr>
          <w:strike/>
          <w:sz w:val="22"/>
        </w:rPr>
        <w:t>or</w:t>
      </w:r>
      <w:r>
        <w:rPr>
          <w:sz w:val="22"/>
        </w:rPr>
        <w:t xml:space="preserve"> </w:t>
      </w:r>
      <w:r>
        <w:rPr>
          <w:b/>
          <w:sz w:val="22"/>
          <w:u w:val="single"/>
        </w:rPr>
        <w:t>and at least</w:t>
      </w:r>
      <w:r>
        <w:rPr>
          <w:sz w:val="22"/>
        </w:rPr>
        <w:t xml:space="preserve">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w:t>
      </w:r>
      <w:r>
        <w:rPr>
          <w:color w:val="FF0000"/>
          <w:sz w:val="22"/>
        </w:rPr>
        <w:t xml:space="preserve"> </w:t>
      </w:r>
      <w:r>
        <w:rPr>
          <w:sz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bidi w:val="0"/>
        <w:ind w:hanging="0" w:start="1080" w:end="0"/>
        <w:jc w:val="both"/>
        <w:rPr>
          <w:sz w:val="22"/>
        </w:rPr>
      </w:pPr>
      <w:r>
        <w:rPr>
          <w:sz w:val="22"/>
        </w:rPr>
      </w:r>
    </w:p>
    <w:p>
      <w:pPr>
        <w:pStyle w:val="Normal"/>
        <w:widowControl/>
        <w:bidi w:val="0"/>
        <w:ind w:hanging="0"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(h)</w:t>
        <w:tab/>
      </w:r>
      <w:r>
        <w:rPr>
          <w:b/>
          <w:sz w:val="22"/>
        </w:rPr>
        <w:t>Distributions and Interest Amount.</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bidi w:val="0"/>
        <w:ind w:hanging="720" w:start="1440" w:end="0"/>
        <w:jc w:val="both"/>
        <w:rPr>
          <w:sz w:val="22"/>
        </w:rPr>
      </w:pPr>
      <w:r>
        <w:rPr>
          <w:sz w:val="22"/>
        </w:rPr>
      </w:r>
    </w:p>
    <w:p>
      <w:pPr>
        <w:pStyle w:val="Normal"/>
        <w:widowControl/>
        <w:bidi w:val="0"/>
        <w:ind w:hanging="720" w:start="720" w:end="0"/>
        <w:jc w:val="both"/>
        <w:rPr>
          <w:sz w:val="22"/>
        </w:rPr>
      </w:pPr>
      <w:r>
        <w:rPr>
          <w:sz w:val="22"/>
        </w:rPr>
        <w:t>(i)</w:t>
        <w:tab/>
      </w:r>
      <w:r>
        <w:rPr>
          <w:b/>
          <w:sz w:val="22"/>
        </w:rPr>
        <w:t>Additional Representation(s) and Covenants.</w:t>
      </w:r>
    </w:p>
    <w:p>
      <w:pPr>
        <w:pStyle w:val="Justified"/>
        <w:bidi w:val="0"/>
        <w:spacing w:before="0" w:after="0"/>
        <w:rPr>
          <w:rFonts w:ascii="Times New Roman" w:hAnsi="Times New Roman"/>
        </w:rPr>
      </w:pPr>
      <w:r>
        <w:rPr>
          <w:rFonts w:ascii="Times New Roman" w:hAnsi="Times New Roman"/>
        </w:rPr>
      </w:r>
    </w:p>
    <w:p>
      <w:pPr>
        <w:pStyle w:val="Normal"/>
        <w:widowControl/>
        <w:bidi w:val="0"/>
        <w:ind w:firstLine="720" w:start="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bidi w:val="0"/>
        <w:ind w:hanging="0" w:start="720" w:end="0"/>
        <w:jc w:val="both"/>
        <w:rPr>
          <w:sz w:val="22"/>
        </w:rPr>
      </w:pPr>
      <w:r>
        <w:rPr>
          <w:sz w:val="22"/>
        </w:rPr>
      </w:r>
    </w:p>
    <w:p>
      <w:pPr>
        <w:pStyle w:val="Normal"/>
        <w:keepNext w:val="true"/>
        <w:widowControl/>
        <w:bidi w:val="0"/>
        <w:ind w:hanging="720" w:start="720" w:end="0"/>
        <w:jc w:val="both"/>
        <w:rPr>
          <w:sz w:val="22"/>
        </w:rPr>
      </w:pPr>
      <w:r>
        <w:rPr>
          <w:sz w:val="22"/>
        </w:rPr>
        <w:t>(j)</w:t>
        <w:tab/>
      </w:r>
      <w:r>
        <w:rPr>
          <w:b/>
          <w:sz w:val="22"/>
        </w:rPr>
        <w:t>Other Eligible Support and Other Posted Support.</w:t>
      </w:r>
    </w:p>
    <w:p>
      <w:pPr>
        <w:pStyle w:val="Normal"/>
        <w:keepNext w:val="true"/>
        <w:widowControl/>
        <w:bidi w:val="0"/>
        <w:ind w:hanging="720" w:start="720" w:end="0"/>
        <w:jc w:val="both"/>
        <w:rPr>
          <w:sz w:val="22"/>
        </w:rPr>
      </w:pPr>
      <w:r>
        <w:rPr>
          <w:sz w:val="22"/>
        </w:rPr>
      </w:r>
    </w:p>
    <w:p>
      <w:pPr>
        <w:pStyle w:val="Normal"/>
        <w:keepNext w:val="true"/>
        <w:widowControl/>
        <w:bidi w:val="0"/>
        <w:ind w:hanging="0" w:start="720" w:end="0"/>
        <w:jc w:val="both"/>
        <w:rPr>
          <w:sz w:val="22"/>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bidi w:val="0"/>
        <w:ind w:hanging="90" w:start="720" w:end="0"/>
        <w:jc w:val="both"/>
        <w:rPr>
          <w:sz w:val="22"/>
        </w:rPr>
      </w:pPr>
      <w:r>
        <w:rPr>
          <w:sz w:val="22"/>
        </w:rPr>
      </w:r>
    </w:p>
    <w:p>
      <w:pPr>
        <w:pStyle w:val="Normal"/>
        <w:widowControl/>
        <w:bidi w:val="0"/>
        <w:ind w:hanging="0" w:start="720" w:end="0"/>
        <w:jc w:val="both"/>
        <w:rPr>
          <w:color w:val="7F0000"/>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(k)</w:t>
        <w:tab/>
      </w:r>
      <w:r>
        <w:rPr>
          <w:b/>
          <w:sz w:val="22"/>
        </w:rPr>
        <w:t>Demands and Notices.</w:t>
      </w:r>
    </w:p>
    <w:p>
      <w:pPr>
        <w:pStyle w:val="Normal"/>
        <w:keepNext w:val="true"/>
        <w:widowControl/>
        <w:bidi w:val="0"/>
        <w:ind w:hanging="0" w:start="0" w:end="0"/>
        <w:jc w:val="both"/>
        <w:rPr>
          <w:sz w:val="22"/>
        </w:rPr>
      </w:pPr>
      <w:r>
        <w:rPr>
          <w:sz w:val="22"/>
        </w:rPr>
      </w:r>
    </w:p>
    <w:p>
      <w:pPr>
        <w:pStyle w:val="Normal"/>
        <w:keepNext w:val="true"/>
        <w:widowControl/>
        <w:bidi w:val="0"/>
        <w:ind w:hanging="0" w:start="0" w:end="0"/>
        <w:jc w:val="both"/>
        <w:rPr>
          <w:sz w:val="22"/>
        </w:rPr>
      </w:pPr>
      <w:r>
        <w:rPr>
          <w:sz w:val="22"/>
        </w:rPr>
        <w:t>All demands, specifications, and notices under this Annex will be made pursuant to the Notices Section of this Agreement.</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(l)</w:t>
        <w:tab/>
      </w:r>
      <w:r>
        <w:rPr>
          <w:b/>
          <w:sz w:val="22"/>
        </w:rPr>
        <w:t>Addresses for Transfers.</w:t>
      </w:r>
    </w:p>
    <w:p>
      <w:pPr>
        <w:pStyle w:val="Normal"/>
        <w:keepNext w:val="true"/>
        <w:widowControl/>
        <w:bidi w:val="0"/>
        <w:ind w:hanging="0" w:start="720" w:end="0"/>
        <w:jc w:val="both"/>
        <w:rPr>
          <w:sz w:val="22"/>
        </w:rPr>
      </w:pPr>
      <w:r>
        <w:rPr>
          <w:sz w:val="22"/>
        </w:rPr>
      </w:r>
    </w:p>
    <w:p>
      <w:pPr>
        <w:pStyle w:val="Normal"/>
        <w:keepNext w:val="true"/>
        <w:widowControl/>
        <w:bidi w:val="0"/>
        <w:ind w:hanging="1080" w:start="1800" w:end="0"/>
        <w:jc w:val="both"/>
        <w:rPr>
          <w:sz w:val="22"/>
        </w:rPr>
      </w:pPr>
      <w:r>
        <w:rPr>
          <w:sz w:val="22"/>
        </w:rPr>
        <w:t>Party A:     To be provided in notice requesting delivery/return of Eligible Credit Support/Posted Credit Support.</w:t>
      </w:r>
    </w:p>
    <w:p>
      <w:pPr>
        <w:pStyle w:val="Normal"/>
        <w:keepNext w:val="true"/>
        <w:widowControl/>
        <w:bidi w:val="0"/>
        <w:ind w:hanging="0" w:start="720" w:end="0"/>
        <w:jc w:val="both"/>
        <w:rPr>
          <w:sz w:val="22"/>
        </w:rPr>
      </w:pPr>
      <w:r>
        <w:rPr>
          <w:sz w:val="22"/>
        </w:rPr>
      </w:r>
    </w:p>
    <w:p>
      <w:pPr>
        <w:pStyle w:val="Normal"/>
        <w:keepNext w:val="true"/>
        <w:widowControl/>
        <w:bidi w:val="0"/>
        <w:ind w:hanging="1080" w:start="1800" w:end="0"/>
        <w:jc w:val="both"/>
        <w:rPr>
          <w:sz w:val="22"/>
        </w:rPr>
      </w:pPr>
      <w:r>
        <w:rPr>
          <w:sz w:val="22"/>
        </w:rPr>
        <w:t>Party B:      To be provided in notice requesting delivery/return of Eligible Credit Support/Posted Credit Support.</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(m)</w:t>
        <w:tab/>
      </w:r>
      <w:r>
        <w:rPr>
          <w:b/>
          <w:sz w:val="22"/>
        </w:rPr>
        <w:t>Other Provisions.</w:t>
      </w:r>
    </w:p>
    <w:p>
      <w:pPr>
        <w:pStyle w:val="Normal"/>
        <w:keepNext w:val="true"/>
        <w:widowControl/>
        <w:bidi w:val="0"/>
        <w:ind w:hanging="720" w:start="1440" w:end="0"/>
        <w:jc w:val="both"/>
        <w:rPr>
          <w:sz w:val="22"/>
        </w:rPr>
      </w:pPr>
      <w:r>
        <w:rPr>
          <w:sz w:val="22"/>
        </w:rPr>
      </w:r>
    </w:p>
    <w:p>
      <w:pPr>
        <w:pStyle w:val="Normal"/>
        <w:keepNext w:val="true"/>
        <w:widowControl/>
        <w:bidi w:val="0"/>
        <w:ind w:hanging="720" w:start="1440" w:end="0"/>
        <w:jc w:val="both"/>
        <w:rPr>
          <w:sz w:val="22"/>
        </w:rPr>
      </w:pPr>
      <w:r>
        <w:rPr>
          <w:sz w:val="22"/>
        </w:rPr>
        <w:t>(i)  Paragraph 12 of this Annex is hereby amended by adding the following:</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w:t>
      </w:r>
      <w:r>
        <w:rPr>
          <w:strike/>
          <w:sz w:val="22"/>
        </w:rPr>
        <w:t>, Moody’s or the other specified rating agency or agencies</w:t>
      </w:r>
      <w:r>
        <w:rPr>
          <w:sz w:val="22"/>
        </w:rPr>
        <w:t xml:space="preserve"> </w:t>
      </w:r>
      <w:r>
        <w:rPr>
          <w:b/>
          <w:sz w:val="22"/>
          <w:u w:val="single"/>
        </w:rPr>
        <w:t>and Moody’s</w:t>
      </w:r>
      <w:r>
        <w:rPr>
          <w:sz w:val="22"/>
        </w:rPr>
        <w:t>.</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bidi w:val="0"/>
        <w:ind w:hanging="0" w:start="720" w:end="0"/>
        <w:jc w:val="both"/>
        <w:rPr>
          <w:sz w:val="22"/>
        </w:rPr>
      </w:pPr>
      <w:r>
        <w:rPr>
          <w:sz w:val="22"/>
        </w:rPr>
        <w:t xml:space="preserve"> </w:t>
      </w:r>
    </w:p>
    <w:p>
      <w:pPr>
        <w:pStyle w:val="Normal"/>
        <w:widowControl/>
        <w:bidi w:val="0"/>
        <w:ind w:hanging="0" w:start="720" w:end="0"/>
        <w:jc w:val="both"/>
        <w:rPr>
          <w:sz w:val="22"/>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Material Adverse Change”</w:t>
      </w:r>
      <w:r>
        <w:rPr>
          <w:sz w:val="22"/>
        </w:rPr>
        <w:t xml:space="preserve"> means (a) with respect to Party A, its Credit Support Provider’s Credit Rating is below “BBB-” by S&amp;P or </w:t>
      </w:r>
      <w:r>
        <w:rPr>
          <w:b/>
          <w:sz w:val="22"/>
          <w:u w:val="single"/>
        </w:rPr>
        <w:t>“Baa3” by Moody’s or</w:t>
      </w:r>
      <w:r>
        <w:rPr>
          <w:sz w:val="22"/>
        </w:rPr>
        <w:t xml:space="preserve"> its Credit Support Provider fails to have a Credit Rating from S&amp;P </w:t>
      </w:r>
      <w:r>
        <w:rPr>
          <w:b/>
          <w:sz w:val="22"/>
          <w:u w:val="single"/>
        </w:rPr>
        <w:t>or Moody’s</w:t>
      </w:r>
      <w:r>
        <w:rPr>
          <w:sz w:val="22"/>
        </w:rPr>
        <w:t xml:space="preserve">; or (b) with respect to Party B, its Credit Rating is below “BBB-” by S&amp;P or </w:t>
      </w:r>
      <w:r>
        <w:rPr>
          <w:b/>
          <w:sz w:val="22"/>
          <w:u w:val="single"/>
        </w:rPr>
        <w:t>“Baa3” by Moody’s or</w:t>
      </w:r>
      <w:r>
        <w:rPr>
          <w:sz w:val="22"/>
        </w:rPr>
        <w:t xml:space="preserve"> it fails to have a Credit Rating from S&amp;P </w:t>
      </w:r>
      <w:r>
        <w:rPr>
          <w:b/>
          <w:sz w:val="22"/>
          <w:u w:val="single"/>
        </w:rPr>
        <w:t>or Moody’s</w:t>
      </w:r>
      <w:r>
        <w:rPr>
          <w:sz w:val="22"/>
        </w:rPr>
        <w: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2"/>
        </w:rPr>
      </w:pPr>
      <w:r>
        <w:rPr>
          <w:sz w:val="22"/>
        </w:rPr>
      </w:r>
    </w:p>
    <w:p>
      <w:pPr>
        <w:pStyle w:val="Normal"/>
        <w:widowControl/>
        <w:bidi w:val="0"/>
        <w:ind w:hanging="0" w:start="720" w:end="0"/>
        <w:jc w:val="both"/>
        <w:rPr>
          <w:sz w:val="22"/>
        </w:rPr>
      </w:pPr>
      <w:r>
        <w:rPr>
          <w:b/>
          <w:sz w:val="22"/>
        </w:rPr>
        <w:t>“</w:t>
      </w:r>
      <w:r>
        <w:rPr>
          <w:b/>
          <w:sz w:val="22"/>
        </w:rPr>
        <w:t>Moody’s”</w:t>
      </w:r>
      <w:r>
        <w:rPr>
          <w:sz w:val="22"/>
        </w:rPr>
        <w:t xml:space="preserve"> means Moody’s Investors Service, Inc. or its successor.</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S&amp;P”</w:t>
      </w:r>
      <w:r>
        <w:rPr>
          <w:sz w:val="22"/>
        </w:rPr>
        <w:t xml:space="preserve"> means the Standard &amp; Poor's Rating Group (a division of McGraw-Hill, Inc.) or its successor.</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(ii)  Paragraph 6(d)(i) is hereby amended by adding the following sentence:</w:t>
      </w:r>
    </w:p>
    <w:p>
      <w:pPr>
        <w:pStyle w:val="Normal"/>
        <w:widowControl/>
        <w:bidi w:val="0"/>
        <w:ind w:hanging="720" w:start="720" w:end="0"/>
        <w:jc w:val="both"/>
        <w:rPr>
          <w:sz w:val="22"/>
        </w:rPr>
      </w:pPr>
      <w:r>
        <w:rPr>
          <w:sz w:val="22"/>
        </w:rPr>
      </w:r>
    </w:p>
    <w:p>
      <w:pPr>
        <w:pStyle w:val="BodyTextIndent3"/>
        <w:bidi w:val="0"/>
        <w:spacing w:lineRule="exact" w:line="240"/>
        <w:rPr>
          <w:rFonts w:ascii="Times New Roman" w:hAnsi="Times New Roman"/>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even" r:id="rId5"/>
          <w:footerReference w:type="default" r:id="rId6"/>
          <w:footerReference w:type="first" r:id="rId7"/>
          <w:type w:val="nextPage"/>
          <w:pgSz w:w="12240" w:h="15840"/>
          <w:pgMar w:left="1080" w:right="1080" w:gutter="0" w:header="0" w:top="1170" w:footer="720" w:bottom="777"/>
          <w:pgNumType w:start="1" w:fmt="decimal"/>
          <w:formProt w:val="false"/>
          <w:textDirection w:val="lrTb"/>
          <w:docGrid w:type="default" w:linePitch="100" w:charSpace="0"/>
        </w:sectPr>
        <w:pStyle w:val="Normal"/>
        <w:widowControl/>
        <w:bidi w:val="0"/>
        <w:ind w:hanging="720" w:start="720" w:end="0"/>
        <w:jc w:val="both"/>
        <w:rPr>
          <w:sz w:val="22"/>
        </w:rPr>
      </w:pPr>
      <w:r>
        <w:rPr>
          <w:sz w:val="22"/>
        </w:rPr>
      </w:r>
    </w:p>
    <w:p>
      <w:pPr>
        <w:pStyle w:val="Normal"/>
        <w:widowControl/>
        <w:bidi w:val="0"/>
        <w:ind w:hanging="0" w:start="0" w:end="0"/>
        <w:jc w:val="center"/>
        <w:rPr>
          <w:b/>
          <w:sz w:val="22"/>
        </w:rPr>
      </w:pPr>
      <w:r>
        <w:rPr>
          <w:b/>
          <w:sz w:val="22"/>
          <w:u w:val="single"/>
        </w:rPr>
        <w:t>EXHIBIT A</w:t>
      </w:r>
    </w:p>
    <w:p>
      <w:pPr>
        <w:pStyle w:val="Expanded"/>
        <w:widowControl/>
        <w:bidi w:val="0"/>
        <w:spacing w:before="0" w:after="0"/>
        <w:rPr>
          <w:rFonts w:ascii="Times New Roman" w:hAnsi="Times New Roman"/>
          <w:caps w:val="false"/>
          <w:smallCaps w:val="false"/>
          <w:spacing w:val="0"/>
        </w:rPr>
      </w:pPr>
      <w:r>
        <w:rPr>
          <w:caps w:val="false"/>
          <w:smallCaps w:val="false"/>
          <w:spacing w:val="0"/>
        </w:rPr>
        <w:t>to Paragraph 13</w:t>
      </w:r>
    </w:p>
    <w:p>
      <w:pPr>
        <w:pStyle w:val="Normal"/>
        <w:widowControl/>
        <w:bidi w:val="0"/>
        <w:ind w:hanging="0" w:start="0" w:end="0"/>
        <w:jc w:val="center"/>
        <w:rPr>
          <w:sz w:val="22"/>
        </w:rPr>
      </w:pPr>
      <w:r>
        <w:rPr>
          <w:b/>
          <w:sz w:val="22"/>
        </w:rPr>
        <w:t>of Annex A</w:t>
      </w:r>
    </w:p>
    <w:p>
      <w:pPr>
        <w:pStyle w:val="Normal"/>
        <w:widowControl/>
        <w:bidi w:val="0"/>
        <w:ind w:hanging="0" w:start="0" w:end="0"/>
        <w:jc w:val="center"/>
        <w:rPr>
          <w:sz w:val="22"/>
        </w:rPr>
      </w:pPr>
      <w:r>
        <w:rPr>
          <w:sz w:val="22"/>
        </w:rPr>
      </w:r>
    </w:p>
    <w:p>
      <w:pPr>
        <w:pStyle w:val="Normal"/>
        <w:widowControl/>
        <w:bidi w:val="0"/>
        <w:ind w:hanging="0" w:start="0" w:end="0"/>
        <w:jc w:val="center"/>
        <w:rPr>
          <w:sz w:val="22"/>
        </w:rPr>
      </w:pPr>
      <w:r>
        <w:rPr>
          <w:b/>
          <w:sz w:val="22"/>
        </w:rPr>
        <w:t>LETTER OF CREDIT PROVISIONS</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widowControl/>
        <w:bidi w:val="0"/>
        <w:ind w:hanging="0" w:start="0" w:end="0"/>
        <w:jc w:val="both"/>
        <w:rPr>
          <w:sz w:val="22"/>
        </w:rPr>
      </w:pPr>
      <w:r>
        <w:rPr>
          <w:sz w:val="22"/>
        </w:rPr>
      </w:r>
    </w:p>
    <w:p>
      <w:pPr>
        <w:pStyle w:val="Normal"/>
        <w:widowControl/>
        <w:bidi w:val="0"/>
        <w:ind w:hanging="0"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w:t>
      </w:r>
      <w:r>
        <w:rPr>
          <w:strike/>
          <w:sz w:val="22"/>
        </w:rPr>
        <w:t>or</w:t>
      </w:r>
      <w:r>
        <w:rPr>
          <w:sz w:val="22"/>
        </w:rPr>
        <w:t xml:space="preserve"> </w:t>
      </w:r>
      <w:r>
        <w:rPr>
          <w:b/>
          <w:sz w:val="22"/>
          <w:u w:val="single"/>
        </w:rPr>
        <w:t>and at least</w:t>
      </w:r>
      <w:r>
        <w:rPr>
          <w:sz w:val="22"/>
        </w:rPr>
        <w:t xml:space="preserve">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widowControl/>
        <w:bidi w:val="0"/>
        <w:ind w:hanging="0" w:start="540" w:end="0"/>
        <w:jc w:val="both"/>
        <w:rPr>
          <w:sz w:val="22"/>
        </w:rPr>
      </w:pPr>
      <w:r>
        <w:rPr>
          <w:sz w:val="22"/>
        </w:rPr>
      </w:r>
    </w:p>
    <w:p>
      <w:pPr>
        <w:pStyle w:val="Normal"/>
        <w:widowControl/>
        <w:bidi w:val="0"/>
        <w:ind w:hanging="0" w:start="180" w:end="0"/>
        <w:jc w:val="both"/>
        <w:rPr>
          <w:sz w:val="22"/>
        </w:rPr>
      </w:pPr>
      <w:r>
        <w:rPr>
          <w:sz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bidi w:val="0"/>
        <w:ind w:hanging="0" w:start="180" w:end="0"/>
        <w:jc w:val="both"/>
        <w:rPr>
          <w:sz w:val="22"/>
        </w:rPr>
      </w:pPr>
      <w:r>
        <w:rPr>
          <w:sz w:val="22"/>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080" w:right="1080" w:gutter="0" w:header="720" w:top="1440" w:footer="720" w:bottom="777"/>
          <w:pgNumType w:start="1" w:fmt="decimal"/>
          <w:formProt w:val="false"/>
          <w:textDirection w:val="lrTb"/>
          <w:docGrid w:type="default" w:linePitch="100" w:charSpace="0"/>
        </w:sectPr>
        <w:pStyle w:val="Normal"/>
        <w:widowControl/>
        <w:bidi w:val="0"/>
        <w:ind w:hanging="0" w:start="180" w:end="0"/>
        <w:jc w:val="both"/>
        <w:rPr>
          <w:sz w:val="22"/>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widowControl/>
        <w:numPr>
          <w:ilvl w:val="0"/>
          <w:numId w:val="0"/>
        </w:numPr>
        <w:bidi w:val="0"/>
        <w:ind w:hanging="0" w:start="-1440"/>
        <w:jc w:val="end"/>
        <w:outlineLvl w:val="2"/>
        <w:rPr>
          <w:rFonts w:ascii="Times New Roman" w:hAnsi="Times New Roman"/>
        </w:rPr>
      </w:pPr>
      <w:r>
        <w:rPr/>
        <w:t>SCHEDULE 1</w:t>
      </w:r>
    </w:p>
    <w:p>
      <w:pPr>
        <w:pStyle w:val="Normal"/>
        <w:widowControl/>
        <w:bidi w:val="0"/>
        <w:spacing w:lineRule="exact" w:line="240"/>
        <w:ind w:hanging="0" w:start="0" w:end="0"/>
        <w:jc w:val="center"/>
        <w:rPr>
          <w:sz w:val="22"/>
        </w:rPr>
      </w:pPr>
      <w:r>
        <w:rPr>
          <w:sz w:val="22"/>
        </w:rPr>
      </w:r>
    </w:p>
    <w:p>
      <w:pPr>
        <w:pStyle w:val="Normal"/>
        <w:widowControl/>
        <w:bidi w:val="0"/>
        <w:spacing w:lineRule="exact" w:line="240"/>
        <w:ind w:hanging="0" w:start="0" w:end="0"/>
        <w:jc w:val="center"/>
        <w:rPr>
          <w:sz w:val="22"/>
        </w:rPr>
      </w:pPr>
      <w:r>
        <w:rPr>
          <w:sz w:val="22"/>
        </w:rPr>
        <w:t>IRREVOCABLE TRANSFERABLE STANDBY LETTER OF CREDIT FORMAT</w:t>
      </w:r>
    </w:p>
    <w:p>
      <w:pPr>
        <w:pStyle w:val="Normal"/>
        <w:widowControl/>
        <w:bidi w:val="0"/>
        <w:spacing w:lineRule="exact" w:line="240"/>
        <w:ind w:hanging="0" w:start="0" w:end="0"/>
        <w:jc w:val="center"/>
        <w:rPr>
          <w:sz w:val="22"/>
        </w:rPr>
      </w:pPr>
      <w:r>
        <w:rPr>
          <w:sz w:val="22"/>
        </w:rPr>
        <w:t xml:space="preserve">DATE OF ISSUANCE:  </w:t>
      </w:r>
      <w:r>
        <w:rPr>
          <w:sz w:val="22"/>
          <w:u w:val="single"/>
        </w:rPr>
        <w:tab/>
        <w:tab/>
        <w:tab/>
      </w:r>
    </w:p>
    <w:p>
      <w:pPr>
        <w:pStyle w:val="Normal"/>
        <w:widowControl/>
        <w:bidi w:val="0"/>
        <w:spacing w:lineRule="exact" w:line="240"/>
        <w:ind w:hanging="0" w:start="0" w:end="0"/>
        <w:jc w:val="start"/>
        <w:rPr>
          <w:sz w:val="22"/>
        </w:rPr>
      </w:pPr>
      <w:r>
        <w:rPr>
          <w:sz w:val="22"/>
        </w:rPr>
        <w:t>[Address]</w:t>
      </w:r>
    </w:p>
    <w:p>
      <w:pPr>
        <w:pStyle w:val="Normal"/>
        <w:widowControl/>
        <w:bidi w:val="0"/>
        <w:spacing w:lineRule="exact" w:line="240"/>
        <w:ind w:hanging="0" w:start="0" w:end="0"/>
        <w:jc w:val="start"/>
        <w:rPr>
          <w:sz w:val="22"/>
        </w:rPr>
      </w:pPr>
      <w:r>
        <w:rPr>
          <w:sz w:val="22"/>
        </w:rPr>
        <w:tab/>
        <w:t>Re:  Credit No. _______________</w:t>
      </w:r>
    </w:p>
    <w:p>
      <w:pPr>
        <w:pStyle w:val="Normal"/>
        <w:widowControl/>
        <w:bidi w:val="0"/>
        <w:spacing w:lineRule="exact" w:line="240"/>
        <w:ind w:hanging="0" w:start="0" w:end="0"/>
        <w:jc w:val="start"/>
        <w:rPr>
          <w:sz w:val="22"/>
        </w:rPr>
      </w:pPr>
      <w:r>
        <w:rPr>
          <w:sz w:val="22"/>
        </w:rPr>
      </w:r>
    </w:p>
    <w:p>
      <w:pPr>
        <w:pStyle w:val="Normal"/>
        <w:widowControl/>
        <w:bidi w:val="0"/>
        <w:spacing w:lineRule="exact" w:line="240"/>
        <w:ind w:hanging="0" w:start="0" w:end="0"/>
        <w:jc w:val="both"/>
        <w:rPr>
          <w:sz w:val="22"/>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widowControl/>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360" w:start="720" w:end="0"/>
        <w:jc w:val="both"/>
        <w:rPr>
          <w:sz w:val="22"/>
        </w:rPr>
      </w:pPr>
      <w:r>
        <w:rPr>
          <w:sz w:val="22"/>
        </w:rPr>
        <w:t>1.</w:t>
        <w:tab/>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widowControl/>
        <w:tabs>
          <w:tab w:val="left" w:pos="720" w:leader="none"/>
        </w:tabs>
        <w:bidi w:val="0"/>
        <w:spacing w:lineRule="exact" w:line="240"/>
        <w:ind w:hanging="360" w:start="720" w:end="0"/>
        <w:jc w:val="both"/>
        <w:rPr>
          <w:sz w:val="22"/>
        </w:rPr>
      </w:pPr>
      <w:r>
        <w:rPr>
          <w:sz w:val="22"/>
        </w:rPr>
        <w:t>2.</w:t>
        <w:tab/>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widowControl/>
        <w:tabs>
          <w:tab w:val="left" w:pos="720" w:leader="none"/>
        </w:tabs>
        <w:bidi w:val="0"/>
        <w:spacing w:lineRule="exact" w:line="240"/>
        <w:ind w:hanging="1440" w:start="144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bidi w:val="0"/>
        <w:spacing w:lineRule="exact" w:line="240"/>
        <w:ind w:hanging="0" w:start="0" w:end="0"/>
        <w:jc w:val="both"/>
        <w:rPr>
          <w:sz w:val="22"/>
        </w:rPr>
      </w:pPr>
      <w:r>
        <w:rPr>
          <w:sz w:val="22"/>
        </w:rPr>
      </w:r>
    </w:p>
    <w:p>
      <w:pPr>
        <w:pStyle w:val="BodyText2"/>
        <w:widowControl/>
        <w:bidi w:val="0"/>
        <w:spacing w:lineRule="exact" w:line="240" w:before="240" w:after="0"/>
        <w:rPr>
          <w:rFonts w:ascii="Times New Roman" w:hAnsi="Times New Roman"/>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spacing w:lineRule="exact" w:line="240"/>
        <w:ind w:firstLine="720" w:start="0" w:end="0"/>
        <w:jc w:val="start"/>
        <w:rPr>
          <w:rFonts w:ascii="Times New Roman" w:hAnsi="Times New Roman"/>
        </w:rPr>
      </w:pPr>
      <w:r>
        <w:rPr/>
      </w:r>
    </w:p>
    <w:p>
      <w:pPr>
        <w:pStyle w:val="BodyText"/>
        <w:bidi w:val="0"/>
        <w:spacing w:lineRule="exact" w:line="240"/>
        <w:ind w:firstLine="720" w:start="0" w:end="0"/>
        <w:jc w:val="both"/>
        <w:rPr>
          <w:rFonts w:ascii="Times New Roman" w:hAnsi="Times New Roman"/>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4"/>
          <w:headerReference w:type="first" r:id="rId15"/>
          <w:footerReference w:type="even" r:id="rId16"/>
          <w:footerReference w:type="default" r:id="rId17"/>
          <w:footerReference w:type="first" r:id="rId18"/>
          <w:type w:val="nextPage"/>
          <w:pgSz w:w="12240" w:h="15840"/>
          <w:pgMar w:left="1080" w:right="1080" w:gutter="0" w:header="720" w:top="1080" w:footer="720" w:bottom="1080"/>
          <w:pgNumType w:fmt="decimal"/>
          <w:formProt w:val="false"/>
          <w:textDirection w:val="lrTb"/>
          <w:docGrid w:type="default" w:linePitch="100" w:charSpace="0"/>
        </w:sectPr>
        <w:pStyle w:val="Normal"/>
        <w:widowControl/>
        <w:tabs>
          <w:tab w:val="clear" w:pos="720"/>
          <w:tab w:val="left" w:pos="4320" w:leader="none"/>
          <w:tab w:val="left" w:pos="5040" w:leader="none"/>
          <w:tab w:val="left" w:pos="5760" w:leader="none"/>
        </w:tabs>
        <w:bidi w:val="0"/>
        <w:spacing w:lineRule="exact" w:line="240"/>
        <w:ind w:hanging="0" w:start="5040" w:end="0"/>
        <w:jc w:val="start"/>
        <w:rPr>
          <w:sz w:val="22"/>
        </w:rPr>
      </w:pPr>
      <w:r>
        <w:rPr>
          <w:sz w:val="22"/>
        </w:rPr>
        <w:t>[BANK SIGNATURE]</w:t>
      </w:r>
    </w:p>
    <w:p>
      <w:pPr>
        <w:pStyle w:val="Normal"/>
        <w:widowControl/>
        <w:bidi w:val="0"/>
        <w:ind w:hanging="0" w:start="0" w:end="180"/>
        <w:jc w:val="center"/>
        <w:rPr>
          <w:b/>
          <w:sz w:val="22"/>
        </w:rPr>
      </w:pPr>
      <w:r>
        <w:rPr>
          <w:b/>
          <w:sz w:val="22"/>
          <w:u w:val="single"/>
        </w:rPr>
        <w:t>EXHIBIT A</w:t>
      </w:r>
    </w:p>
    <w:p>
      <w:pPr>
        <w:pStyle w:val="Normal"/>
        <w:widowControl/>
        <w:bidi w:val="0"/>
        <w:ind w:hanging="0" w:start="0" w:end="180"/>
        <w:jc w:val="center"/>
        <w:rPr>
          <w:b/>
          <w:sz w:val="22"/>
        </w:rPr>
      </w:pPr>
      <w:r>
        <w:rPr>
          <w:b/>
          <w:sz w:val="22"/>
        </w:rPr>
      </w:r>
    </w:p>
    <w:p>
      <w:pPr>
        <w:pStyle w:val="Normal"/>
        <w:widowControl/>
        <w:bidi w:val="0"/>
        <w:ind w:hanging="0" w:start="0" w:end="180"/>
        <w:jc w:val="center"/>
        <w:rPr>
          <w:b/>
          <w:sz w:val="22"/>
        </w:rPr>
      </w:pPr>
      <w:r>
        <w:rPr>
          <w:b/>
          <w:sz w:val="22"/>
        </w:rPr>
        <w:t>ENRON CORP.</w:t>
      </w:r>
    </w:p>
    <w:p>
      <w:pPr>
        <w:pStyle w:val="Normal"/>
        <w:widowControl/>
        <w:bidi w:val="0"/>
        <w:spacing w:lineRule="exact" w:line="240"/>
        <w:ind w:hanging="0" w:start="0" w:end="180"/>
        <w:jc w:val="center"/>
        <w:rPr>
          <w:sz w:val="22"/>
          <w:u w:val="single"/>
        </w:rPr>
      </w:pPr>
      <w:r>
        <w:rPr>
          <w:sz w:val="22"/>
          <w:u w:val="single"/>
        </w:rPr>
      </w:r>
    </w:p>
    <w:p>
      <w:pPr>
        <w:pStyle w:val="Normal"/>
        <w:widowControl/>
        <w:bidi w:val="0"/>
        <w:spacing w:lineRule="exact" w:line="240"/>
        <w:ind w:hanging="0" w:start="0" w:end="180"/>
        <w:jc w:val="center"/>
        <w:rPr>
          <w:sz w:val="22"/>
        </w:rPr>
      </w:pPr>
      <w:r>
        <w:rPr>
          <w:sz w:val="22"/>
          <w:u w:val="single"/>
        </w:rPr>
        <w:t>Guaranty</w:t>
      </w:r>
    </w:p>
    <w:p>
      <w:pPr>
        <w:pStyle w:val="Normal"/>
        <w:widowControl/>
        <w:bidi w:val="0"/>
        <w:spacing w:lineRule="exact" w:line="48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This Guaranty (this “Guaranty”), dated effective as of </w:t>
      </w:r>
      <w:r>
        <w:rPr>
          <w:sz w:val="22"/>
          <w:u w:val="single"/>
        </w:rPr>
        <w:tab/>
        <w:tab/>
      </w:r>
      <w:r>
        <w:rPr>
          <w:sz w:val="22"/>
        </w:rPr>
        <w:t xml:space="preserve">, 2001 (the “Effective Date”), is made and entered into by </w:t>
      </w:r>
      <w:r>
        <w:rPr>
          <w:caps/>
          <w:sz w:val="22"/>
        </w:rPr>
        <w:t>Enron Corp.</w:t>
      </w:r>
      <w:r>
        <w:rPr>
          <w:sz w:val="22"/>
        </w:rPr>
        <w:t>, an Oregon corporation (“Guarantor”).</w:t>
      </w:r>
    </w:p>
    <w:p>
      <w:pPr>
        <w:pStyle w:val="Normal"/>
        <w:keepNext w:val="true"/>
        <w:widowControl/>
        <w:bidi w:val="0"/>
        <w:spacing w:lineRule="exact" w:line="240" w:before="480" w:after="0"/>
        <w:ind w:hanging="0" w:start="0" w:end="0"/>
        <w:jc w:val="center"/>
        <w:rPr>
          <w:b/>
          <w:caps/>
          <w:sz w:val="22"/>
        </w:rPr>
      </w:pPr>
      <w:r>
        <w:rPr>
          <w:b/>
          <w:caps/>
          <w:sz w:val="22"/>
        </w:rPr>
        <w:t>W I T N E S S E T H:</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WHEREAS, </w:t>
      </w:r>
      <w:r>
        <w:rPr>
          <w:rFonts w:ascii="Times" w:hAnsi="Times"/>
          <w:caps/>
          <w:sz w:val="22"/>
        </w:rPr>
        <w:t>Georgia Power Company</w:t>
      </w:r>
      <w:r>
        <w:rPr>
          <w:sz w:val="22"/>
        </w:rPr>
        <w:t xml:space="preserve">, a </w:t>
      </w:r>
      <w:r>
        <w:rPr>
          <w:strike/>
          <w:sz w:val="22"/>
        </w:rPr>
        <w:t>_____________________</w:t>
      </w:r>
      <w:r>
        <w:rPr>
          <w:b/>
          <w:sz w:val="22"/>
          <w:u w:val="single"/>
        </w:rPr>
        <w:t>Georgia corporation</w:t>
      </w:r>
      <w:r>
        <w:rPr>
          <w:sz w:val="22"/>
        </w:rPr>
        <w:t xml:space="preserve">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rPr>
        <w:t xml:space="preserve"> </w:t>
      </w:r>
      <w:r>
        <w:rPr>
          <w:sz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WHEREAS, Guarantor will directly or indirectly benefit from the transactions to be entered into between Enron and Counterparty;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NOW THEREFORE, in consideration of Counterparty entering into the Contract, Guarantor hereby covenants and agrees as follows: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bidi w:val="0"/>
        <w:spacing w:lineRule="exact" w:line="240" w:before="240" w:after="0"/>
        <w:rPr>
          <w:rFonts w:ascii="Times New Roman" w:hAnsi="Times New Roman"/>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t>(b)  The aggregate amount covered by this Guaranty shall not exceed U.S. $15,000,000.</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2.  </w:t>
      </w:r>
      <w:r>
        <w:rPr>
          <w:sz w:val="22"/>
          <w:u w:val="single"/>
        </w:rPr>
        <w:t>DEMANDS AND NOTICE</w:t>
      </w:r>
      <w:r>
        <w:rPr>
          <w:sz w:val="22"/>
        </w:rPr>
        <w:t>.  Upon the occurrence and during the continuance of an Event of Default or Termination Event, as may be defined in any Contract,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widowControl/>
        <w:bidi w:val="0"/>
        <w:spacing w:lineRule="atLeast" w:line="240"/>
        <w:ind w:firstLine="720" w:start="0" w:end="0"/>
        <w:jc w:val="both"/>
        <w:rPr>
          <w:sz w:val="22"/>
        </w:rPr>
      </w:pPr>
      <w:r>
        <w:rPr>
          <w:sz w:val="22"/>
        </w:rPr>
      </w:r>
    </w:p>
    <w:p>
      <w:pPr>
        <w:pStyle w:val="Normal"/>
        <w:keepNext w:val="true"/>
        <w:widowControl/>
        <w:bidi w:val="0"/>
        <w:spacing w:lineRule="atLeast" w:line="240"/>
        <w:ind w:firstLine="720" w:start="0" w:end="0"/>
        <w:jc w:val="both"/>
        <w:rPr>
          <w:sz w:val="22"/>
        </w:rPr>
      </w:pPr>
      <w:r>
        <w:rPr>
          <w:sz w:val="22"/>
        </w:rPr>
        <w:t xml:space="preserve">3.  </w:t>
      </w:r>
      <w:r>
        <w:rPr>
          <w:sz w:val="22"/>
          <w:u w:val="single"/>
        </w:rPr>
        <w:t>REPRESENTATIONS AND WARRANTIES</w:t>
      </w:r>
      <w:r>
        <w:rPr>
          <w:sz w:val="22"/>
        </w:rPr>
        <w:t>.  Guarantor represents and warrants that:</w:t>
      </w:r>
    </w:p>
    <w:p>
      <w:pPr>
        <w:pStyle w:val="Normal"/>
        <w:keepNext w:val="true"/>
        <w:widowControl/>
        <w:bidi w:val="0"/>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bidi w:val="0"/>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bidi w:val="0"/>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bidi w:val="0"/>
        <w:spacing w:lineRule="exact" w:line="240"/>
        <w:ind w:hanging="0"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widowControl/>
              <w:tabs>
                <w:tab w:val="clear" w:pos="720"/>
              </w:tabs>
              <w:bidi w:val="0"/>
              <w:spacing w:lineRule="atLeast" w:line="240"/>
              <w:ind w:hanging="0" w:start="0" w:end="0"/>
              <w:jc w:val="start"/>
              <w:rPr/>
            </w:pPr>
            <w:r>
              <w:rPr>
                <w:color w:val="000000"/>
                <w:sz w:val="22"/>
              </w:rPr>
              <w:t>To Counterparty:</w:t>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color w:val="000000"/>
                <w:sz w:val="22"/>
              </w:rPr>
              <w:t>Georgia Power Company</w:t>
            </w:r>
          </w:p>
        </w:tc>
        <w:tc>
          <w:tcPr>
            <w:tcW w:w="1530" w:type="dxa"/>
            <w:tcBorders/>
          </w:tcPr>
          <w:p>
            <w:pPr>
              <w:pStyle w:val="Normal"/>
              <w:keepNext w:val="true"/>
              <w:widowControl/>
              <w:tabs>
                <w:tab w:val="clear" w:pos="720"/>
              </w:tabs>
              <w:bidi w:val="0"/>
              <w:spacing w:lineRule="atLeast" w:line="240"/>
              <w:ind w:hanging="0" w:start="0" w:end="0"/>
              <w:jc w:val="start"/>
              <w:rPr/>
            </w:pPr>
            <w:r>
              <w:rPr>
                <w:color w:val="000000"/>
                <w:sz w:val="22"/>
              </w:rPr>
              <w:t>To Guarantor:</w:t>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color w:val="000000"/>
                <w:sz w:val="22"/>
              </w:rPr>
              <w:t>Enron Corp.</w:t>
            </w:r>
          </w:p>
        </w:tc>
      </w:tr>
      <w:tr>
        <w:trPr>
          <w:cantSplit w:val="true"/>
        </w:trPr>
        <w:tc>
          <w:tcPr>
            <w:tcW w:w="1908" w:type="dxa"/>
            <w:tcBorders/>
          </w:tcPr>
          <w:p>
            <w:pPr>
              <w:pStyle w:val="Normal"/>
              <w:keepNext w:val="true"/>
              <w:widowControl/>
              <w:tabs>
                <w:tab w:val="clear" w:pos="720"/>
              </w:tabs>
              <w:bidi w:val="0"/>
              <w:spacing w:lineRule="atLeast" w:line="240"/>
              <w:ind w:hanging="0" w:start="0" w:end="0"/>
              <w:jc w:val="start"/>
              <w:rPr>
                <w:color w:val="000000"/>
                <w:sz w:val="22"/>
              </w:rPr>
            </w:pPr>
            <w:r>
              <w:rPr>
                <w:color w:val="000000"/>
                <w:sz w:val="22"/>
              </w:rPr>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color w:val="000000"/>
                <w:sz w:val="22"/>
              </w:rPr>
              <w:t xml:space="preserve"> </w:t>
            </w:r>
            <w:r>
              <w:rPr>
                <w:strike/>
                <w:color w:val="000000"/>
                <w:sz w:val="22"/>
              </w:rPr>
              <w:t>270 Peachtree Street, Suite 2000</w:t>
            </w:r>
            <w:r>
              <w:rPr>
                <w:color w:val="000000"/>
                <w:sz w:val="22"/>
              </w:rPr>
              <w:t xml:space="preserve"> </w:t>
            </w:r>
            <w:r>
              <w:rPr>
                <w:b/>
                <w:color w:val="000000"/>
                <w:sz w:val="22"/>
                <w:u w:val="single"/>
              </w:rPr>
              <w:t>c/o Southern Company Services, Inc.</w:t>
            </w:r>
          </w:p>
        </w:tc>
        <w:tc>
          <w:tcPr>
            <w:tcW w:w="1530" w:type="dxa"/>
            <w:tcBorders/>
          </w:tcPr>
          <w:p>
            <w:pPr>
              <w:pStyle w:val="Normal"/>
              <w:keepNext w:val="true"/>
              <w:widowControl/>
              <w:tabs>
                <w:tab w:val="clear" w:pos="720"/>
              </w:tabs>
              <w:bidi w:val="0"/>
              <w:spacing w:lineRule="atLeast" w:line="240"/>
              <w:ind w:hanging="0" w:start="0" w:end="0"/>
              <w:jc w:val="start"/>
              <w:rPr>
                <w:color w:val="000000"/>
                <w:sz w:val="22"/>
              </w:rPr>
            </w:pPr>
            <w:r>
              <w:rPr>
                <w:color w:val="000000"/>
                <w:sz w:val="22"/>
              </w:rPr>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t>1400 Smith Street</w:t>
            </w:r>
          </w:p>
          <w:p>
            <w:pPr>
              <w:pStyle w:val="Normal"/>
              <w:keepNext w:val="true"/>
              <w:widowControl/>
              <w:tabs>
                <w:tab w:val="clear" w:pos="720"/>
                <w:tab w:val="right" w:pos="2988" w:leader="none"/>
              </w:tabs>
              <w:bidi w:val="0"/>
              <w:spacing w:lineRule="atLeast" w:line="240"/>
              <w:ind w:hanging="0" w:start="0" w:end="0"/>
              <w:jc w:val="start"/>
              <w:rPr/>
            </w:pPr>
            <w:r>
              <w:rPr>
                <w:strike/>
                <w:color w:val="000000"/>
                <w:sz w:val="22"/>
              </w:rPr>
              <w:t xml:space="preserve">  </w:t>
            </w:r>
            <w:r>
              <w:rPr>
                <w:strike/>
                <w:color w:val="000000"/>
                <w:sz w:val="22"/>
              </w:rPr>
              <w:t xml:space="preserve">Atlanta, Georgia 30303  </w:t>
            </w:r>
            <w:r>
              <w:rPr>
                <w:color w:val="000000"/>
                <w:sz w:val="22"/>
              </w:rPr>
              <w:t xml:space="preserve"> Houston, Texas 77002</w:t>
            </w:r>
          </w:p>
        </w:tc>
      </w:tr>
      <w:tr>
        <w:trPr>
          <w:cantSplit w:val="true"/>
        </w:trPr>
        <w:tc>
          <w:tcPr>
            <w:tcW w:w="1908" w:type="dxa"/>
            <w:tcBorders/>
          </w:tcPr>
          <w:p>
            <w:pPr>
              <w:pStyle w:val="Normal"/>
              <w:keepNext w:val="true"/>
              <w:keepLines/>
              <w:widowControl/>
              <w:bidi w:val="0"/>
              <w:spacing w:lineRule="atLeast" w:line="240"/>
              <w:ind w:hanging="0" w:start="0" w:end="0"/>
              <w:jc w:val="start"/>
              <w:rPr>
                <w:color w:val="000000"/>
                <w:sz w:val="22"/>
              </w:rPr>
            </w:pPr>
            <w:r>
              <w:rPr>
                <w:color w:val="000000"/>
                <w:sz w:val="22"/>
              </w:rPr>
            </w:r>
          </w:p>
        </w:tc>
        <w:tc>
          <w:tcPr>
            <w:tcW w:w="3329" w:type="dxa"/>
            <w:tcBorders/>
          </w:tcPr>
          <w:p>
            <w:pPr>
              <w:pStyle w:val="Normal"/>
              <w:keepNext w:val="true"/>
              <w:keepLines/>
              <w:widowControl/>
              <w:tabs>
                <w:tab w:val="clear" w:pos="720"/>
                <w:tab w:val="left" w:pos="3132" w:leader="none"/>
              </w:tabs>
              <w:bidi w:val="0"/>
              <w:spacing w:lineRule="atLeast" w:line="240"/>
              <w:ind w:hanging="0" w:start="0" w:end="0"/>
              <w:jc w:val="start"/>
              <w:rPr>
                <w:strike/>
                <w:color w:val="000000"/>
                <w:sz w:val="22"/>
              </w:rPr>
            </w:pPr>
            <w:r>
              <w:rPr>
                <w:color w:val="000000"/>
                <w:sz w:val="22"/>
              </w:rPr>
              <w:t xml:space="preserve"> </w:t>
            </w:r>
            <w:r>
              <w:rPr>
                <w:strike/>
                <w:color w:val="000000"/>
                <w:sz w:val="22"/>
              </w:rPr>
              <w:t xml:space="preserve">Attn.: </w:t>
            </w:r>
          </w:p>
          <w:p>
            <w:pPr>
              <w:pStyle w:val="Normal"/>
              <w:keepNext w:val="true"/>
              <w:keepLines/>
              <w:widowControl/>
              <w:tabs>
                <w:tab w:val="clear" w:pos="720"/>
                <w:tab w:val="left" w:pos="3132" w:leader="none"/>
              </w:tabs>
              <w:bidi w:val="0"/>
              <w:spacing w:lineRule="atLeast" w:line="240"/>
              <w:ind w:hanging="0" w:start="0" w:end="0"/>
              <w:jc w:val="start"/>
              <w:rPr>
                <w:b/>
                <w:color w:val="000000"/>
                <w:sz w:val="22"/>
                <w:u w:val="single"/>
              </w:rPr>
            </w:pPr>
            <w:r>
              <w:rPr>
                <w:b/>
                <w:color w:val="000000"/>
                <w:sz w:val="22"/>
                <w:u w:val="single"/>
              </w:rPr>
              <w:t>600 North 18</w:t>
            </w:r>
            <w:r>
              <w:rPr>
                <w:b/>
                <w:color w:val="000000"/>
                <w:sz w:val="22"/>
                <w:u w:val="single"/>
                <w:vertAlign w:val="superscript"/>
              </w:rPr>
              <w:t>th</w:t>
            </w:r>
            <w:r>
              <w:rPr>
                <w:color w:val="000000"/>
                <w:sz w:val="22"/>
              </w:rPr>
              <w:t xml:space="preserve"> </w:t>
            </w:r>
            <w:r>
              <w:rPr>
                <w:b/>
                <w:color w:val="000000"/>
                <w:sz w:val="22"/>
                <w:u w:val="single"/>
              </w:rPr>
              <w:t>Street</w:t>
            </w:r>
          </w:p>
          <w:p>
            <w:pPr>
              <w:pStyle w:val="Normal"/>
              <w:keepNext w:val="true"/>
              <w:keepLines/>
              <w:widowControl/>
              <w:tabs>
                <w:tab w:val="clear" w:pos="720"/>
                <w:tab w:val="left" w:pos="3132" w:leader="none"/>
              </w:tabs>
              <w:bidi w:val="0"/>
              <w:spacing w:lineRule="atLeast" w:line="240"/>
              <w:ind w:hanging="0" w:start="0" w:end="0"/>
              <w:jc w:val="start"/>
              <w:rPr/>
            </w:pPr>
            <w:r>
              <w:rPr>
                <w:b/>
                <w:color w:val="000000"/>
                <w:sz w:val="22"/>
                <w:u w:val="single"/>
              </w:rPr>
              <w:t>Mail Code GS 8259</w:t>
            </w:r>
          </w:p>
        </w:tc>
        <w:tc>
          <w:tcPr>
            <w:tcW w:w="1530" w:type="dxa"/>
            <w:tcBorders/>
          </w:tcPr>
          <w:p>
            <w:pPr>
              <w:pStyle w:val="Normal"/>
              <w:keepNext w:val="true"/>
              <w:keepLines/>
              <w:widowControl/>
              <w:bidi w:val="0"/>
              <w:spacing w:lineRule="atLeast" w:line="240"/>
              <w:ind w:hanging="0" w:start="0" w:end="0"/>
              <w:jc w:val="start"/>
              <w:rPr>
                <w:color w:val="000000"/>
                <w:sz w:val="22"/>
              </w:rPr>
            </w:pPr>
            <w:r>
              <w:rPr>
                <w:color w:val="000000"/>
                <w:sz w:val="22"/>
              </w:rPr>
            </w:r>
          </w:p>
        </w:tc>
        <w:tc>
          <w:tcPr>
            <w:tcW w:w="3420" w:type="dxa"/>
            <w:tcBorders/>
          </w:tcPr>
          <w:p>
            <w:pPr>
              <w:pStyle w:val="Normal"/>
              <w:keepNext w:val="true"/>
              <w:keepLines/>
              <w:widowControl/>
              <w:tabs>
                <w:tab w:val="clear" w:pos="720"/>
                <w:tab w:val="right" w:pos="2988" w:leader="none"/>
              </w:tabs>
              <w:bidi w:val="0"/>
              <w:spacing w:lineRule="atLeast" w:line="240"/>
              <w:ind w:hanging="0" w:start="0" w:end="0"/>
              <w:jc w:val="start"/>
              <w:rPr/>
            </w:pPr>
            <w:r>
              <w:rPr>
                <w:color w:val="000000"/>
                <w:sz w:val="22"/>
              </w:rPr>
              <w:t>Attn.:  Vice President, Finance and Treasurer</w:t>
            </w:r>
          </w:p>
        </w:tc>
      </w:tr>
      <w:tr>
        <w:trPr>
          <w:cantSplit w:val="true"/>
        </w:trPr>
        <w:tc>
          <w:tcPr>
            <w:tcW w:w="1908" w:type="dxa"/>
            <w:tcBorders/>
          </w:tcPr>
          <w:p>
            <w:pPr>
              <w:pStyle w:val="Normal"/>
              <w:keepNext w:val="true"/>
              <w:widowControl/>
              <w:tabs>
                <w:tab w:val="clear" w:pos="720"/>
              </w:tabs>
              <w:bidi w:val="0"/>
              <w:spacing w:lineRule="atLeast" w:line="240"/>
              <w:ind w:hanging="0" w:start="0" w:end="0"/>
              <w:jc w:val="start"/>
              <w:rPr>
                <w:color w:val="000000"/>
                <w:sz w:val="22"/>
              </w:rPr>
            </w:pPr>
            <w:r>
              <w:rPr>
                <w:color w:val="000000"/>
                <w:sz w:val="22"/>
              </w:rPr>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b/>
                <w:color w:val="000000"/>
                <w:sz w:val="22"/>
                <w:u w:val="single"/>
              </w:rPr>
            </w:pPr>
            <w:r>
              <w:rPr>
                <w:color w:val="000000"/>
                <w:sz w:val="22"/>
              </w:rPr>
              <w:t xml:space="preserve"> </w:t>
            </w:r>
            <w:r>
              <w:rPr>
                <w:strike/>
                <w:color w:val="000000"/>
                <w:sz w:val="22"/>
              </w:rPr>
              <w:t>Fax No.:</w:t>
            </w:r>
            <w:r>
              <w:rPr>
                <w:color w:val="000000"/>
                <w:sz w:val="22"/>
              </w:rPr>
              <w:t xml:space="preserve"> </w:t>
            </w:r>
            <w:r>
              <w:rPr>
                <w:b/>
                <w:color w:val="000000"/>
                <w:sz w:val="22"/>
                <w:u w:val="single"/>
              </w:rPr>
              <w:t>Birmingham, Alabama  35242</w:t>
            </w:r>
          </w:p>
          <w:p>
            <w:pPr>
              <w:pStyle w:val="Normal"/>
              <w:keepNext w:val="true"/>
              <w:widowControl/>
              <w:tabs>
                <w:tab w:val="clear" w:pos="720"/>
                <w:tab w:val="left" w:pos="3132" w:leader="none"/>
              </w:tabs>
              <w:bidi w:val="0"/>
              <w:spacing w:lineRule="atLeast" w:line="240"/>
              <w:ind w:hanging="0" w:start="0" w:end="0"/>
              <w:jc w:val="start"/>
              <w:rPr>
                <w:b/>
                <w:color w:val="000000"/>
                <w:sz w:val="22"/>
                <w:u w:val="single"/>
              </w:rPr>
            </w:pPr>
            <w:r>
              <w:rPr>
                <w:b/>
                <w:color w:val="000000"/>
                <w:sz w:val="22"/>
                <w:u w:val="single"/>
              </w:rPr>
              <w:t>Attn.:  Manager, Risk Control</w:t>
            </w:r>
          </w:p>
          <w:p>
            <w:pPr>
              <w:pStyle w:val="Normal"/>
              <w:keepNext w:val="true"/>
              <w:widowControl/>
              <w:tabs>
                <w:tab w:val="clear" w:pos="720"/>
                <w:tab w:val="left" w:pos="3132" w:leader="none"/>
              </w:tabs>
              <w:bidi w:val="0"/>
              <w:spacing w:lineRule="atLeast" w:line="240"/>
              <w:ind w:hanging="0" w:start="0" w:end="0"/>
              <w:jc w:val="start"/>
              <w:rPr/>
            </w:pPr>
            <w:r>
              <w:rPr>
                <w:b/>
                <w:color w:val="000000"/>
                <w:sz w:val="22"/>
                <w:u w:val="single"/>
              </w:rPr>
              <w:t>Fax:  (205) 257-5858</w:t>
            </w:r>
          </w:p>
        </w:tc>
        <w:tc>
          <w:tcPr>
            <w:tcW w:w="1530" w:type="dxa"/>
            <w:tcBorders/>
          </w:tcPr>
          <w:p>
            <w:pPr>
              <w:pStyle w:val="Normal"/>
              <w:keepNext w:val="true"/>
              <w:widowControl/>
              <w:tabs>
                <w:tab w:val="clear" w:pos="720"/>
              </w:tabs>
              <w:bidi w:val="0"/>
              <w:spacing w:lineRule="atLeast" w:line="240"/>
              <w:ind w:hanging="0" w:start="0" w:end="0"/>
              <w:jc w:val="start"/>
              <w:rPr>
                <w:color w:val="000000"/>
                <w:sz w:val="22"/>
              </w:rPr>
            </w:pPr>
            <w:r>
              <w:rPr>
                <w:color w:val="000000"/>
                <w:sz w:val="22"/>
              </w:rPr>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color w:val="000000"/>
                <w:sz w:val="22"/>
              </w:rPr>
              <w:t>Fax No.:  (713) 646-3422</w:t>
            </w:r>
          </w:p>
        </w:tc>
      </w:tr>
    </w:tbl>
    <w:p>
      <w:pPr>
        <w:pStyle w:val="Normal"/>
        <w:widowControl/>
        <w:tabs>
          <w:tab w:val="clear" w:pos="720"/>
          <w:tab w:val="left" w:pos="2880" w:leader="none"/>
          <w:tab w:val="left" w:pos="6480" w:leader="none"/>
        </w:tabs>
        <w:bidi w:val="0"/>
        <w:spacing w:lineRule="exact" w:line="240"/>
        <w:ind w:hanging="0" w:start="720" w:end="0"/>
        <w:jc w:val="both"/>
        <w:rPr>
          <w:sz w:val="22"/>
        </w:rPr>
      </w:pPr>
      <w:r>
        <w:rPr>
          <w:sz w:val="22"/>
        </w:rPr>
      </w:r>
    </w:p>
    <w:p>
      <w:pPr>
        <w:pStyle w:val="Normal"/>
        <w:widowControl/>
        <w:bidi w:val="0"/>
        <w:spacing w:lineRule="atLeast" w:line="240"/>
        <w:ind w:hanging="0" w:start="0" w:end="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widowControl/>
        <w:bidi w:val="0"/>
        <w:spacing w:lineRule="exact" w:line="240"/>
        <w:ind w:hanging="0" w:start="720" w:end="0"/>
        <w:jc w:val="both"/>
        <w:rPr>
          <w:sz w:val="22"/>
        </w:rPr>
      </w:pPr>
      <w:r>
        <w:rPr>
          <w:sz w:val="22"/>
        </w:rPr>
      </w:r>
    </w:p>
    <w:p>
      <w:pPr>
        <w:pStyle w:val="Normal"/>
        <w:widowControl/>
        <w:bidi w:val="0"/>
        <w:spacing w:lineRule="atLeast" w:line="240"/>
        <w:ind w:firstLine="720" w:start="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IN WITNESS WHEREOF, the Guarantor has executed this Guaranty on </w:t>
        <w:tab/>
      </w:r>
      <w:r>
        <w:rPr>
          <w:sz w:val="22"/>
          <w:u w:val="single"/>
        </w:rPr>
        <w:tab/>
        <w:tab/>
      </w:r>
      <w:r>
        <w:rPr>
          <w:sz w:val="22"/>
        </w:rPr>
        <w:t>, 2001, but it is effective as of the Effective Date.</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hanging="0" w:start="5040" w:end="0"/>
        <w:jc w:val="both"/>
        <w:rPr>
          <w:b/>
          <w:sz w:val="22"/>
        </w:rPr>
      </w:pPr>
      <w:r>
        <w:rPr>
          <w:b/>
          <w:sz w:val="22"/>
        </w:rPr>
        <w:t>ENRON CORP.</w:t>
      </w:r>
    </w:p>
    <w:p>
      <w:pPr>
        <w:pStyle w:val="Normal"/>
        <w:widowControl/>
        <w:bidi w:val="0"/>
        <w:spacing w:lineRule="atLeast" w:line="240"/>
        <w:ind w:hanging="0" w:start="5040" w:end="0"/>
        <w:jc w:val="both"/>
        <w:rPr>
          <w:b/>
          <w:sz w:val="22"/>
        </w:rPr>
      </w:pPr>
      <w:r>
        <w:rPr>
          <w:b/>
          <w:sz w:val="22"/>
        </w:rPr>
      </w:r>
    </w:p>
    <w:p>
      <w:pPr>
        <w:pStyle w:val="Normal"/>
        <w:widowControl/>
        <w:bidi w:val="0"/>
        <w:spacing w:lineRule="atLeast" w:line="240"/>
        <w:ind w:hanging="0" w:start="5040" w:end="0"/>
        <w:jc w:val="both"/>
        <w:rPr>
          <w:b/>
          <w:sz w:val="22"/>
        </w:rPr>
      </w:pPr>
      <w:r>
        <w:rPr>
          <w:b/>
          <w:sz w:val="22"/>
        </w:rPr>
      </w:r>
    </w:p>
    <w:p>
      <w:pPr>
        <w:pStyle w:val="Normal"/>
        <w:widowControl/>
        <w:bidi w:val="0"/>
        <w:spacing w:lineRule="atLeast" w:line="240"/>
        <w:ind w:hanging="0" w:start="5040" w:end="0"/>
        <w:jc w:val="both"/>
        <w:rPr>
          <w:sz w:val="22"/>
        </w:rPr>
      </w:pPr>
      <w:r>
        <w:rPr>
          <w:sz w:val="22"/>
        </w:rPr>
        <w:t xml:space="preserve">By:  </w:t>
      </w:r>
      <w:r>
        <w:rPr>
          <w:sz w:val="22"/>
          <w:u w:val="single"/>
        </w:rPr>
        <w:tab/>
        <w:tab/>
        <w:tab/>
        <w:tab/>
        <w:tab/>
        <w:tab/>
      </w:r>
    </w:p>
    <w:p>
      <w:pPr>
        <w:pStyle w:val="Normal"/>
        <w:widowControl/>
        <w:bidi w:val="0"/>
        <w:spacing w:lineRule="atLeast" w:line="240"/>
        <w:ind w:hanging="0" w:start="5040" w:end="0"/>
        <w:jc w:val="both"/>
        <w:rPr>
          <w:sz w:val="22"/>
        </w:rPr>
      </w:pPr>
      <w:r>
        <w:rPr>
          <w:sz w:val="22"/>
        </w:rPr>
        <w:t xml:space="preserve">Name:  </w:t>
      </w:r>
      <w:r>
        <w:rPr>
          <w:sz w:val="22"/>
          <w:u w:val="single"/>
        </w:rPr>
        <w:tab/>
        <w:tab/>
        <w:tab/>
        <w:tab/>
        <w:tab/>
        <w:tab/>
      </w:r>
    </w:p>
    <w:p>
      <w:pPr>
        <w:pStyle w:val="Normal"/>
        <w:widowControl/>
        <w:bidi w:val="0"/>
        <w:spacing w:lineRule="atLeast" w:line="240"/>
        <w:ind w:hanging="0" w:start="5040" w:end="0"/>
        <w:jc w:val="both"/>
        <w:rPr>
          <w:sz w:val="22"/>
        </w:rPr>
      </w:pPr>
      <w:r>
        <w:rPr>
          <w:sz w:val="22"/>
        </w:rPr>
        <w:t xml:space="preserve">Title:  </w:t>
      </w:r>
      <w:r>
        <w:rPr>
          <w:sz w:val="22"/>
          <w:u w:val="single"/>
        </w:rPr>
        <w:tab/>
        <w:tab/>
        <w:tab/>
        <w:tab/>
        <w:tab/>
        <w:tab/>
      </w:r>
    </w:p>
    <w:p>
      <w:pPr>
        <w:pStyle w:val="Normal"/>
        <w:widowControl/>
        <w:bidi w:val="0"/>
        <w:ind w:hanging="0" w:start="0" w:end="0"/>
        <w:jc w:val="start"/>
        <w:rPr/>
      </w:pPr>
      <w:r>
        <w:rPr/>
      </w:r>
    </w:p>
    <w:sectPr>
      <w:headerReference w:type="default" r:id="rId19"/>
      <w:headerReference w:type="first" r:id="rId20"/>
      <w:footerReference w:type="even" r:id="rId21"/>
      <w:footerReference w:type="default" r:id="rId22"/>
      <w:footerReference w:type="first" r:id="rId23"/>
      <w:type w:val="nextPage"/>
      <w:pgSz w:w="12240" w:h="15840"/>
      <w:pgMar w:left="1080" w:right="1080" w:gutter="0" w:header="720" w:top="1080" w:footer="720" w:bottom="108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 w:name="Times">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/mnt/main-storage/datasets/enron-docs/doc/3.645701.G0CXKMSP5SWY4A1FITSNHES0MCKLEEO0B.3.DOC</w:t>
    </w:r>
    <w:r>
      <w:rPr>
        <w:sz w:val="12"/>
      </w:rPr>
      <w:fldChar w:fldCharType="end"/>
    </w:r>
  </w:p>
  <w:p>
    <w:pPr>
      <w:pStyle w:val="Footer"/>
      <w:bidi w:val="0"/>
      <w:jc w:val="start"/>
      <w:rPr>
        <w:rFonts w:ascii="Times New Roman" w:hAnsi="Times New Roman"/>
        <w:sz w:val="8"/>
      </w:rPr>
    </w:pPr>
    <w:r>
      <w:rPr>
        <w:sz w:val="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/mnt/main-storage/datasets/enron-docs/doc/3.645701.G0CXKMSP5SWY4A1FITSNHES0MCKLEEO0B.3.DOC</w:t>
    </w:r>
    <w:r>
      <w:rPr>
        <w:sz w:val="12"/>
      </w:rPr>
      <w:fldChar w:fldCharType="end"/>
    </w:r>
  </w:p>
  <w:p>
    <w:pPr>
      <w:pStyle w:val="Footer"/>
      <w:bidi w:val="0"/>
      <w:jc w:val="start"/>
      <w:rPr>
        <w:rFonts w:ascii="Times New Roman" w:hAnsi="Times New Roman"/>
        <w:sz w:val="8"/>
      </w:rPr>
    </w:pPr>
    <w:r>
      <w:rPr>
        <w:sz w:val="8"/>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/mnt/main-storage/datasets/enron-docs/doc/3.645701.G0CXKMSP5SWY4A1FITSNHES0MCKLEEO0B.3.DOC</w:t>
    </w:r>
    <w:r>
      <w:rPr>
        <w:sz w:val="12"/>
      </w:rPr>
      <w:fldChar w:fldCharType="end"/>
    </w:r>
  </w:p>
  <w:p>
    <w:pPr>
      <w:pStyle w:val="Footer"/>
      <w:bidi w:val="0"/>
      <w:jc w:val="center"/>
      <w:rPr>
        <w:rFonts w:ascii="Times New Roman" w:hAnsi="Times New Roman"/>
        <w:sz w:val="8"/>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/mnt/main-storage/datasets/enron-docs/doc/3.645701.G0CXKMSP5SWY4A1FITSNHES0MCKLEEO0B.3.DOC</w:t>
    </w:r>
    <w:r>
      <w:rPr>
        <w:sz w:val="12"/>
      </w:rPr>
      <w:fldChar w:fldCharType="end"/>
    </w:r>
  </w:p>
  <w:p>
    <w:pPr>
      <w:pStyle w:val="Footer"/>
      <w:bidi w:val="0"/>
      <w:jc w:val="center"/>
      <w:rPr>
        <w:rFonts w:ascii="Times New Roman" w:hAnsi="Times New Roman"/>
        <w:sz w:val="8"/>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sz w:val="12"/>
      </w:rPr>
    </w:pPr>
    <w:r>
      <w:rPr>
        <w:rStyle w:val="PageNumber"/>
        <w:sz w:val="12"/>
        <w:lang w:val="en-US" w:eastAsia="en-US"/>
      </w:rPr>
      <w:fldChar w:fldCharType="begin"/>
    </w:r>
    <w:r>
      <w:rPr>
        <w:rStyle w:val="PageNumber"/>
        <w:sz w:val="12"/>
        <w:lang w:val="en-US" w:eastAsia="en-US"/>
      </w:rPr>
      <w:instrText xml:space="preserve"> FILENAME \p </w:instrText>
    </w:r>
    <w:r>
      <w:rPr>
        <w:rStyle w:val="PageNumber"/>
        <w:sz w:val="12"/>
        <w:lang w:val="en-US" w:eastAsia="en-US"/>
      </w:rPr>
      <w:fldChar w:fldCharType="separate"/>
    </w:r>
    <w:r>
      <w:rPr>
        <w:rStyle w:val="PageNumber"/>
        <w:sz w:val="12"/>
        <w:lang w:val="en-US" w:eastAsia="en-US"/>
      </w:rPr>
      <w:t>/mnt/main-storage/datasets/enron-docs/doc/3.645701.G0CXKMSP5SWY4A1FITSNHES0MCKLEEO0B.3.DOC</w:t>
    </w:r>
    <w:r>
      <w:rPr>
        <w:rStyle w:val="PageNumber"/>
        <w:sz w:val="12"/>
        <w:lang w:val="en-US" w:eastAsia="en-US"/>
      </w:rPr>
      <w:fldChar w:fldCharType="end"/>
    </w:r>
    <w:r>
      <mc:AlternateContent>
        <mc:Choice Requires="wps">
          <w:drawing>
            <wp:anchor behindDoc="0" distT="0" distB="0" distL="0" distR="0" simplePos="0" locked="0" layoutInCell="0" allowOverlap="1" relativeHeight="14">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13</w:t>
                          </w:r>
                          <w:r>
                            <w:rPr>
                              <w:rStyle w:val="PageNumber"/>
                              <w:sz w:val="20"/>
                              <w:lang w:val="en-CA" w:eastAsia="en-CA"/>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13</w:t>
                    </w:r>
                    <w:r>
                      <w:rPr>
                        <w:rStyle w:val="PageNumber"/>
                        <w:sz w:val="20"/>
                        <w:lang w:val="en-CA" w:eastAsia="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sz w:val="12"/>
      </w:rPr>
    </w:pPr>
    <w:r>
      <w:rPr>
        <w:rStyle w:val="PageNumber"/>
        <w:sz w:val="12"/>
        <w:lang w:val="en-US" w:eastAsia="en-US"/>
      </w:rPr>
      <w:fldChar w:fldCharType="begin"/>
    </w:r>
    <w:r>
      <w:rPr>
        <w:rStyle w:val="PageNumber"/>
        <w:sz w:val="12"/>
        <w:lang w:val="en-US" w:eastAsia="en-US"/>
      </w:rPr>
      <w:instrText xml:space="preserve"> FILENAME \p </w:instrText>
    </w:r>
    <w:r>
      <w:rPr>
        <w:rStyle w:val="PageNumber"/>
        <w:sz w:val="12"/>
        <w:lang w:val="en-US" w:eastAsia="en-US"/>
      </w:rPr>
      <w:fldChar w:fldCharType="separate"/>
    </w:r>
    <w:r>
      <w:rPr>
        <w:rStyle w:val="PageNumber"/>
        <w:sz w:val="12"/>
        <w:lang w:val="en-US" w:eastAsia="en-US"/>
      </w:rPr>
      <w:t>/mnt/main-storage/datasets/enron-docs/doc/3.645701.G0CXKMSP5SWY4A1FITSNHES0MCKLEEO0B.3.DOC</w:t>
    </w:r>
    <w:r>
      <w:rPr>
        <w:rStyle w:val="PageNumber"/>
        <w:sz w:val="12"/>
        <w:lang w:val="en-US" w:eastAsia="en-US"/>
      </w:rPr>
      <w:fldChar w:fldCharType="end"/>
    </w:r>
    <w:r>
      <mc:AlternateContent>
        <mc:Choice Requires="wps">
          <w:drawing>
            <wp:anchor behindDoc="0" distT="0" distB="0" distL="0" distR="0" simplePos="0" locked="0" layoutInCell="0" allowOverlap="1" relativeHeight="14">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13</w:t>
                          </w:r>
                          <w:r>
                            <w:rPr>
                              <w:rStyle w:val="PageNumber"/>
                              <w:sz w:val="20"/>
                              <w:lang w:val="en-CA" w:eastAsia="en-CA"/>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13</w:t>
                    </w:r>
                    <w:r>
                      <w:rPr>
                        <w:rStyle w:val="PageNumber"/>
                        <w:sz w:val="20"/>
                        <w:lang w:val="en-CA" w:eastAsia="en-CA"/>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/mnt/main-storage/datasets/enron-docs/doc/3.645701.G0CXKMSP5SWY4A1FITSNHES0MCKLEEO0B.3.DOC</w:t>
    </w:r>
    <w:r>
      <w:rPr>
        <w:sz w:val="12"/>
      </w:rPr>
      <w:fldChar w:fldCharType="end"/>
    </w:r>
  </w:p>
  <w:p>
    <w:pPr>
      <w:pStyle w:val="Footer"/>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w:t>
    </w:r>
    <w:r>
      <w:rPr>
        <w:rStyle w:val="PageNumber"/>
        <w:lang w:val="en-CA" w:eastAsia="en-C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/mnt/main-storage/datasets/enron-docs/doc/3.645701.G0CXKMSP5SWY4A1FITSNHES0MCKLEEO0B.3.DOC</w:t>
    </w:r>
    <w:r>
      <w:rPr>
        <w:sz w:val="12"/>
      </w:rPr>
      <w:fldChar w:fldCharType="end"/>
    </w:r>
  </w:p>
  <w:p>
    <w:pPr>
      <w:pStyle w:val="Footer"/>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w:t>
    </w:r>
    <w:r>
      <w:rPr>
        <w:rStyle w:val="PageNumber"/>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/mnt/main-storage/datasets/enron-docs/doc/3.645701.G0CXKMSP5SWY4A1FITSNHES0MCKLEEO0B.3.DOC</w:t>
    </w:r>
    <w:r>
      <w:rPr>
        <w:sz w:val="12"/>
      </w:rPr>
      <w:fldChar w:fldCharType="end"/>
    </w:r>
  </w:p>
  <w:p>
    <w:pPr>
      <w:pStyle w:val="Normal"/>
      <w:widowControl/>
      <w:bidi w:val="0"/>
      <w:ind w:hanging="0" w:start="0" w:end="0"/>
      <w:jc w:val="start"/>
      <w:rPr/>
    </w:pPr>
    <w:r>
      <w:rPr/>
    </w:r>
  </w:p>
  <w:p>
    <w:pPr>
      <w:pStyle w:val="Normal"/>
      <w:widowControl/>
      <w:bidi w:val="0"/>
      <w:ind w:hanging="0" w:start="0" w:end="0"/>
      <w:jc w:val="center"/>
      <w:rPr/>
    </w:pPr>
    <w:r>
      <w:rPr/>
      <w:t>EXHIBIT A</w:t>
    </w:r>
  </w:p>
  <w:p>
    <w:pPr>
      <w:pStyle w:val="Expanded"/>
      <w:widowControl/>
      <w:bidi w:val="0"/>
      <w:spacing w:before="0" w:after="0"/>
      <w:rPr>
        <w:rFonts w:ascii="Times New Roman" w:hAnsi="Times New Roman"/>
        <w:b w:val="false"/>
        <w:caps w:val="false"/>
        <w:smallCaps w:val="false"/>
        <w:spacing w:val="0"/>
        <w:sz w:val="20"/>
      </w:rPr>
    </w:pPr>
    <w:r>
      <w:rPr>
        <w:b w:val="false"/>
        <w:caps w:val="false"/>
        <w:smallCaps w:val="false"/>
        <w:spacing w:val="0"/>
        <w:sz w:val="20"/>
      </w:rPr>
      <w:t>to Paragraph 13</w:t>
    </w:r>
  </w:p>
  <w:p>
    <w:pPr>
      <w:pStyle w:val="Normal"/>
      <w:widowControl/>
      <w:bidi w:val="0"/>
      <w:ind w:hanging="0" w:start="0" w:end="0"/>
      <w:jc w:val="center"/>
      <w:rPr/>
    </w:pPr>
    <w:r>
      <w:rPr/>
      <w:t>of Annex A</w:t>
    </w:r>
  </w:p>
  <w:p>
    <w:pPr>
      <w:pStyle w:val="Footer"/>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2</w:t>
    </w:r>
    <w:r>
      <w:rPr>
        <w:sz w:val="20"/>
        <w:lang w:val="en-CA" w:eastAsia="en-C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/mnt/main-storage/datasets/enron-docs/doc/3.645701.G0CXKMSP5SWY4A1FITSNHES0MCKLEEO0B.3.DOC</w:t>
    </w:r>
    <w:r>
      <w:rPr>
        <w:sz w:val="12"/>
      </w:rPr>
      <w:fldChar w:fldCharType="end"/>
    </w:r>
  </w:p>
  <w:p>
    <w:pPr>
      <w:pStyle w:val="Normal"/>
      <w:widowControl/>
      <w:bidi w:val="0"/>
      <w:ind w:hanging="0" w:start="0" w:end="0"/>
      <w:jc w:val="start"/>
      <w:rPr/>
    </w:pPr>
    <w:r>
      <w:rPr/>
    </w:r>
  </w:p>
  <w:p>
    <w:pPr>
      <w:pStyle w:val="Normal"/>
      <w:widowControl/>
      <w:bidi w:val="0"/>
      <w:ind w:hanging="0" w:start="0" w:end="0"/>
      <w:jc w:val="center"/>
      <w:rPr/>
    </w:pPr>
    <w:r>
      <w:rPr/>
      <w:t>EXHIBIT A</w:t>
    </w:r>
  </w:p>
  <w:p>
    <w:pPr>
      <w:pStyle w:val="Expanded"/>
      <w:widowControl/>
      <w:bidi w:val="0"/>
      <w:spacing w:before="0" w:after="0"/>
      <w:rPr>
        <w:rFonts w:ascii="Times New Roman" w:hAnsi="Times New Roman"/>
        <w:b w:val="false"/>
        <w:caps w:val="false"/>
        <w:smallCaps w:val="false"/>
        <w:spacing w:val="0"/>
        <w:sz w:val="20"/>
      </w:rPr>
    </w:pPr>
    <w:r>
      <w:rPr>
        <w:b w:val="false"/>
        <w:caps w:val="false"/>
        <w:smallCaps w:val="false"/>
        <w:spacing w:val="0"/>
        <w:sz w:val="20"/>
      </w:rPr>
      <w:t>to Paragraph 13</w:t>
    </w:r>
  </w:p>
  <w:p>
    <w:pPr>
      <w:pStyle w:val="Normal"/>
      <w:widowControl/>
      <w:bidi w:val="0"/>
      <w:ind w:hanging="0" w:start="0" w:end="0"/>
      <w:jc w:val="center"/>
      <w:rPr/>
    </w:pPr>
    <w:r>
      <w:rPr/>
      <w:t>of Annex A</w:t>
    </w:r>
  </w:p>
  <w:p>
    <w:pPr>
      <w:pStyle w:val="Footer"/>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2</w:t>
    </w:r>
    <w:r>
      <w:rPr>
        <w:sz w:val="20"/>
        <w:lang w:val="en-CA" w:eastAsia="en-C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w:cs="Tms Rmn"/>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b/>
      <w:color w:val="0000FF"/>
      <w:sz w:val="22"/>
      <w:lang w:val="en-US" w:eastAsia="en-US"/>
    </w:rPr>
  </w:style>
  <w:style w:type="paragraph" w:styleId="Heading2">
    <w:name w:val="heading 2"/>
    <w:basedOn w:val="Normal"/>
    <w:qFormat/>
    <w:pPr>
      <w:widowControl w:val="false"/>
      <w:spacing w:before="0" w:after="240"/>
      <w:ind w:firstLine="720" w:start="0" w:end="0"/>
      <w:jc w:val="both"/>
      <w:textAlignment w:val="auto"/>
    </w:pPr>
    <w:rPr>
      <w:rFonts w:ascii="Arial" w:hAnsi="Arial"/>
      <w:sz w:val="20"/>
      <w:lang w:val="en-US" w:eastAsia="en-US"/>
    </w:rPr>
  </w:style>
  <w:style w:type="paragraph" w:styleId="Heading3">
    <w:name w:val="heading 3"/>
    <w:basedOn w:val="Normal"/>
    <w:next w:val="Normal"/>
    <w:qFormat/>
    <w:pPr>
      <w:keepNext w:val="true"/>
      <w:widowControl w:val="false"/>
      <w:tabs>
        <w:tab w:val="clear" w:pos="720"/>
        <w:tab w:val="left" w:pos="9810" w:leader="none"/>
      </w:tabs>
      <w:ind w:hanging="0" w:start="-1440" w:end="0"/>
      <w:jc w:val="end"/>
      <w:textAlignment w:val="auto"/>
    </w:pPr>
    <w:rPr>
      <w:b/>
      <w:sz w:val="22"/>
      <w:lang w:val="en-US" w:eastAsia="en-US"/>
    </w:rPr>
  </w:style>
  <w:style w:type="paragraph" w:styleId="Heading4">
    <w:name w:val="heading 4"/>
    <w:basedOn w:val="Normal"/>
    <w:next w:val="Normal"/>
    <w:qFormat/>
    <w:pPr>
      <w:keepNext w:val="true"/>
      <w:widowControl w:val="false"/>
      <w:tabs>
        <w:tab w:val="clear" w:pos="720"/>
        <w:tab w:val="left" w:pos="1080" w:leader="none"/>
      </w:tabs>
      <w:spacing w:lineRule="exact" w:line="480"/>
      <w:ind w:hanging="0" w:start="0" w:end="0"/>
      <w:jc w:val="both"/>
      <w:textAlignment w:val="auto"/>
    </w:pPr>
    <w:rPr>
      <w:b/>
      <w:sz w:val="22"/>
      <w:lang w:val="en-US" w:eastAsia="en-US"/>
    </w:rPr>
  </w:style>
  <w:style w:type="paragraph" w:styleId="Heading5">
    <w:name w:val="heading 5"/>
    <w:basedOn w:val="Normal"/>
    <w:next w:val="Normal"/>
    <w:qFormat/>
    <w:pPr>
      <w:keepNext w:val="true"/>
      <w:widowControl w:val="false"/>
      <w:ind w:hanging="0" w:start="0" w:end="0"/>
      <w:jc w:val="end"/>
      <w:textAlignment w:val="auto"/>
    </w:pPr>
    <w:rPr>
      <w:b/>
      <w:color w:val="FF0000"/>
      <w:sz w:val="22"/>
      <w:u w:val="single"/>
      <w:lang w:val="en-US" w:eastAsia="en-US"/>
    </w:rPr>
  </w:style>
  <w:style w:type="paragraph" w:styleId="Heading6">
    <w:name w:val="heading 6"/>
    <w:basedOn w:val="Normal"/>
    <w:next w:val="Normal"/>
    <w:qFormat/>
    <w:pPr>
      <w:keepNext w:val="true"/>
      <w:widowControl w:val="false"/>
      <w:ind w:hanging="0" w:start="0" w:end="0"/>
      <w:jc w:val="end"/>
      <w:textAlignment w:val="auto"/>
    </w:pPr>
    <w:rPr>
      <w:b/>
      <w:sz w:val="22"/>
      <w:u w:val="single"/>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7F007F"/>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start"/>
      <w:textAlignment w:val="auto"/>
    </w:pPr>
    <w:rPr>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widowControl w:val="false"/>
      <w:spacing w:before="0" w:after="120"/>
      <w:ind w:hanging="0" w:start="0" w:end="0"/>
      <w:jc w:val="center"/>
      <w:textAlignment w:val="auto"/>
    </w:pPr>
    <w:rPr>
      <w:b/>
      <w:sz w:val="22"/>
      <w:lang w:val="en-US" w:eastAsia="en-US"/>
    </w:rPr>
  </w:style>
  <w:style w:type="paragraph" w:styleId="BodyTextIndent3">
    <w:name w:val="Body Text Indent 3"/>
    <w:basedOn w:val="Normal"/>
    <w:qFormat/>
    <w:pPr>
      <w:widowControl w:val="false"/>
      <w:spacing w:lineRule="exact" w:line="240"/>
      <w:ind w:firstLine="720" w:start="720" w:end="0"/>
      <w:jc w:val="both"/>
      <w:textAlignment w:val="auto"/>
    </w:pPr>
    <w:rPr>
      <w:sz w:val="22"/>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Text2">
    <w:name w:val="Body Text 2"/>
    <w:basedOn w:val="Normal"/>
    <w:qFormat/>
    <w:pPr>
      <w:widowControl w:val="false"/>
      <w:ind w:hanging="0" w:start="0" w:end="0"/>
      <w:jc w:val="both"/>
      <w:textAlignment w:val="auto"/>
    </w:pPr>
    <w:rPr>
      <w:sz w:val="20"/>
      <w:lang w:val="en-US" w:eastAsia="en-US"/>
    </w:rPr>
  </w:style>
  <w:style w:type="paragraph" w:styleId="BodyTextIndent2">
    <w:name w:val="Body Text Indent 2"/>
    <w:basedOn w:val="Normal"/>
    <w:qFormat/>
    <w:pPr>
      <w:widowControl w:val="false"/>
      <w:tabs>
        <w:tab w:val="clear" w:pos="720"/>
        <w:tab w:val="left" w:pos="1350" w:leader="none"/>
      </w:tabs>
      <w:ind w:firstLine="720" w:start="0" w:end="0"/>
      <w:jc w:val="both"/>
      <w:textAlignment w:val="auto"/>
    </w:pPr>
    <w:rPr>
      <w:rFonts w:ascii="Tms Rmn" w:hAnsi="Tms Rmn"/>
      <w:sz w:val="22"/>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noteText">
    <w:name w:val="footnote text"/>
    <w:basedOn w:val="Normal"/>
    <w:pPr>
      <w:widowControl w:val="false"/>
      <w:ind w:hanging="0" w:start="0" w:end="0"/>
      <w:jc w:val="start"/>
      <w:textAlignment w:val="auto"/>
    </w:pPr>
    <w:rPr>
      <w:sz w:val="22"/>
      <w:lang w:val="en-US" w:eastAsia="en-US"/>
    </w:rPr>
  </w:style>
  <w:style w:type="paragraph" w:styleId="BlockText">
    <w:name w:val="Block Text"/>
    <w:basedOn w:val="Normal"/>
    <w:qFormat/>
    <w:pPr>
      <w:widowControl w:val="false"/>
      <w:ind w:firstLine="720" w:start="720" w:end="720"/>
      <w:jc w:val="both"/>
      <w:textAlignment w:val="auto"/>
    </w:pPr>
    <w:rPr>
      <w:sz w:val="22"/>
      <w:lang w:val="en-US" w:eastAsia="en-US"/>
    </w:rPr>
  </w:style>
  <w:style w:type="paragraph" w:styleId="Expanded">
    <w:name w:val="Expanded"/>
    <w:basedOn w:val="Normal"/>
    <w:next w:val="Normal"/>
    <w:qFormat/>
    <w:pPr>
      <w:widowControl w:val="false"/>
      <w:spacing w:before="0" w:after="240"/>
      <w:ind w:hanging="0" w:start="0" w:end="0"/>
      <w:jc w:val="center"/>
      <w:textAlignment w:val="auto"/>
    </w:pPr>
    <w:rPr>
      <w:b/>
      <w:caps/>
      <w:spacing w:val="60"/>
      <w:sz w:val="22"/>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footer" Target="footer15.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10121</Words>
  <Characters>0</Characters>
  <CharactersWithSpaces>0</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2001-10-02T13:57:00Z</dcterms:created>
  <dc:creator>mheard</dc:creator>
  <dc:description/>
  <dc:language>en-CA</dc:language>
  <cp:lastModifiedBy/>
  <cp:lastPrinted>2001-10-17T15:55:00Z</cp:lastPrinted>
  <dcterms:modified xsi:type="dcterms:W3CDTF">2001-10-17T15:56:00Z</dcterms:modified>
  <cp:revision>10</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