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t xml:space="preserve">This redlined draft, generated by CompareRite (TM) - The Instant Redliner, shows the differences between - </w:t>
      </w:r>
    </w:p>
    <w:p>
      <w:pPr>
        <w:pStyle w:val="Normal"/>
        <w:bidi w:val="0"/>
        <w:ind w:hanging="0" w:start="0" w:end="0"/>
        <w:jc w:val="start"/>
        <w:rPr>
          <w:sz w:val="20"/>
        </w:rPr>
      </w:pPr>
      <w:r>
        <w:rPr>
          <w:sz w:val="20"/>
        </w:rPr>
        <w:t>original document   : O:\LEGAL\MHEARD\MISC\SAMPLEDOC.DOC</w:t>
      </w:r>
    </w:p>
    <w:p>
      <w:pPr>
        <w:pStyle w:val="Normal"/>
        <w:bidi w:val="0"/>
        <w:ind w:hanging="0" w:start="0" w:end="0"/>
        <w:jc w:val="start"/>
        <w:rPr>
          <w:sz w:val="20"/>
        </w:rPr>
      </w:pPr>
      <w:r>
        <w:rPr>
          <w:sz w:val="20"/>
        </w:rPr>
        <w:t>and revised document: O:\LEGAL\MHEARD\MISC\SAMPLEDOC.1.DOC</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CompareRite found   12 change(s) in the text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 xml:space="preserve">Deletions appear as Overstrike text </w:t>
      </w:r>
    </w:p>
    <w:p>
      <w:pPr>
        <w:pStyle w:val="Normal"/>
        <w:bidi w:val="0"/>
        <w:ind w:hanging="0" w:start="0" w:end="0"/>
        <w:jc w:val="start"/>
        <w:rPr>
          <w:sz w:val="20"/>
        </w:rPr>
      </w:pPr>
      <w:r>
        <w:rPr>
          <w:sz w:val="20"/>
        </w:rPr>
        <w:t xml:space="preserve">Additions appear as Bold-Underline text </w:t>
      </w:r>
      <w:r>
        <w:br w:type="page"/>
      </w:r>
    </w:p>
    <w:p>
      <w:pPr>
        <w:pStyle w:val="Normal"/>
        <w:widowControl/>
        <w:bidi w:val="0"/>
        <w:ind w:hanging="0" w:start="0" w:end="0"/>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7"/>
        <w:gridCol w:w="4878"/>
      </w:tblGrid>
      <w:tr>
        <w:trPr/>
        <w:tc>
          <w:tcPr>
            <w:tcW w:w="4697" w:type="dxa"/>
            <w:tcBorders/>
          </w:tcPr>
          <w:p>
            <w:pPr>
              <w:pStyle w:val="Normal"/>
              <w:widowControl/>
              <w:tabs>
                <w:tab w:val="clear" w:pos="720"/>
              </w:tabs>
              <w:bidi w:val="0"/>
              <w:ind w:hanging="0" w:start="0" w:end="0"/>
              <w:jc w:val="start"/>
              <w:rPr>
                <w:sz w:val="20"/>
              </w:rPr>
            </w:pPr>
            <w:r>
              <w:rPr>
                <w:sz w:val="20"/>
              </w:rPr>
            </w:r>
          </w:p>
        </w:tc>
        <w:tc>
          <w:tcPr>
            <w:tcW w:w="4878" w:type="dxa"/>
            <w:tcBorders/>
          </w:tcPr>
          <w:p>
            <w:pPr>
              <w:pStyle w:val="Normal"/>
              <w:widowControl/>
              <w:tabs>
                <w:tab w:val="clear" w:pos="720"/>
                <w:tab w:val="left" w:pos="2412" w:leader="none"/>
              </w:tabs>
              <w:bidi w:val="0"/>
              <w:ind w:hanging="0" w:start="1962" w:end="0"/>
              <w:jc w:val="start"/>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bidi w:val="0"/>
              <w:ind w:hanging="0" w:start="1962" w:end="0"/>
              <w:jc w:val="start"/>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bidi w:val="0"/>
              <w:ind w:hanging="0" w:start="1962" w:end="0"/>
              <w:jc w:val="start"/>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bidi w:val="0"/>
              <w:ind w:hanging="0" w:start="1962" w:end="0"/>
              <w:jc w:val="start"/>
              <w:rPr>
                <w:i/>
                <w:i/>
                <w:sz w:val="22"/>
              </w:rPr>
            </w:pPr>
            <w:r>
              <w:rPr>
                <w:i/>
                <w:sz w:val="22"/>
              </w:rPr>
              <w:t>Fax (713) 646-2491</w:t>
            </w:r>
          </w:p>
          <w:p>
            <w:pPr>
              <w:pStyle w:val="Normal"/>
              <w:widowControl/>
              <w:tabs>
                <w:tab w:val="clear" w:pos="720"/>
                <w:tab w:val="left" w:pos="2412" w:leader="none"/>
              </w:tabs>
              <w:bidi w:val="0"/>
              <w:ind w:hanging="0" w:start="1962" w:end="0"/>
              <w:jc w:val="start"/>
              <w:rPr>
                <w:sz w:val="20"/>
              </w:rPr>
            </w:pPr>
            <w:r>
              <w:rPr>
                <w:sz w:val="20"/>
              </w:rPr>
            </w:r>
          </w:p>
        </w:tc>
      </w:tr>
    </w:tbl>
    <w:p>
      <w:pPr>
        <w:pStyle w:val="Normal"/>
        <w:widowControl/>
        <w:bidi w:val="0"/>
        <w:ind w:hanging="0" w:start="0" w:end="0"/>
        <w:jc w:val="center"/>
        <w:rPr>
          <w:sz w:val="22"/>
        </w:rPr>
      </w:pPr>
      <w:r>
        <w:rPr>
          <w:sz w:val="22"/>
        </w:rPr>
      </w:r>
    </w:p>
    <w:p>
      <w:pPr>
        <w:pStyle w:val="Normal"/>
        <w:widowControl/>
        <w:bidi w:val="0"/>
        <w:ind w:hanging="0" w:start="0" w:end="0"/>
        <w:jc w:val="center"/>
        <w:rPr>
          <w:b/>
          <w:sz w:val="22"/>
        </w:rPr>
      </w:pPr>
      <w:r>
        <w:rPr>
          <w:b/>
          <w:sz w:val="22"/>
          <w:u w:val="single"/>
        </w:rPr>
        <w:t>CONFIRMATION OF AN OPTION</w:t>
      </w:r>
    </w:p>
    <w:p>
      <w:pPr>
        <w:pStyle w:val="Normal"/>
        <w:widowControl/>
        <w:bidi w:val="0"/>
        <w:ind w:hanging="0" w:start="0" w:end="0"/>
        <w:jc w:val="center"/>
        <w:rPr>
          <w:b/>
          <w:sz w:val="22"/>
        </w:rPr>
      </w:pPr>
      <w:r>
        <w:rPr>
          <w:b/>
          <w:sz w:val="22"/>
        </w:rPr>
        <w:t>(</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July 26, 2001</w:t>
      </w:r>
      <w:r>
        <w:rPr>
          <w:sz w:val="22"/>
        </w:rPr>
        <w:fldChar w:fldCharType="end"/>
      </w:r>
    </w:p>
    <w:p>
      <w:pPr>
        <w:pStyle w:val="Normal"/>
        <w:widowControl/>
        <w:bidi w:val="0"/>
        <w:ind w:hanging="0" w:start="0" w:end="0"/>
        <w:jc w:val="start"/>
        <w:rPr>
          <w:sz w:val="22"/>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General Electric Company</w:t>
      </w:r>
      <w:r>
        <w:rPr>
          <w:sz w:val="22"/>
        </w:rPr>
        <w:fldChar w:fldCharType="end"/>
      </w:r>
      <w:r>
        <w:rPr>
          <w:sz w:val="22"/>
        </w:rPr>
        <w:t xml:space="preserve"> ("Counterparty")</w:t>
      </w:r>
    </w:p>
    <w:p>
      <w:pPr>
        <w:pStyle w:val="Normal"/>
        <w:widowControl/>
        <w:bidi w:val="0"/>
        <w:ind w:hanging="0" w:start="0" w:end="0"/>
        <w:jc w:val="start"/>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Mariano Weil</w:t>
      </w:r>
      <w:r>
        <w:rPr>
          <w:sz w:val="22"/>
        </w:rPr>
        <w:fldChar w:fldCharType="end"/>
      </w:r>
    </w:p>
    <w:p>
      <w:pPr>
        <w:pStyle w:val="Normal"/>
        <w:widowControl/>
        <w:bidi w:val="0"/>
        <w:ind w:hanging="0" w:start="0" w:end="0"/>
        <w:jc w:val="start"/>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(203) 373-2953</w:t>
      </w:r>
      <w:r>
        <w:rPr>
          <w:sz w:val="22"/>
        </w:rPr>
        <w:fldChar w:fldCharType="end"/>
      </w:r>
    </w:p>
    <w:p>
      <w:pPr>
        <w:pStyle w:val="Normal"/>
        <w:widowControl/>
        <w:bidi w:val="0"/>
        <w:ind w:hanging="0" w:start="0" w:end="0"/>
        <w:jc w:val="start"/>
        <w:rPr>
          <w:sz w:val="22"/>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 (“ENA”)</w:t>
      </w:r>
      <w:r>
        <w:rPr>
          <w:sz w:val="22"/>
        </w:rPr>
        <w:fldChar w:fldCharType="end"/>
      </w:r>
      <w:r>
        <w:rPr>
          <w:sz w:val="22"/>
        </w:rPr>
        <w:t xml:space="preserve"> </w:t>
      </w:r>
    </w:p>
    <w:p>
      <w:pPr>
        <w:pStyle w:val="Normal"/>
        <w:widowControl/>
        <w:bidi w:val="0"/>
        <w:ind w:hanging="0" w:start="0" w:end="0"/>
        <w:jc w:val="start"/>
        <w:rPr>
          <w:sz w:val="22"/>
        </w:rPr>
      </w:pPr>
      <w:r>
        <w:rPr>
          <w:sz w:val="22"/>
        </w:rPr>
        <w:t>Re:</w:t>
        <w:tab/>
        <w:tab/>
        <w:tab/>
        <w:tab/>
        <w:t>Commodity Option</w:t>
      </w:r>
    </w:p>
    <w:p>
      <w:pPr>
        <w:pStyle w:val="Normal"/>
        <w:widowControl/>
        <w:bidi w:val="0"/>
        <w:ind w:hanging="0" w:start="0" w:end="0"/>
        <w:jc w:val="start"/>
        <w:rPr>
          <w:sz w:val="22"/>
        </w:rPr>
      </w:pPr>
      <w:r>
        <w:rPr>
          <w:sz w:val="22"/>
        </w:rPr>
        <w:t>Contract  No.:</w:t>
        <w:tab/>
        <w:tab/>
        <w:tab/>
        <w:t xml:space="preserve">ENA Contract No. </w:t>
      </w:r>
      <w:r>
        <w:rPr>
          <w:sz w:val="22"/>
        </w:rPr>
        <w:fldChar w:fldCharType="begin"/>
      </w:r>
      <w:r>
        <w:rPr>
          <w:sz w:val="22"/>
        </w:rPr>
        <w:instrText xml:space="preserve"> MERGEFIELD DealNumber </w:instrText>
      </w:r>
      <w:r>
        <w:rPr>
          <w:sz w:val="22"/>
        </w:rPr>
        <w:fldChar w:fldCharType="separate"/>
      </w:r>
      <w:r>
        <w:rPr>
          <w:sz w:val="22"/>
        </w:rPr>
        <w:t>705475.02</w:t>
      </w:r>
      <w:r>
        <w:rPr>
          <w:sz w:val="22"/>
        </w:rPr>
        <w:fldChar w:fldCharType="end"/>
      </w:r>
    </w:p>
    <w:p>
      <w:pPr>
        <w:pStyle w:val="Normal"/>
        <w:widowControl/>
        <w:bidi w:val="0"/>
        <w:ind w:hanging="0" w:start="0" w:end="0"/>
        <w:jc w:val="start"/>
        <w:rPr>
          <w:sz w:val="22"/>
        </w:rPr>
      </w:pPr>
      <w:r>
        <w:rPr>
          <w:sz w:val="22"/>
        </w:rPr>
      </w:r>
    </w:p>
    <w:p>
      <w:pPr>
        <w:pStyle w:val="BodyText3"/>
        <w:widowControl/>
        <w:bidi w:val="0"/>
        <w:rPr>
          <w:rFonts w:ascii="Times New Roman" w:hAnsi="Times New Roman"/>
        </w:rPr>
      </w:pPr>
      <w:r>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b/>
          <w:sz w:val="22"/>
        </w:rPr>
        <w:t xml:space="preserve">General Terms for </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July 26, 2001</w:t>
      </w:r>
      <w:r>
        <w:rPr>
          <w:sz w:val="22"/>
        </w:rPr>
        <w:fldChar w:fldCharType="end"/>
      </w:r>
    </w:p>
    <w:p>
      <w:pPr>
        <w:pStyle w:val="Normal"/>
        <w:widowControl/>
        <w:bidi w:val="0"/>
        <w:ind w:hanging="0" w:start="0" w:end="0"/>
        <w:jc w:val="start"/>
        <w:rPr>
          <w:sz w:val="22"/>
        </w:rPr>
      </w:pPr>
      <w:r>
        <w:rPr>
          <w:sz w:val="22"/>
        </w:rPr>
      </w:r>
    </w:p>
    <w:p>
      <w:pPr>
        <w:pStyle w:val="Normal"/>
        <w:widowControl/>
        <w:tabs>
          <w:tab w:val="left" w:pos="720" w:leader="none"/>
        </w:tabs>
        <w:bidi w:val="0"/>
        <w:ind w:hanging="0" w:start="0" w:end="0"/>
        <w:jc w:val="start"/>
        <w:rPr>
          <w:sz w:val="22"/>
        </w:rPr>
      </w:pPr>
      <w:r>
        <w:rPr>
          <w:sz w:val="22"/>
        </w:rPr>
        <w:tab/>
        <w:t>Commodity:</w:t>
        <w:tab/>
        <w:tab/>
        <w:tab/>
        <w:tab/>
      </w:r>
      <w:r>
        <w:rPr>
          <w:b/>
          <w:sz w:val="22"/>
          <w:u w:val="single"/>
        </w:rPr>
        <w:fldChar w:fldCharType="begin"/>
      </w:r>
      <w:r>
        <w:rPr>
          <w:sz w:val="22"/>
          <w:u w:val="single"/>
          <w:b/>
        </w:rPr>
        <w:instrText xml:space="preserve"> MERGEFIELD CommodityName </w:instrText>
      </w:r>
      <w:r>
        <w:rPr>
          <w:sz w:val="22"/>
          <w:u w:val="single"/>
          <w:b/>
        </w:rPr>
        <w:fldChar w:fldCharType="separate"/>
      </w:r>
      <w:r>
        <w:rPr>
          <w:sz w:val="22"/>
          <w:u w:val="single"/>
          <w:b/>
        </w:rPr>
        <w:t>Electricity/MWh Electricity</w:t>
      </w:r>
      <w:r>
        <w:rPr>
          <w:sz w:val="22"/>
          <w:u w:val="single"/>
          <w:b/>
        </w:rPr>
        <w:fldChar w:fldCharType="end"/>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sz w:val="22"/>
        </w:rPr>
        <w:tab/>
        <w:t>Option Type:</w:t>
        <w:tab/>
        <w:tab/>
        <w:tab/>
        <w:tab/>
      </w:r>
      <w:r>
        <w:rPr>
          <w:b/>
          <w:sz w:val="22"/>
          <w:u w:val="single"/>
        </w:rPr>
        <w:t>Asian</w:t>
      </w:r>
      <w:r>
        <w:rPr>
          <w:sz w:val="22"/>
        </w:rPr>
        <w:t xml:space="preserve"> </w:t>
      </w:r>
      <w:r>
        <w:rPr>
          <w:sz w:val="22"/>
        </w:rPr>
        <w:fldChar w:fldCharType="begin"/>
      </w:r>
      <w:r>
        <w:rPr>
          <w:sz w:val="22"/>
        </w:rPr>
        <w:instrText xml:space="preserve"> MERGEFIELD InstrTypeCallPut </w:instrText>
      </w:r>
      <w:r>
        <w:rPr>
          <w:sz w:val="22"/>
        </w:rPr>
        <w:fldChar w:fldCharType="separate"/>
      </w:r>
      <w:r>
        <w:rPr>
          <w:sz w:val="22"/>
        </w:rPr>
        <w:t>Call</w:t>
      </w:r>
      <w:r>
        <w:rPr>
          <w:sz w:val="22"/>
        </w:rPr>
        <w:fldChar w:fldCharType="end"/>
      </w:r>
      <w:r>
        <w:rPr>
          <w:sz w:val="22"/>
        </w:rPr>
        <w:t xml:space="preserve"> Option</w:t>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sz w:val="22"/>
        </w:rPr>
        <w:tab/>
        <w:t>Seller:</w:t>
        <w:tab/>
        <w:tab/>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sz w:val="22"/>
        </w:rPr>
        <w:tab/>
        <w:t>Buyer:</w:t>
        <w:tab/>
        <w:tab/>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sz w:val="22"/>
        </w:rPr>
        <w:tab/>
        <w:t>Total Premium:</w:t>
        <w:tab/>
        <w:tab/>
        <w:tab/>
        <w:tab/>
      </w:r>
      <w:r>
        <w:rPr>
          <w:sz w:val="22"/>
        </w:rPr>
        <w:fldChar w:fldCharType="begin"/>
      </w:r>
      <w:r>
        <w:rPr>
          <w:sz w:val="22"/>
        </w:rPr>
        <w:instrText xml:space="preserve"> MERGEFIELD OptionPremiumAmt </w:instrText>
      </w:r>
      <w:r>
        <w:rPr>
          <w:sz w:val="22"/>
        </w:rPr>
        <w:fldChar w:fldCharType="separate"/>
      </w:r>
      <w:r>
        <w:rPr>
          <w:sz w:val="22"/>
        </w:rPr>
        <w:t>US Dollars $504,000.00</w:t>
      </w:r>
      <w:r>
        <w:rPr>
          <w:sz w:val="22"/>
        </w:rPr>
        <w:fldChar w:fldCharType="end"/>
      </w:r>
      <w:r>
        <w:rPr>
          <w:sz w:val="22"/>
        </w:rPr>
        <w:t xml:space="preserve"> due Seller</w:t>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sz w:val="22"/>
        </w:rPr>
        <w:tab/>
        <w:t>Premium Payment Date(s):</w:t>
        <w:tab/>
        <w:tab/>
      </w:r>
      <w:r>
        <w:rPr>
          <w:sz w:val="22"/>
        </w:rPr>
        <w:fldChar w:fldCharType="begin"/>
      </w:r>
      <w:r>
        <w:rPr>
          <w:sz w:val="22"/>
        </w:rPr>
        <w:instrText xml:space="preserve"> MERGEFIELD OptionPremiumDate </w:instrText>
      </w:r>
      <w:r>
        <w:rPr>
          <w:sz w:val="22"/>
        </w:rPr>
        <w:fldChar w:fldCharType="separate"/>
      </w:r>
      <w:r>
        <w:rPr>
          <w:sz w:val="22"/>
        </w:rPr>
        <w:t>July 30, 2001</w:t>
      </w:r>
      <w:r>
        <w:rPr>
          <w:sz w:val="22"/>
        </w:rPr>
        <w:fldChar w:fldCharType="end"/>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sz w:val="22"/>
        </w:rPr>
        <w:tab/>
        <w:t>Automatic Exercise:</w:t>
        <w:tab/>
        <w:tab/>
        <w:tab/>
        <w:t>Applicable</w:t>
      </w:r>
    </w:p>
    <w:p>
      <w:pPr>
        <w:pStyle w:val="Normal"/>
        <w:widowControl/>
        <w:bidi w:val="0"/>
        <w:ind w:hanging="0" w:start="0" w:end="0"/>
        <w:jc w:val="start"/>
        <w:rPr>
          <w:sz w:val="22"/>
        </w:rPr>
      </w:pPr>
      <w:r>
        <w:rPr>
          <w:strike/>
          <w:sz w:val="22"/>
        </w:rPr>
        <w:t xml:space="preserve">Exercise Period: Inapplicable  </w:t>
      </w:r>
    </w:p>
    <w:p>
      <w:pPr>
        <w:pStyle w:val="Normal"/>
        <w:widowControl/>
        <w:bidi w:val="0"/>
        <w:ind w:hanging="0" w:start="0" w:end="0"/>
        <w:jc w:val="start"/>
        <w:rPr>
          <w:sz w:val="22"/>
        </w:rPr>
      </w:pPr>
      <w:r>
        <w:rPr>
          <w:sz w:val="22"/>
        </w:rPr>
        <w:tab/>
        <w:t>Written Confirmation:</w:t>
        <w:tab/>
        <w:tab/>
        <w:tab/>
        <w:t>Inapplicable</w:t>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b/>
          <w:sz w:val="22"/>
        </w:rPr>
        <w:t>Transaction Terms:</w:t>
      </w:r>
    </w:p>
    <w:p>
      <w:pPr>
        <w:pStyle w:val="Normal"/>
        <w:widowControl/>
        <w:bidi w:val="0"/>
        <w:ind w:hanging="0" w:start="0" w:end="0"/>
        <w:jc w:val="start"/>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7"/>
        <w:gridCol w:w="5670"/>
      </w:tblGrid>
      <w:tr>
        <w:trPr/>
        <w:tc>
          <w:tcPr>
            <w:tcW w:w="4247" w:type="dxa"/>
            <w:tcBorders/>
          </w:tcPr>
          <w:p>
            <w:pPr>
              <w:pStyle w:val="Normal"/>
              <w:widowControl/>
              <w:tabs>
                <w:tab w:val="clear" w:pos="720"/>
              </w:tabs>
              <w:bidi w:val="0"/>
              <w:ind w:hanging="0" w:start="720" w:end="0"/>
              <w:jc w:val="start"/>
              <w:rPr/>
            </w:pPr>
            <w:r>
              <w:rPr>
                <w:sz w:val="22"/>
              </w:rPr>
              <w:t>Notional Quantity per</w:t>
            </w:r>
          </w:p>
        </w:tc>
        <w:tc>
          <w:tcPr>
            <w:tcW w:w="5670" w:type="dxa"/>
            <w:tcBorders/>
          </w:tcPr>
          <w:p>
            <w:pPr>
              <w:pStyle w:val="Normal"/>
              <w:widowControl/>
              <w:tabs>
                <w:tab w:val="clear" w:pos="720"/>
              </w:tabs>
              <w:bidi w:val="0"/>
              <w:ind w:hanging="0" w:start="0" w:end="0"/>
              <w:jc w:val="start"/>
              <w:rPr>
                <w:sz w:val="22"/>
              </w:rPr>
            </w:pPr>
            <w:r>
              <w:rPr>
                <w:sz w:val="22"/>
              </w:rPr>
            </w:r>
          </w:p>
        </w:tc>
      </w:tr>
      <w:tr>
        <w:trPr/>
        <w:tc>
          <w:tcPr>
            <w:tcW w:w="4247" w:type="dxa"/>
            <w:tcBorders/>
          </w:tcPr>
          <w:p>
            <w:pPr>
              <w:pStyle w:val="Normal"/>
              <w:widowControl/>
              <w:tabs>
                <w:tab w:val="clear" w:pos="720"/>
              </w:tabs>
              <w:bidi w:val="0"/>
              <w:ind w:hanging="0" w:start="720" w:end="0"/>
              <w:jc w:val="start"/>
              <w:rPr/>
            </w:pPr>
            <w:r>
              <w:rPr>
                <w:sz w:val="22"/>
              </w:rPr>
              <w:t>Determination Period:</w:t>
            </w:r>
          </w:p>
        </w:tc>
        <w:tc>
          <w:tcPr>
            <w:tcW w:w="5670" w:type="dxa"/>
            <w:tcBorders/>
          </w:tcPr>
          <w:p>
            <w:pPr>
              <w:pStyle w:val="Normal"/>
              <w:widowControl/>
              <w:tabs>
                <w:tab w:val="clear" w:pos="720"/>
              </w:tabs>
              <w:bidi w:val="0"/>
              <w:ind w:hanging="0" w:start="0" w:end="0"/>
              <w:jc w:val="start"/>
              <w:rPr/>
            </w:pPr>
            <w:r>
              <w:rPr>
                <w:sz w:val="22"/>
              </w:rPr>
              <w:t xml:space="preserve">100 MWs per hour for each hour during the </w:t>
            </w:r>
            <w:r>
              <w:rPr>
                <w:strike/>
                <w:sz w:val="22"/>
              </w:rPr>
              <w:t>Calculation Period     Effective Date: September 1, 2001</w:t>
            </w:r>
            <w:r>
              <w:rPr>
                <w:sz w:val="22"/>
              </w:rPr>
              <w:t xml:space="preserve"> </w:t>
            </w:r>
            <w:r>
              <w:rPr>
                <w:b/>
                <w:sz w:val="22"/>
                <w:u w:val="single"/>
              </w:rPr>
              <w:t xml:space="preserve">Determination Period </w:t>
            </w:r>
          </w:p>
        </w:tc>
      </w:tr>
      <w:tr>
        <w:trPr>
          <w:cantSplit w:val="true"/>
        </w:trPr>
        <w:tc>
          <w:tcPr>
            <w:tcW w:w="4247" w:type="dxa"/>
            <w:tcBorders/>
          </w:tcPr>
          <w:p>
            <w:pPr>
              <w:pStyle w:val="Normal"/>
              <w:widowControl/>
              <w:tabs>
                <w:tab w:val="clear" w:pos="720"/>
              </w:tabs>
              <w:bidi w:val="0"/>
              <w:ind w:hanging="0" w:start="0" w:end="0"/>
              <w:jc w:val="start"/>
              <w:rPr>
                <w:b/>
                <w:sz w:val="22"/>
                <w:u w:val="single"/>
              </w:rPr>
            </w:pPr>
            <w:r>
              <w:rPr>
                <w:b/>
                <w:sz w:val="22"/>
                <w:u w:val="single"/>
              </w:rPr>
            </w:r>
          </w:p>
        </w:tc>
        <w:tc>
          <w:tcPr>
            <w:tcW w:w="5670" w:type="dxa"/>
            <w:tcBorders/>
          </w:tcPr>
          <w:p>
            <w:pPr>
              <w:pStyle w:val="Normal"/>
              <w:widowControl/>
              <w:tabs>
                <w:tab w:val="clear" w:pos="720"/>
              </w:tabs>
              <w:bidi w:val="0"/>
              <w:ind w:hanging="0" w:start="0" w:end="0"/>
              <w:jc w:val="start"/>
              <w:rPr>
                <w:b/>
                <w:sz w:val="22"/>
                <w:u w:val="single"/>
              </w:rPr>
            </w:pPr>
            <w:r>
              <w:rPr>
                <w:b/>
                <w:sz w:val="22"/>
                <w:u w:val="single"/>
              </w:rPr>
            </w:r>
          </w:p>
        </w:tc>
      </w:tr>
    </w:tbl>
    <w:p>
      <w:pPr>
        <w:pStyle w:val="Normal"/>
        <w:widowControl/>
        <w:bidi w:val="0"/>
        <w:ind w:hanging="0" w:start="0" w:end="0"/>
        <w:jc w:val="start"/>
        <w:rPr>
          <w:sz w:val="22"/>
        </w:rPr>
      </w:pPr>
      <w:r>
        <w:rPr>
          <w:sz w:val="22"/>
        </w:rPr>
        <w:tab/>
      </w:r>
      <w:r>
        <w:rPr>
          <w:b/>
          <w:sz w:val="22"/>
          <w:u w:val="single"/>
        </w:rPr>
        <w:t>Exercise Period:</w:t>
      </w:r>
      <w:r>
        <w:rPr>
          <w:sz w:val="22"/>
        </w:rPr>
        <w:tab/>
        <w:tab/>
        <w:t xml:space="preserve">           </w:t>
      </w:r>
      <w:r>
        <w:rPr>
          <w:b/>
          <w:sz w:val="22"/>
          <w:u w:val="single"/>
        </w:rPr>
        <w:fldChar w:fldCharType="begin"/>
      </w:r>
      <w:r>
        <w:rPr>
          <w:sz w:val="22"/>
          <w:u w:val="single"/>
          <w:b/>
        </w:rPr>
        <w:instrText xml:space="preserve"> MERGEFIELD TransStopDate </w:instrText>
      </w:r>
      <w:r>
        <w:rPr>
          <w:sz w:val="22"/>
          <w:u w:val="single"/>
          <w:b/>
        </w:rPr>
        <w:fldChar w:fldCharType="separate"/>
      </w:r>
      <w:r>
        <w:rPr>
          <w:sz w:val="22"/>
          <w:u w:val="single"/>
          <w:b/>
        </w:rPr>
        <w:t>September 30, 2001</w:t>
      </w:r>
      <w:r>
        <w:rPr>
          <w:sz w:val="22"/>
          <w:u w:val="single"/>
          <w:b/>
        </w:rPr>
        <w:fldChar w:fldCharType="end"/>
      </w:r>
    </w:p>
    <w:p>
      <w:pPr>
        <w:pStyle w:val="Normal"/>
        <w:widowControl/>
        <w:bidi w:val="0"/>
        <w:ind w:hanging="0" w:start="0" w:end="0"/>
        <w:jc w:val="start"/>
        <w:rPr>
          <w:sz w:val="22"/>
        </w:rPr>
      </w:pPr>
      <w:r>
        <w:rPr>
          <w:sz w:val="22"/>
        </w:rPr>
      </w:r>
    </w:p>
    <w:p>
      <w:pPr>
        <w:pStyle w:val="Normal"/>
        <w:widowControl/>
        <w:bidi w:val="0"/>
        <w:ind w:hanging="0" w:start="0" w:end="0"/>
        <w:jc w:val="start"/>
        <w:rPr>
          <w:sz w:val="22"/>
        </w:rPr>
      </w:pPr>
      <w:r>
        <w:rPr>
          <w:strike/>
          <w:sz w:val="22"/>
        </w:rPr>
        <w:t>Termination Date: September 30, 2001</w:t>
      </w:r>
    </w:p>
    <w:p>
      <w:pPr>
        <w:pStyle w:val="Normal"/>
        <w:widowControl/>
        <w:bidi w:val="0"/>
        <w:ind w:hanging="0" w:start="0" w:end="0"/>
        <w:jc w:val="start"/>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7"/>
        <w:gridCol w:w="5670"/>
      </w:tblGrid>
      <w:tr>
        <w:trPr>
          <w:cantSplit w:val="true"/>
        </w:trPr>
        <w:tc>
          <w:tcPr>
            <w:tcW w:w="4247" w:type="dxa"/>
            <w:tcBorders/>
          </w:tcPr>
          <w:p>
            <w:pPr>
              <w:pStyle w:val="Normal"/>
              <w:widowControl/>
              <w:tabs>
                <w:tab w:val="clear" w:pos="720"/>
              </w:tabs>
              <w:bidi w:val="0"/>
              <w:ind w:hanging="0" w:start="0" w:end="0"/>
              <w:jc w:val="start"/>
              <w:rPr/>
            </w:pPr>
            <w:r>
              <w:rPr>
                <w:sz w:val="22"/>
              </w:rPr>
              <w:t xml:space="preserve">             </w:t>
            </w:r>
            <w:r>
              <w:rPr>
                <w:sz w:val="22"/>
              </w:rPr>
              <w:t>Determination Period(s):</w:t>
            </w:r>
          </w:p>
        </w:tc>
        <w:tc>
          <w:tcPr>
            <w:tcW w:w="5670" w:type="dxa"/>
            <w:tcBorders/>
          </w:tcPr>
          <w:p>
            <w:pPr>
              <w:pStyle w:val="Normal"/>
              <w:widowControl/>
              <w:tabs>
                <w:tab w:val="clear" w:pos="720"/>
              </w:tabs>
              <w:bidi w:val="0"/>
              <w:ind w:hanging="0" w:start="0" w:end="0"/>
              <w:jc w:val="both"/>
              <w:rPr/>
            </w:pPr>
            <w:r>
              <w:rPr>
                <w:sz w:val="22"/>
              </w:rPr>
              <w:fldChar w:fldCharType="begin"/>
            </w:r>
            <w:r>
              <w:rPr>
                <w:sz w:val="22"/>
              </w:rPr>
              <w:instrText xml:space="preserve"> MERGEFIELD DeterminationPeriod </w:instrText>
            </w:r>
            <w:r>
              <w:rPr>
                <w:sz w:val="22"/>
              </w:rPr>
              <w:fldChar w:fldCharType="separate"/>
            </w:r>
            <w:r>
              <w:rPr>
                <w:sz w:val="22"/>
              </w:rPr>
              <w:t xml:space="preserve"> Each The calendar month beginning with September 1, 2001 and ending on September 30, 2001</w:t>
            </w:r>
            <w:r>
              <w:rPr>
                <w:sz w:val="22"/>
              </w:rPr>
              <w:fldChar w:fldCharType="end"/>
            </w:r>
          </w:p>
        </w:tc>
      </w:tr>
    </w:tbl>
    <w:p>
      <w:pPr>
        <w:pStyle w:val="Normal"/>
        <w:widowControl/>
        <w:bidi w:val="0"/>
        <w:ind w:hanging="0" w:start="0" w:end="0"/>
        <w:jc w:val="start"/>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7"/>
        <w:gridCol w:w="5670"/>
      </w:tblGrid>
      <w:tr>
        <w:trPr>
          <w:cantSplit w:val="true"/>
        </w:trPr>
        <w:tc>
          <w:tcPr>
            <w:tcW w:w="4247" w:type="dxa"/>
            <w:tcBorders/>
          </w:tcPr>
          <w:p>
            <w:pPr>
              <w:pStyle w:val="Normal"/>
              <w:widowControl/>
              <w:bidi w:val="0"/>
              <w:ind w:firstLine="720" w:start="0" w:end="0"/>
              <w:jc w:val="start"/>
              <w:rPr/>
            </w:pPr>
            <w:r>
              <w:rPr>
                <w:sz w:val="22"/>
              </w:rPr>
              <w:t>Strike Price:</w:t>
            </w:r>
          </w:p>
        </w:tc>
        <w:tc>
          <w:tcPr>
            <w:tcW w:w="5670" w:type="dxa"/>
            <w:tcBorders/>
          </w:tcPr>
          <w:p>
            <w:pPr>
              <w:pStyle w:val="Normal"/>
              <w:widowControl/>
              <w:bidi w:val="0"/>
              <w:ind w:hanging="0" w:start="0" w:end="0"/>
              <w:jc w:val="both"/>
              <w:rPr/>
            </w:pPr>
            <w:r>
              <w:rPr>
                <w:sz w:val="22"/>
              </w:rPr>
              <w:fldChar w:fldCharType="begin"/>
            </w:r>
            <w:r>
              <w:rPr>
                <w:sz w:val="22"/>
              </w:rPr>
              <w:instrText xml:space="preserve"> MERGEFIELD FixedPrice </w:instrText>
            </w:r>
            <w:r>
              <w:rPr>
                <w:sz w:val="22"/>
              </w:rPr>
              <w:fldChar w:fldCharType="separate"/>
            </w:r>
            <w:r>
              <w:rPr>
                <w:sz w:val="22"/>
              </w:rPr>
              <w:t>US Dollars $38.50/MWh.</w:t>
            </w:r>
            <w:r>
              <w:rPr>
                <w:sz w:val="22"/>
              </w:rPr>
              <w:fldChar w:fldCharType="end"/>
            </w:r>
          </w:p>
        </w:tc>
      </w:tr>
    </w:tbl>
    <w:p>
      <w:pPr>
        <w:pStyle w:val="Normal"/>
        <w:widowControl/>
        <w:bidi w:val="0"/>
        <w:ind w:hanging="0" w:start="0" w:end="0"/>
        <w:jc w:val="start"/>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7"/>
        <w:gridCol w:w="5670"/>
      </w:tblGrid>
      <w:tr>
        <w:trPr>
          <w:cantSplit w:val="true"/>
        </w:trPr>
        <w:tc>
          <w:tcPr>
            <w:tcW w:w="4247" w:type="dxa"/>
            <w:tcBorders/>
          </w:tcPr>
          <w:p>
            <w:pPr>
              <w:pStyle w:val="Normal"/>
              <w:widowControl/>
              <w:tabs>
                <w:tab w:val="clear" w:pos="720"/>
              </w:tabs>
              <w:bidi w:val="0"/>
              <w:ind w:firstLine="720" w:start="0" w:end="0"/>
              <w:jc w:val="start"/>
              <w:rPr/>
            </w:pPr>
            <w:r>
              <w:rPr>
                <w:sz w:val="22"/>
              </w:rPr>
              <w:t>Floating Price:</w:t>
            </w:r>
          </w:p>
        </w:tc>
        <w:tc>
          <w:tcPr>
            <w:tcW w:w="5670" w:type="dxa"/>
            <w:tcBorders/>
          </w:tcPr>
          <w:p>
            <w:pPr>
              <w:pStyle w:val="Normal"/>
              <w:widowControl/>
              <w:tabs>
                <w:tab w:val="clear" w:pos="720"/>
              </w:tabs>
              <w:bidi w:val="0"/>
              <w:ind w:hanging="0" w:start="0" w:end="0"/>
              <w:jc w:val="start"/>
              <w:rPr/>
            </w:pPr>
            <w:r>
              <w:rPr>
                <w:sz w:val="22"/>
              </w:rPr>
              <w:fldChar w:fldCharType="begin"/>
            </w:r>
            <w:r>
              <w:rPr>
                <w:sz w:val="22"/>
              </w:rPr>
              <w:instrText xml:space="preserve"> MERGEFIELD FloatPrice </w:instrText>
            </w:r>
            <w:r>
              <w:rPr>
                <w:sz w:val="22"/>
              </w:rPr>
              <w:fldChar w:fldCharType="separate"/>
            </w:r>
            <w:r>
              <w:rPr>
                <w:sz w:val="22"/>
              </w:rPr>
              <w:t>The unweighted arithmetic average of the hourly day-ahead prices as published by the New York Independent System Operator (the “NYISO”) for each  day during the applicable Determination Period on the NYISO’s official web site currently located at http://mis.nyiso.com/public/index.html, or any successor thereto, under the headings “Day Ahead Market LBMP - Zonal; Zonal Prices; West (61757) (Zone F).”</w:t>
            </w:r>
            <w:r>
              <w:rPr>
                <w:sz w:val="22"/>
              </w:rPr>
              <w:fldChar w:fldCharType="end"/>
            </w:r>
          </w:p>
        </w:tc>
      </w:tr>
      <w:tr>
        <w:trPr>
          <w:cantSplit w:val="true"/>
        </w:trPr>
        <w:tc>
          <w:tcPr>
            <w:tcW w:w="4247" w:type="dxa"/>
            <w:tcBorders/>
          </w:tcPr>
          <w:p>
            <w:pPr>
              <w:pStyle w:val="Normal"/>
              <w:widowControl/>
              <w:tabs>
                <w:tab w:val="left" w:pos="720" w:leader="none"/>
              </w:tabs>
              <w:bidi w:val="0"/>
              <w:ind w:hanging="0" w:start="0" w:end="0"/>
              <w:jc w:val="start"/>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670" w:type="dxa"/>
            <w:tcBorders/>
          </w:tcPr>
          <w:p>
            <w:pPr>
              <w:pStyle w:val="Normal"/>
              <w:widowControl/>
              <w:tabs>
                <w:tab w:val="clear" w:pos="720"/>
              </w:tabs>
              <w:bidi w:val="0"/>
              <w:ind w:hanging="0" w:start="-18" w:end="0"/>
              <w:jc w:val="both"/>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cantSplit w:val="true"/>
        </w:trPr>
        <w:tc>
          <w:tcPr>
            <w:tcW w:w="4247" w:type="dxa"/>
            <w:tcBorders/>
          </w:tcPr>
          <w:p>
            <w:pPr>
              <w:pStyle w:val="Normal"/>
              <w:widowControl/>
              <w:tabs>
                <w:tab w:val="left" w:pos="720" w:leader="none"/>
              </w:tabs>
              <w:bidi w:val="0"/>
              <w:ind w:firstLine="720" w:start="0" w:end="0"/>
              <w:jc w:val="start"/>
              <w:rPr/>
            </w:pPr>
            <w:r>
              <w:rPr>
                <w:sz w:val="22"/>
              </w:rPr>
              <w:t>Strike Price Differential:</w:t>
            </w:r>
          </w:p>
        </w:tc>
        <w:tc>
          <w:tcPr>
            <w:tcW w:w="5670" w:type="dxa"/>
            <w:tcBorders/>
          </w:tcPr>
          <w:p>
            <w:pPr>
              <w:pStyle w:val="Normal"/>
              <w:widowControl/>
              <w:tabs>
                <w:tab w:val="clear" w:pos="720"/>
              </w:tabs>
              <w:bidi w:val="0"/>
              <w:ind w:hanging="0" w:start="0" w:end="0"/>
              <w:jc w:val="both"/>
              <w:rPr/>
            </w:pPr>
            <w:r>
              <w:rPr>
                <w:sz w:val="22"/>
              </w:rPr>
              <w:t xml:space="preserve">A price per Commodity Unit equal to the excess (if a positive number) of  (i) the </w:t>
            </w:r>
            <w:r>
              <w:rPr>
                <w:sz w:val="22"/>
              </w:rPr>
              <w:fldChar w:fldCharType="begin"/>
            </w:r>
            <w:r>
              <w:rPr>
                <w:sz w:val="22"/>
              </w:rPr>
              <w:instrText xml:space="preserve"> MERGEFIELD StrikeFloatingPrice1 </w:instrText>
            </w:r>
            <w:r>
              <w:rPr>
                <w:sz w:val="22"/>
              </w:rPr>
              <w:fldChar w:fldCharType="separate"/>
            </w:r>
            <w:r>
              <w:rPr>
                <w:sz w:val="22"/>
              </w:rPr>
              <w:t>Floating</w:t>
            </w:r>
            <w:r>
              <w:rPr>
                <w:sz w:val="22"/>
              </w:rPr>
              <w:fldChar w:fldCharType="end"/>
            </w:r>
            <w:r>
              <w:rPr>
                <w:sz w:val="22"/>
              </w:rPr>
              <w:t xml:space="preserve"> Price over (ii) the </w:t>
            </w:r>
            <w:r>
              <w:rPr>
                <w:sz w:val="22"/>
              </w:rPr>
              <w:fldChar w:fldCharType="begin"/>
            </w:r>
            <w:r>
              <w:rPr>
                <w:sz w:val="22"/>
              </w:rPr>
              <w:instrText xml:space="preserve"> MERGEFIELD StrikeFloatingPrice2 </w:instrText>
            </w:r>
            <w:r>
              <w:rPr>
                <w:sz w:val="22"/>
              </w:rPr>
              <w:fldChar w:fldCharType="separate"/>
            </w:r>
            <w:r>
              <w:rPr>
                <w:sz w:val="22"/>
              </w:rPr>
              <w:t>Strike</w:t>
            </w:r>
            <w:r>
              <w:rPr>
                <w:sz w:val="22"/>
              </w:rPr>
              <w:fldChar w:fldCharType="end"/>
            </w:r>
            <w:r>
              <w:rPr>
                <w:sz w:val="22"/>
              </w:rPr>
              <w:t xml:space="preserve"> Price</w:t>
            </w:r>
          </w:p>
        </w:tc>
      </w:tr>
    </w:tbl>
    <w:p>
      <w:pPr>
        <w:pStyle w:val="Normal"/>
        <w:widowControl/>
        <w:bidi w:val="0"/>
        <w:ind w:hanging="0" w:start="0" w:end="0"/>
        <w:jc w:val="start"/>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7"/>
        <w:gridCol w:w="5670"/>
      </w:tblGrid>
      <w:tr>
        <w:trPr>
          <w:cantSplit w:val="true"/>
        </w:trPr>
        <w:tc>
          <w:tcPr>
            <w:tcW w:w="4247" w:type="dxa"/>
            <w:tcBorders/>
          </w:tcPr>
          <w:p>
            <w:pPr>
              <w:pStyle w:val="Normal"/>
              <w:widowControl/>
              <w:tabs>
                <w:tab w:val="clear" w:pos="720"/>
              </w:tabs>
              <w:bidi w:val="0"/>
              <w:ind w:firstLine="720" w:start="0" w:end="0"/>
              <w:jc w:val="start"/>
              <w:rPr/>
            </w:pPr>
            <w:r>
              <w:rPr>
                <w:sz w:val="22"/>
              </w:rPr>
              <w:t>Cash Settlement Amount:</w:t>
            </w:r>
          </w:p>
        </w:tc>
        <w:tc>
          <w:tcPr>
            <w:tcW w:w="5670" w:type="dxa"/>
            <w:tcBorders/>
          </w:tcPr>
          <w:p>
            <w:pPr>
              <w:pStyle w:val="Normal"/>
              <w:widowControl/>
              <w:tabs>
                <w:tab w:val="clear" w:pos="720"/>
              </w:tabs>
              <w:bidi w:val="0"/>
              <w:ind w:hanging="0" w:start="0" w:end="0"/>
              <w:jc w:val="both"/>
              <w:rPr/>
            </w:pPr>
            <w:r>
              <w:rPr>
                <w:sz w:val="22"/>
              </w:rPr>
              <w:fldChar w:fldCharType="begin"/>
            </w:r>
            <w:r>
              <w:rPr>
                <w:sz w:val="22"/>
              </w:rPr>
              <w:instrText xml:space="preserve"> MERGEFIELD SettlementAmount </w:instrText>
            </w:r>
            <w:r>
              <w:rPr>
                <w:sz w:val="22"/>
              </w:rPr>
              <w:fldChar w:fldCharType="separate"/>
            </w:r>
            <w:r>
              <w:rPr>
                <w:sz w:val="22"/>
              </w:rPr>
              <w:t>Notwithstanding any provision of in the Agreement Confirmation to the contrary, for each relevant Payment Date the Exercise Period, an amount owing, if any, shall be equal to the aggregate of the product of (i) the Notional Quantity per Determination Period multiplied by (ii) the Strike price Differential for each such the Determination Period</w:t>
            </w:r>
            <w:r>
              <w:rPr>
                <w:sz w:val="22"/>
              </w:rPr>
              <w:fldChar w:fldCharType="end"/>
            </w:r>
            <w:r>
              <w:rPr>
                <w:sz w:val="22"/>
              </w:rPr>
              <w:t xml:space="preserve"> </w:t>
            </w:r>
            <w:r>
              <w:rPr>
                <w:sz w:val="22"/>
              </w:rPr>
              <w:t xml:space="preserve">which amount shall be due and payable on the </w:t>
            </w:r>
            <w:r>
              <w:rPr>
                <w:strike/>
                <w:sz w:val="22"/>
              </w:rPr>
              <w:t>applicable Payment Date for such Determination Period (if for any Determination Period</w:t>
            </w:r>
            <w:r>
              <w:rPr>
                <w:sz w:val="22"/>
              </w:rPr>
              <w:t xml:space="preserve"> </w:t>
            </w:r>
            <w:r>
              <w:rPr>
                <w:b/>
                <w:sz w:val="22"/>
                <w:u w:val="single"/>
              </w:rPr>
              <w:t xml:space="preserve">Payment Date (if </w:t>
            </w:r>
            <w:r>
              <w:rPr>
                <w:sz w:val="22"/>
              </w:rPr>
              <w:t xml:space="preserve">the </w:t>
            </w:r>
            <w:r>
              <w:rPr>
                <w:sz w:val="22"/>
              </w:rPr>
              <w:fldChar w:fldCharType="begin"/>
            </w:r>
            <w:r>
              <w:rPr>
                <w:sz w:val="22"/>
              </w:rPr>
              <w:instrText xml:space="preserve"> MERGEFIELD StrikeFloatingPrice1 </w:instrText>
            </w:r>
            <w:r>
              <w:rPr>
                <w:sz w:val="22"/>
              </w:rPr>
              <w:fldChar w:fldCharType="separate"/>
            </w:r>
            <w:r>
              <w:rPr>
                <w:sz w:val="22"/>
              </w:rPr>
              <w:t>Floating</w:t>
            </w:r>
            <w:r>
              <w:rPr>
                <w:sz w:val="22"/>
              </w:rPr>
              <w:fldChar w:fldCharType="end"/>
            </w:r>
            <w:r>
              <w:rPr>
                <w:sz w:val="22"/>
              </w:rPr>
              <w:t xml:space="preserve"> Price is equal to or less than the </w:t>
            </w:r>
            <w:r>
              <w:rPr>
                <w:sz w:val="22"/>
              </w:rPr>
              <w:fldChar w:fldCharType="begin"/>
            </w:r>
            <w:r>
              <w:rPr>
                <w:sz w:val="22"/>
              </w:rPr>
              <w:instrText xml:space="preserve"> MERGEFIELD StrikeFloatingPrice2 </w:instrText>
            </w:r>
            <w:r>
              <w:rPr>
                <w:sz w:val="22"/>
              </w:rPr>
              <w:fldChar w:fldCharType="separate"/>
            </w:r>
            <w:r>
              <w:rPr>
                <w:sz w:val="22"/>
              </w:rPr>
              <w:t>Strike</w:t>
            </w:r>
            <w:r>
              <w:rPr>
                <w:sz w:val="22"/>
              </w:rPr>
              <w:fldChar w:fldCharType="end"/>
            </w:r>
            <w:r>
              <w:rPr>
                <w:sz w:val="22"/>
              </w:rPr>
              <w:t xml:space="preserve"> Price, then no payment shall be due with respect to </w:t>
            </w:r>
            <w:r>
              <w:rPr>
                <w:strike/>
                <w:sz w:val="22"/>
              </w:rPr>
              <w:t>such</w:t>
            </w:r>
            <w:r>
              <w:rPr>
                <w:sz w:val="22"/>
              </w:rPr>
              <w:t xml:space="preserve"> </w:t>
            </w:r>
            <w:r>
              <w:rPr>
                <w:b/>
                <w:sz w:val="22"/>
                <w:u w:val="single"/>
              </w:rPr>
              <w:t>the</w:t>
            </w:r>
            <w:r>
              <w:rPr>
                <w:sz w:val="22"/>
              </w:rPr>
              <w:t xml:space="preserve"> Determination Period)</w:t>
            </w:r>
          </w:p>
        </w:tc>
      </w:tr>
    </w:tbl>
    <w:p>
      <w:pPr>
        <w:pStyle w:val="Normal"/>
        <w:widowControl/>
        <w:tabs>
          <w:tab w:val="clear" w:pos="720"/>
          <w:tab w:val="left" w:pos="4320" w:leader="none"/>
        </w:tabs>
        <w:bidi w:val="0"/>
        <w:ind w:hanging="0" w:start="0" w:end="0"/>
        <w:jc w:val="start"/>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7"/>
        <w:gridCol w:w="5670"/>
      </w:tblGrid>
      <w:tr>
        <w:trPr>
          <w:cantSplit w:val="true"/>
        </w:trPr>
        <w:tc>
          <w:tcPr>
            <w:tcW w:w="4247" w:type="dxa"/>
            <w:tcBorders/>
          </w:tcPr>
          <w:p>
            <w:pPr>
              <w:pStyle w:val="Normal"/>
              <w:widowControl/>
              <w:tabs>
                <w:tab w:val="clear" w:pos="720"/>
                <w:tab w:val="left" w:pos="4230" w:leader="none"/>
              </w:tabs>
              <w:bidi w:val="0"/>
              <w:ind w:hanging="0" w:start="0" w:end="0"/>
              <w:jc w:val="start"/>
              <w:rPr/>
            </w:pPr>
            <w:r>
              <w:rPr>
                <w:sz w:val="22"/>
              </w:rPr>
              <w:t xml:space="preserve">             </w:t>
            </w:r>
            <w:r>
              <w:rPr>
                <w:sz w:val="22"/>
              </w:rPr>
              <w:t>Payment Date(s):</w:t>
            </w:r>
          </w:p>
        </w:tc>
        <w:tc>
          <w:tcPr>
            <w:tcW w:w="5670" w:type="dxa"/>
            <w:tcBorders/>
          </w:tcPr>
          <w:p>
            <w:pPr>
              <w:pStyle w:val="Normal"/>
              <w:widowControl/>
              <w:tabs>
                <w:tab w:val="clear" w:pos="720"/>
                <w:tab w:val="left" w:pos="4230" w:leader="none"/>
              </w:tabs>
              <w:bidi w:val="0"/>
              <w:ind w:hanging="0" w:start="0" w:end="0"/>
              <w:jc w:val="both"/>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widowControl/>
        <w:tabs>
          <w:tab w:val="clear" w:pos="720"/>
          <w:tab w:val="left" w:pos="4230" w:leader="none"/>
        </w:tabs>
        <w:bidi w:val="0"/>
        <w:ind w:hanging="0" w:start="720" w:end="-1260"/>
        <w:jc w:val="start"/>
        <w:rPr>
          <w:sz w:val="22"/>
        </w:rPr>
      </w:pPr>
      <w:r>
        <w:rPr>
          <w:sz w:val="22"/>
        </w:rPr>
      </w:r>
    </w:p>
    <w:p>
      <w:pPr>
        <w:pStyle w:val="Normal"/>
        <w:widowControl/>
        <w:tabs>
          <w:tab w:val="clear" w:pos="720"/>
          <w:tab w:val="left" w:pos="4230" w:leader="none"/>
        </w:tabs>
        <w:bidi w:val="0"/>
        <w:ind w:hanging="0" w:start="0" w:end="0"/>
        <w:jc w:val="start"/>
        <w:rPr>
          <w:sz w:val="22"/>
        </w:rPr>
      </w:pPr>
      <w:r>
        <w:rPr>
          <w:b/>
          <w:sz w:val="22"/>
        </w:rPr>
        <w:t>Contractual Currency:</w:t>
      </w:r>
      <w:r>
        <w:rPr>
          <w:sz w:val="22"/>
        </w:rPr>
        <w:tab/>
      </w: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p>
      <w:pPr>
        <w:pStyle w:val="Normal"/>
        <w:widowControl/>
        <w:bidi w:val="0"/>
        <w:ind w:hanging="0" w:start="0" w:end="0"/>
        <w:jc w:val="start"/>
        <w:rPr>
          <w:sz w:val="22"/>
        </w:rPr>
      </w:pPr>
      <w:r>
        <w:rPr>
          <w:sz w:val="22"/>
        </w:rPr>
      </w:r>
    </w:p>
    <w:p>
      <w:pPr>
        <w:pStyle w:val="Normal"/>
        <w:widowControl/>
        <w:tabs>
          <w:tab w:val="clear" w:pos="720"/>
          <w:tab w:val="left" w:pos="4230" w:leader="none"/>
        </w:tabs>
        <w:bidi w:val="0"/>
        <w:ind w:hanging="0" w:start="0" w:end="0"/>
        <w:jc w:val="start"/>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Texas</w:t>
      </w:r>
      <w:r>
        <w:rPr>
          <w:sz w:val="22"/>
        </w:rPr>
        <w:fldChar w:fldCharType="end"/>
      </w:r>
      <w:r>
        <w:rPr>
          <w:sz w:val="22"/>
        </w:rPr>
        <w:tab/>
        <w:tab/>
        <w:tab/>
      </w:r>
    </w:p>
    <w:p>
      <w:pPr>
        <w:pStyle w:val="Normal"/>
        <w:widowControl/>
        <w:tabs>
          <w:tab w:val="clear" w:pos="720"/>
          <w:tab w:val="left" w:pos="4230" w:leader="none"/>
        </w:tabs>
        <w:bidi w:val="0"/>
        <w:ind w:hanging="0" w:start="0" w:end="0"/>
        <w:jc w:val="start"/>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7"/>
        <w:gridCol w:w="5670"/>
      </w:tblGrid>
      <w:tr>
        <w:trPr>
          <w:cantSplit w:val="true"/>
        </w:trPr>
        <w:tc>
          <w:tcPr>
            <w:tcW w:w="4247" w:type="dxa"/>
            <w:tcBorders/>
          </w:tcPr>
          <w:p>
            <w:pPr>
              <w:pStyle w:val="Normal"/>
              <w:widowControl/>
              <w:bidi w:val="0"/>
              <w:ind w:hanging="0" w:start="0" w:end="-540"/>
              <w:jc w:val="start"/>
              <w:rPr>
                <w:sz w:val="22"/>
              </w:rPr>
            </w:pPr>
            <w:r>
              <w:rPr>
                <w:b/>
                <w:sz w:val="22"/>
              </w:rPr>
              <w:t>General Terms and Conditions</w:t>
            </w:r>
            <w:r>
              <w:rPr>
                <w:sz w:val="22"/>
              </w:rPr>
              <w:tab/>
              <w:tab/>
            </w:r>
          </w:p>
          <w:p>
            <w:pPr>
              <w:pStyle w:val="Normal"/>
              <w:widowControl/>
              <w:bidi w:val="0"/>
              <w:ind w:hanging="0" w:start="0" w:end="0"/>
              <w:jc w:val="start"/>
              <w:rPr/>
            </w:pPr>
            <w:r>
              <w:rPr>
                <w:b/>
                <w:sz w:val="22"/>
              </w:rPr>
              <w:t>of Confirmations:</w:t>
            </w:r>
            <w:r>
              <w:rPr>
                <w:sz w:val="22"/>
              </w:rPr>
              <w:tab/>
            </w:r>
          </w:p>
        </w:tc>
        <w:tc>
          <w:tcPr>
            <w:tcW w:w="5670" w:type="dxa"/>
            <w:tcBorders/>
          </w:tcPr>
          <w:p>
            <w:pPr>
              <w:pStyle w:val="Normal"/>
              <w:widowControl/>
              <w:bidi w:val="0"/>
              <w:ind w:hanging="0" w:start="0" w:end="0"/>
              <w:jc w:val="both"/>
              <w:rPr/>
            </w:pPr>
            <w:r>
              <w:rPr>
                <w:sz w:val="22"/>
              </w:rPr>
              <w:t xml:space="preserve">The general terms and conditions contained in Annex A attached hereto and made part hereof apply and are incorporated herein </w:t>
            </w:r>
          </w:p>
        </w:tc>
      </w:tr>
    </w:tbl>
    <w:p>
      <w:pPr>
        <w:pStyle w:val="Normal"/>
        <w:widowControl/>
        <w:bidi w:val="0"/>
        <w:ind w:hanging="0" w:start="0" w:end="-990"/>
        <w:jc w:val="start"/>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7"/>
        <w:gridCol w:w="5670"/>
      </w:tblGrid>
      <w:tr>
        <w:trPr>
          <w:cantSplit w:val="true"/>
        </w:trPr>
        <w:tc>
          <w:tcPr>
            <w:tcW w:w="4247" w:type="dxa"/>
            <w:tcBorders/>
          </w:tcPr>
          <w:p>
            <w:pPr>
              <w:pStyle w:val="Normal"/>
              <w:widowControl/>
              <w:bidi w:val="0"/>
              <w:ind w:hanging="0" w:start="0" w:end="0"/>
              <w:jc w:val="start"/>
              <w:rPr/>
            </w:pPr>
            <w:r>
              <w:rPr>
                <w:b/>
                <w:sz w:val="22"/>
              </w:rPr>
              <w:t>Credit or Other Special Provisions:</w:t>
            </w:r>
            <w:r>
              <w:rPr>
                <w:sz w:val="22"/>
              </w:rPr>
              <w:tab/>
            </w:r>
          </w:p>
        </w:tc>
        <w:tc>
          <w:tcPr>
            <w:tcW w:w="5670" w:type="dxa"/>
            <w:tcBorders/>
          </w:tcPr>
          <w:p>
            <w:pPr>
              <w:pStyle w:val="Normal"/>
              <w:widowControl/>
              <w:bidi w:val="0"/>
              <w:ind w:hanging="0" w:start="0" w:end="0"/>
              <w:jc w:val="both"/>
              <w:rPr/>
            </w:pPr>
            <w:r>
              <w:rPr>
                <w:sz w:val="22"/>
              </w:rPr>
              <w:fldChar w:fldCharType="begin"/>
            </w:r>
            <w:r>
              <w:rPr>
                <w:sz w:val="22"/>
              </w:rPr>
              <w:instrText xml:space="preserve"> MERGEFIELD CreditProvision </w:instrText>
            </w:r>
            <w:r>
              <w:rPr>
                <w:sz w:val="22"/>
              </w:rPr>
              <w:fldChar w:fldCharType="separate"/>
            </w:r>
            <w:r>
              <w:rPr>
                <w:sz w:val="22"/>
              </w:rPr>
              <w:t xml:space="preserve"> </w:t>
            </w:r>
            <w:r>
              <w:rPr>
                <w:sz w:val="22"/>
              </w:rPr>
              <w:fldChar w:fldCharType="end"/>
            </w:r>
          </w:p>
        </w:tc>
      </w:tr>
    </w:tbl>
    <w:p>
      <w:pPr>
        <w:pStyle w:val="Normal"/>
        <w:widowControl/>
        <w:bidi w:val="0"/>
        <w:ind w:hanging="0" w:start="0" w:end="-990"/>
        <w:jc w:val="start"/>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9918"/>
      </w:tblGrid>
      <w:tr>
        <w:trPr>
          <w:cantSplit w:val="true"/>
        </w:trPr>
        <w:tc>
          <w:tcPr>
            <w:tcW w:w="9918" w:type="dxa"/>
            <w:tcBorders/>
          </w:tcPr>
          <w:p>
            <w:pPr>
              <w:pStyle w:val="Normal"/>
              <w:widowControl/>
              <w:tabs>
                <w:tab w:val="clear" w:pos="720"/>
              </w:tabs>
              <w:bidi w:val="0"/>
              <w:ind w:hanging="0" w:start="0" w:end="0"/>
              <w:jc w:val="both"/>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widowControl/>
        <w:bidi w:val="0"/>
        <w:ind w:firstLine="720" w:start="0" w:end="-450"/>
        <w:jc w:val="both"/>
        <w:rPr>
          <w:sz w:val="22"/>
        </w:rPr>
      </w:pPr>
      <w:r>
        <w:rPr>
          <w:sz w:val="22"/>
        </w:rPr>
      </w:r>
    </w:p>
    <w:p>
      <w:pPr>
        <w:pStyle w:val="Normal"/>
        <w:widowControl/>
        <w:bidi w:val="0"/>
        <w:ind w:firstLine="720" w:start="0" w:end="414"/>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widowControl/>
        <w:bidi w:val="0"/>
        <w:ind w:hanging="0" w:start="0" w:end="-450"/>
        <w:jc w:val="both"/>
        <w:rPr>
          <w:sz w:val="22"/>
        </w:rPr>
      </w:pPr>
      <w:r>
        <w:rPr>
          <w:sz w:val="22"/>
        </w:rPr>
      </w:r>
    </w:p>
    <w:p>
      <w:pPr>
        <w:pStyle w:val="BodyText2"/>
        <w:widowControl/>
        <w:bidi w:val="0"/>
        <w:rPr>
          <w:rFonts w:ascii="Times New Roman" w:hAnsi="Times New Roman"/>
        </w:rPr>
      </w:pPr>
      <w:r>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bidi w:val="0"/>
        <w:ind w:hanging="0" w:start="0" w:end="414"/>
        <w:jc w:val="both"/>
        <w:rPr>
          <w:sz w:val="22"/>
        </w:rPr>
      </w:pPr>
      <w:r>
        <w:rPr>
          <w:sz w:val="22"/>
        </w:rPr>
      </w:r>
    </w:p>
    <w:p>
      <w:pPr>
        <w:pStyle w:val="Normal"/>
        <w:widowControl/>
        <w:bidi w:val="0"/>
        <w:ind w:hanging="0" w:start="0" w:end="414"/>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t xml:space="preserve"> </w:t>
      </w:r>
      <w:r>
        <w:rPr>
          <w:sz w:val="22"/>
        </w:rPr>
        <w:fldChar w:fldCharType="end"/>
      </w:r>
    </w:p>
    <w:p>
      <w:pPr>
        <w:pStyle w:val="Normal"/>
        <w:widowControl/>
        <w:bidi w:val="0"/>
        <w:ind w:hanging="0" w:start="0" w:end="414"/>
        <w:jc w:val="both"/>
        <w:rPr>
          <w:sz w:val="22"/>
        </w:rPr>
      </w:pPr>
      <w:r>
        <w:rPr>
          <w:sz w:val="22"/>
        </w:rPr>
      </w:r>
    </w:p>
    <w:p>
      <w:pPr>
        <w:pStyle w:val="Normal"/>
        <w:widowControl/>
        <w:bidi w:val="0"/>
        <w:ind w:firstLine="720" w:start="0" w:end="414"/>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bidi w:val="0"/>
        <w:ind w:hanging="0" w:start="0" w:end="414"/>
        <w:jc w:val="start"/>
        <w:rPr>
          <w:sz w:val="22"/>
        </w:rPr>
      </w:pPr>
      <w:r>
        <w:rPr>
          <w:sz w:val="22"/>
        </w:rPr>
      </w:r>
    </w:p>
    <w:p>
      <w:pPr>
        <w:pStyle w:val="Normal"/>
        <w:widowControl/>
        <w:bidi w:val="0"/>
        <w:ind w:hanging="0" w:start="0" w:end="414"/>
        <w:jc w:val="start"/>
        <w:rPr>
          <w:sz w:val="22"/>
        </w:rPr>
      </w:pPr>
      <w:r>
        <w:rPr>
          <w:sz w:val="22"/>
        </w:rPr>
      </w:r>
    </w:p>
    <w:p>
      <w:pPr>
        <w:pStyle w:val="Normal"/>
        <w:widowControl/>
        <w:bidi w:val="0"/>
        <w:ind w:hanging="0" w:start="0" w:end="414"/>
        <w:jc w:val="start"/>
        <w:rPr>
          <w:sz w:val="22"/>
        </w:rPr>
      </w:pPr>
      <w:r>
        <w:rPr>
          <w:sz w:val="22"/>
        </w:rPr>
        <w:t>Sincerely,</w:t>
      </w:r>
    </w:p>
    <w:p>
      <w:pPr>
        <w:pStyle w:val="Normal"/>
        <w:widowControl/>
        <w:bidi w:val="0"/>
        <w:ind w:hanging="0" w:start="0" w:end="414"/>
        <w:jc w:val="start"/>
        <w:rPr>
          <w:sz w:val="22"/>
        </w:rPr>
      </w:pPr>
      <w:r>
        <w:rPr>
          <w:sz w:val="22"/>
        </w:rPr>
        <w:tab/>
      </w:r>
    </w:p>
    <w:tbl>
      <w:tblPr>
        <w:tblW w:w="9576" w:type="dxa"/>
        <w:jc w:val="start"/>
        <w:tblInd w:w="0" w:type="dxa"/>
        <w:tblLayout w:type="fixed"/>
        <w:tblCellMar>
          <w:top w:w="0" w:type="dxa"/>
          <w:start w:w="108" w:type="dxa"/>
          <w:bottom w:w="0" w:type="dxa"/>
          <w:end w:w="108" w:type="dxa"/>
        </w:tblCellMar>
      </w:tblPr>
      <w:tblGrid>
        <w:gridCol w:w="4337"/>
        <w:gridCol w:w="5238"/>
      </w:tblGrid>
      <w:tr>
        <w:trPr>
          <w:cantSplit w:val="true"/>
        </w:trPr>
        <w:tc>
          <w:tcPr>
            <w:tcW w:w="4337" w:type="dxa"/>
            <w:tcBorders/>
          </w:tcPr>
          <w:p>
            <w:pPr>
              <w:pStyle w:val="Normal"/>
              <w:widowControl/>
              <w:tabs>
                <w:tab w:val="clear" w:pos="720"/>
              </w:tabs>
              <w:bidi w:val="0"/>
              <w:ind w:hanging="0" w:start="0" w:end="414"/>
              <w:jc w:val="start"/>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5238" w:type="dxa"/>
            <w:tcBorders/>
          </w:tcPr>
          <w:p>
            <w:pPr>
              <w:pStyle w:val="Normal"/>
              <w:widowControl/>
              <w:tabs>
                <w:tab w:val="clear" w:pos="720"/>
              </w:tabs>
              <w:bidi w:val="0"/>
              <w:ind w:hanging="0" w:start="0" w:end="414"/>
              <w:jc w:val="start"/>
              <w:rPr/>
            </w:pPr>
            <w:r>
              <w:rPr>
                <w:sz w:val="22"/>
              </w:rPr>
              <w:fldChar w:fldCharType="begin"/>
            </w:r>
            <w:r>
              <w:rPr>
                <w:sz w:val="22"/>
              </w:rPr>
              <w:instrText xml:space="preserve"> MERGEFIELD CounterpartyName </w:instrText>
            </w:r>
            <w:r>
              <w:rPr>
                <w:sz w:val="22"/>
              </w:rPr>
              <w:fldChar w:fldCharType="separate"/>
            </w:r>
            <w:r>
              <w:rPr>
                <w:sz w:val="22"/>
              </w:rPr>
              <w:t>General Electric Company</w:t>
            </w:r>
            <w:r>
              <w:rPr>
                <w:sz w:val="22"/>
              </w:rPr>
              <w:fldChar w:fldCharType="end"/>
            </w:r>
          </w:p>
        </w:tc>
      </w:tr>
    </w:tbl>
    <w:p>
      <w:pPr>
        <w:pStyle w:val="Normal"/>
        <w:widowControl/>
        <w:bidi w:val="0"/>
        <w:ind w:hanging="0" w:start="0" w:end="414"/>
        <w:jc w:val="start"/>
        <w:rPr>
          <w:sz w:val="22"/>
        </w:rPr>
      </w:pPr>
      <w:r>
        <w:rPr>
          <w:sz w:val="22"/>
        </w:rPr>
      </w:r>
    </w:p>
    <w:p>
      <w:pPr>
        <w:pStyle w:val="Normal"/>
        <w:widowControl/>
        <w:tabs>
          <w:tab w:val="clear" w:pos="720"/>
          <w:tab w:val="left" w:pos="4320" w:leader="none"/>
        </w:tabs>
        <w:bidi w:val="0"/>
        <w:ind w:hanging="0" w:start="0" w:end="414"/>
        <w:jc w:val="start"/>
        <w:rPr>
          <w:sz w:val="22"/>
          <w:u w:val="single"/>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r>
        <w:rPr>
          <w:sz w:val="22"/>
        </w:rPr>
        <w:tab/>
        <w:t xml:space="preserve">By:  </w:t>
      </w:r>
      <w:r>
        <w:rPr>
          <w:sz w:val="22"/>
          <w:u w:val="single"/>
        </w:rPr>
        <w:tab/>
        <w:tab/>
        <w:tab/>
        <w:tab/>
        <w:tab/>
        <w:tab/>
      </w:r>
    </w:p>
    <w:p>
      <w:pPr>
        <w:pStyle w:val="Normal"/>
        <w:widowControl/>
        <w:tabs>
          <w:tab w:val="clear" w:pos="720"/>
          <w:tab w:val="left" w:pos="4320" w:leader="none"/>
        </w:tabs>
        <w:bidi w:val="0"/>
        <w:ind w:hanging="0" w:start="0" w:end="414"/>
        <w:jc w:val="start"/>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r>
        <w:rPr>
          <w:sz w:val="22"/>
        </w:rPr>
        <w:tab/>
        <w:t>Name: _________________________________</w:t>
      </w:r>
    </w:p>
    <w:p>
      <w:pPr>
        <w:pStyle w:val="Normal"/>
        <w:widowControl/>
        <w:tabs>
          <w:tab w:val="clear" w:pos="720"/>
          <w:tab w:val="left" w:pos="4320" w:leader="none"/>
        </w:tabs>
        <w:bidi w:val="0"/>
        <w:ind w:hanging="0" w:start="0" w:end="414"/>
        <w:jc w:val="start"/>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r>
        <w:rPr>
          <w:sz w:val="22"/>
        </w:rPr>
        <w:tab/>
        <w:t>Title: __________________________________</w:t>
      </w:r>
    </w:p>
    <w:p>
      <w:pPr>
        <w:pStyle w:val="Normal"/>
        <w:widowControl/>
        <w:bidi w:val="0"/>
        <w:ind w:hanging="0" w:start="0" w:end="414"/>
        <w:jc w:val="start"/>
        <w:rPr>
          <w:sz w:val="22"/>
        </w:rPr>
      </w:pPr>
      <w:r>
        <w:rPr>
          <w:sz w:val="22"/>
        </w:rPr>
      </w:r>
    </w:p>
    <w:p>
      <w:pPr>
        <w:pStyle w:val="Normal"/>
        <w:widowControl/>
        <w:bidi w:val="0"/>
        <w:ind w:hanging="0" w:start="0" w:end="414"/>
        <w:jc w:val="start"/>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widowControl/>
        <w:bidi w:val="0"/>
        <w:ind w:hanging="0" w:start="0" w:end="414"/>
        <w:jc w:val="start"/>
        <w:rPr>
          <w:sz w:val="22"/>
        </w:rPr>
      </w:pPr>
      <w:r>
        <w:rPr>
          <w:sz w:val="22"/>
        </w:rPr>
      </w:r>
    </w:p>
    <w:p>
      <w:pPr>
        <w:pStyle w:val="Normal"/>
        <w:widowControl/>
        <w:bidi w:val="0"/>
        <w:ind w:hanging="0" w:start="0" w:end="414"/>
        <w:jc w:val="start"/>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07"/>
        <w:gridCol w:w="4968"/>
      </w:tblGrid>
      <w:tr>
        <w:trPr>
          <w:cantSplit w:val="true"/>
        </w:trPr>
        <w:tc>
          <w:tcPr>
            <w:tcW w:w="4607" w:type="dxa"/>
            <w:tcBorders/>
          </w:tcPr>
          <w:p>
            <w:pPr>
              <w:pStyle w:val="Normal"/>
              <w:widowControl/>
              <w:tabs>
                <w:tab w:val="clear" w:pos="720"/>
              </w:tabs>
              <w:bidi w:val="0"/>
              <w:ind w:hanging="0" w:start="0" w:end="414"/>
              <w:jc w:val="start"/>
              <w:rPr/>
            </w:pPr>
            <w:r>
              <w:rPr>
                <w:b/>
                <w:sz w:val="22"/>
              </w:rPr>
              <w:t>Address for Notices to ENA</w:t>
            </w:r>
            <w:r>
              <w:rPr>
                <w:sz w:val="22"/>
              </w:rPr>
              <w:t>:</w:t>
            </w:r>
          </w:p>
        </w:tc>
        <w:tc>
          <w:tcPr>
            <w:tcW w:w="4968" w:type="dxa"/>
            <w:tcBorders/>
          </w:tcPr>
          <w:p>
            <w:pPr>
              <w:pStyle w:val="Normal"/>
              <w:widowControl/>
              <w:tabs>
                <w:tab w:val="clear" w:pos="720"/>
              </w:tabs>
              <w:bidi w:val="0"/>
              <w:ind w:hanging="0" w:start="0" w:end="414"/>
              <w:jc w:val="start"/>
              <w:rPr/>
            </w:pPr>
            <w:r>
              <w:rPr>
                <w:b/>
                <w:sz w:val="22"/>
              </w:rPr>
              <w:t>Payment Account Information for ENA:</w:t>
            </w:r>
          </w:p>
        </w:tc>
      </w:tr>
      <w:tr>
        <w:trPr>
          <w:cantSplit w:val="true"/>
        </w:trPr>
        <w:tc>
          <w:tcPr>
            <w:tcW w:w="4607" w:type="dxa"/>
            <w:tcBorders/>
          </w:tcPr>
          <w:p>
            <w:pPr>
              <w:pStyle w:val="Normal"/>
              <w:widowControl/>
              <w:tabs>
                <w:tab w:val="clear" w:pos="720"/>
              </w:tabs>
              <w:bidi w:val="0"/>
              <w:ind w:hanging="0" w:start="0" w:end="414"/>
              <w:jc w:val="start"/>
              <w:rPr>
                <w:sz w:val="22"/>
              </w:rPr>
            </w:pPr>
            <w:r>
              <w:rPr>
                <w:sz w:val="22"/>
              </w:rPr>
            </w:r>
          </w:p>
        </w:tc>
        <w:tc>
          <w:tcPr>
            <w:tcW w:w="4968" w:type="dxa"/>
            <w:tcBorders/>
          </w:tcPr>
          <w:p>
            <w:pPr>
              <w:pStyle w:val="Normal"/>
              <w:widowControl/>
              <w:tabs>
                <w:tab w:val="clear" w:pos="720"/>
              </w:tabs>
              <w:bidi w:val="0"/>
              <w:ind w:hanging="0" w:start="0" w:end="414"/>
              <w:jc w:val="start"/>
              <w:rPr>
                <w:sz w:val="22"/>
              </w:rPr>
            </w:pPr>
            <w:r>
              <w:rPr>
                <w:sz w:val="22"/>
              </w:rPr>
            </w:r>
          </w:p>
        </w:tc>
      </w:tr>
      <w:tr>
        <w:trPr>
          <w:cantSplit w:val="true"/>
        </w:trPr>
        <w:tc>
          <w:tcPr>
            <w:tcW w:w="4607" w:type="dxa"/>
            <w:tcBorders/>
          </w:tcPr>
          <w:p>
            <w:pPr>
              <w:pStyle w:val="Normal"/>
              <w:widowControl/>
              <w:bidi w:val="0"/>
              <w:ind w:hanging="0" w:start="0" w:end="414"/>
              <w:jc w:val="start"/>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68" w:type="dxa"/>
            <w:tcBorders/>
          </w:tcPr>
          <w:p>
            <w:pPr>
              <w:pStyle w:val="Normal"/>
              <w:widowControl/>
              <w:bidi w:val="0"/>
              <w:ind w:hanging="0" w:start="0" w:end="414"/>
              <w:jc w:val="start"/>
              <w:rPr/>
            </w:pPr>
            <w:r>
              <w:rPr>
                <w:sz w:val="22"/>
              </w:rPr>
              <w:t>See invoice for wire instructions</w:t>
            </w:r>
          </w:p>
        </w:tc>
      </w:tr>
      <w:tr>
        <w:trPr>
          <w:cantSplit w:val="true"/>
        </w:trPr>
        <w:tc>
          <w:tcPr>
            <w:tcW w:w="4607" w:type="dxa"/>
            <w:tcBorders/>
          </w:tcPr>
          <w:p>
            <w:pPr>
              <w:pStyle w:val="Normal"/>
              <w:widowControl/>
              <w:bidi w:val="0"/>
              <w:ind w:hanging="0" w:start="0" w:end="414"/>
              <w:jc w:val="start"/>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68" w:type="dxa"/>
            <w:tcBorders/>
          </w:tcPr>
          <w:p>
            <w:pPr>
              <w:pStyle w:val="Normal"/>
              <w:widowControl/>
              <w:bidi w:val="0"/>
              <w:ind w:hanging="0" w:start="0" w:end="414"/>
              <w:jc w:val="start"/>
              <w:rPr>
                <w:sz w:val="22"/>
              </w:rPr>
            </w:pPr>
            <w:r>
              <w:rPr>
                <w:sz w:val="22"/>
              </w:rPr>
            </w:r>
          </w:p>
        </w:tc>
      </w:tr>
      <w:tr>
        <w:trPr>
          <w:cantSplit w:val="true"/>
        </w:trPr>
        <w:tc>
          <w:tcPr>
            <w:tcW w:w="4607" w:type="dxa"/>
            <w:tcBorders/>
          </w:tcPr>
          <w:p>
            <w:pPr>
              <w:pStyle w:val="Normal"/>
              <w:widowControl/>
              <w:bidi w:val="0"/>
              <w:ind w:hanging="0" w:start="0" w:end="414"/>
              <w:jc w:val="start"/>
              <w:rPr/>
            </w:pPr>
            <w:r>
              <w:rPr>
                <w:sz w:val="22"/>
              </w:rPr>
              <w:t>Attention: Director, Documentation Department</w:t>
            </w:r>
          </w:p>
        </w:tc>
        <w:tc>
          <w:tcPr>
            <w:tcW w:w="4968" w:type="dxa"/>
            <w:tcBorders/>
          </w:tcPr>
          <w:p>
            <w:pPr>
              <w:pStyle w:val="Normal"/>
              <w:widowControl/>
              <w:bidi w:val="0"/>
              <w:ind w:hanging="0" w:start="0" w:end="414"/>
              <w:jc w:val="start"/>
              <w:rPr>
                <w:sz w:val="22"/>
              </w:rPr>
            </w:pPr>
            <w:r>
              <w:rPr>
                <w:sz w:val="22"/>
              </w:rPr>
            </w:r>
          </w:p>
        </w:tc>
      </w:tr>
      <w:tr>
        <w:trPr>
          <w:cantSplit w:val="true"/>
        </w:trPr>
        <w:tc>
          <w:tcPr>
            <w:tcW w:w="4607" w:type="dxa"/>
            <w:tcBorders/>
          </w:tcPr>
          <w:p>
            <w:pPr>
              <w:pStyle w:val="Normal"/>
              <w:widowControl/>
              <w:bidi w:val="0"/>
              <w:ind w:hanging="0" w:start="0" w:end="414"/>
              <w:jc w:val="start"/>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68" w:type="dxa"/>
            <w:tcBorders/>
          </w:tcPr>
          <w:p>
            <w:pPr>
              <w:pStyle w:val="Normal"/>
              <w:widowControl/>
              <w:bidi w:val="0"/>
              <w:ind w:hanging="0" w:start="0" w:end="414"/>
              <w:jc w:val="start"/>
              <w:rPr>
                <w:sz w:val="22"/>
              </w:rPr>
            </w:pPr>
            <w:r>
              <w:rPr>
                <w:sz w:val="22"/>
              </w:rPr>
            </w:r>
          </w:p>
        </w:tc>
      </w:tr>
      <w:tr>
        <w:trPr>
          <w:cantSplit w:val="true"/>
        </w:trPr>
        <w:tc>
          <w:tcPr>
            <w:tcW w:w="4607" w:type="dxa"/>
            <w:tcBorders/>
          </w:tcPr>
          <w:p>
            <w:pPr>
              <w:pStyle w:val="Normal"/>
              <w:widowControl/>
              <w:tabs>
                <w:tab w:val="clear" w:pos="720"/>
              </w:tabs>
              <w:bidi w:val="0"/>
              <w:ind w:hanging="0" w:start="0" w:end="414"/>
              <w:jc w:val="start"/>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1 - (800) 684-1336</w:t>
            </w:r>
            <w:r>
              <w:rPr>
                <w:sz w:val="22"/>
              </w:rPr>
              <w:fldChar w:fldCharType="end"/>
            </w:r>
          </w:p>
        </w:tc>
        <w:tc>
          <w:tcPr>
            <w:tcW w:w="4968" w:type="dxa"/>
            <w:tcBorders/>
          </w:tcPr>
          <w:p>
            <w:pPr>
              <w:pStyle w:val="Normal"/>
              <w:widowControl/>
              <w:tabs>
                <w:tab w:val="clear" w:pos="720"/>
              </w:tabs>
              <w:bidi w:val="0"/>
              <w:ind w:hanging="0" w:start="0" w:end="414"/>
              <w:jc w:val="start"/>
              <w:rPr>
                <w:sz w:val="22"/>
              </w:rPr>
            </w:pPr>
            <w:r>
              <w:rPr>
                <w:sz w:val="22"/>
              </w:rPr>
            </w:r>
          </w:p>
        </w:tc>
      </w:tr>
    </w:tbl>
    <w:p>
      <w:pPr>
        <w:pStyle w:val="Normal"/>
        <w:widowControl/>
        <w:bidi w:val="0"/>
        <w:ind w:hanging="0" w:start="0" w:end="414"/>
        <w:jc w:val="start"/>
        <w:rPr>
          <w:sz w:val="22"/>
        </w:rPr>
      </w:pPr>
      <w:r>
        <w:rPr>
          <w:sz w:val="22"/>
        </w:rPr>
      </w:r>
    </w:p>
    <w:p>
      <w:pPr>
        <w:pStyle w:val="Normal"/>
        <w:widowControl/>
        <w:bidi w:val="0"/>
        <w:ind w:hanging="0" w:start="0" w:end="414"/>
        <w:jc w:val="start"/>
        <w:rPr>
          <w:sz w:val="22"/>
        </w:rPr>
      </w:pPr>
      <w:r>
        <w:rPr>
          <w:sz w:val="22"/>
        </w:rPr>
        <w:t>With a copy of any notice given pursuant to Section 3 or 4 of Annex A or Annex B, if any, to:</w:t>
      </w:r>
    </w:p>
    <w:p>
      <w:pPr>
        <w:pStyle w:val="Normal"/>
        <w:widowControl/>
        <w:bidi w:val="0"/>
        <w:ind w:hanging="0" w:start="0" w:end="414"/>
        <w:jc w:val="start"/>
        <w:rPr>
          <w:sz w:val="22"/>
        </w:rPr>
      </w:pPr>
      <w:r>
        <w:rPr>
          <w:sz w:val="22"/>
        </w:rPr>
      </w:r>
    </w:p>
    <w:p>
      <w:pPr>
        <w:pStyle w:val="Normal"/>
        <w:widowControl/>
        <w:bidi w:val="0"/>
        <w:ind w:hanging="0" w:start="0" w:end="414"/>
        <w:jc w:val="start"/>
        <w:rPr>
          <w:sz w:val="22"/>
        </w:rPr>
      </w:pPr>
      <w:r>
        <w:rPr>
          <w:sz w:val="22"/>
        </w:rPr>
        <w:t>1400 Smith Street</w:t>
      </w:r>
    </w:p>
    <w:p>
      <w:pPr>
        <w:pStyle w:val="Normal"/>
        <w:widowControl/>
        <w:bidi w:val="0"/>
        <w:ind w:hanging="0" w:start="0" w:end="414"/>
        <w:jc w:val="start"/>
        <w:rPr>
          <w:sz w:val="22"/>
        </w:rPr>
      </w:pPr>
      <w:r>
        <w:rPr>
          <w:sz w:val="22"/>
        </w:rPr>
        <w:t>Houston, Texas  77002</w:t>
      </w:r>
    </w:p>
    <w:p>
      <w:pPr>
        <w:pStyle w:val="Normal"/>
        <w:widowControl/>
        <w:bidi w:val="0"/>
        <w:ind w:hanging="0" w:start="0" w:end="414"/>
        <w:jc w:val="start"/>
        <w:rPr>
          <w:sz w:val="22"/>
        </w:rPr>
      </w:pPr>
      <w:r>
        <w:rPr>
          <w:sz w:val="22"/>
        </w:rPr>
        <w:t>Attn.: Assistant General Counsel, Trading Group</w:t>
      </w:r>
    </w:p>
    <w:p>
      <w:pPr>
        <w:pStyle w:val="Normal"/>
        <w:widowControl/>
        <w:bidi w:val="0"/>
        <w:ind w:hanging="0" w:start="0" w:end="414"/>
        <w:jc w:val="start"/>
        <w:rPr>
          <w:sz w:val="22"/>
        </w:rPr>
      </w:pPr>
      <w:r>
        <w:rPr>
          <w:sz w:val="22"/>
        </w:rPr>
        <w:t>Fax: (713) 646-4818</w:t>
      </w:r>
    </w:p>
    <w:p>
      <w:pPr>
        <w:pStyle w:val="Normal"/>
        <w:widowControl/>
        <w:bidi w:val="0"/>
        <w:ind w:hanging="0" w:start="0" w:end="414"/>
        <w:jc w:val="start"/>
        <w:rPr>
          <w:sz w:val="22"/>
        </w:rPr>
      </w:pPr>
      <w:r>
        <w:rPr>
          <w:sz w:val="22"/>
        </w:rPr>
      </w:r>
    </w:p>
    <w:p>
      <w:pPr>
        <w:pStyle w:val="Normal"/>
        <w:widowControl/>
        <w:bidi w:val="0"/>
        <w:ind w:hanging="0" w:start="0" w:end="414"/>
        <w:jc w:val="start"/>
        <w:rPr>
          <w:b/>
          <w:sz w:val="22"/>
          <w:u w:val="single"/>
        </w:rPr>
      </w:pPr>
      <w:r>
        <w:rPr>
          <w:b/>
          <w:sz w:val="22"/>
          <w:u w:val="single"/>
        </w:rPr>
        <w:t>Address for Notices to Counterparty:</w:t>
      </w:r>
      <w:r>
        <w:rPr>
          <w:sz w:val="22"/>
        </w:rPr>
        <w:tab/>
        <w:tab/>
      </w:r>
      <w:r>
        <w:rPr>
          <w:b/>
          <w:sz w:val="22"/>
          <w:u w:val="single"/>
        </w:rPr>
        <w:t>Payment Account Information for Counterparty:</w:t>
      </w:r>
    </w:p>
    <w:p>
      <w:pPr>
        <w:pStyle w:val="Normal"/>
        <w:widowControl/>
        <w:bidi w:val="0"/>
        <w:ind w:hanging="0" w:start="0" w:end="414"/>
        <w:jc w:val="start"/>
        <w:rPr>
          <w:b/>
          <w:sz w:val="22"/>
          <w:u w:val="single"/>
        </w:rPr>
      </w:pPr>
      <w:r>
        <w:rPr>
          <w:b/>
          <w:sz w:val="22"/>
          <w:u w:val="single"/>
        </w:rPr>
      </w:r>
    </w:p>
    <w:p>
      <w:pPr>
        <w:pStyle w:val="Normal"/>
        <w:widowControl/>
        <w:bidi w:val="0"/>
        <w:ind w:hanging="0" w:start="0" w:end="414"/>
        <w:jc w:val="start"/>
        <w:rPr>
          <w:sz w:val="22"/>
        </w:rPr>
      </w:pPr>
      <w:r>
        <w:rPr>
          <w:sz w:val="22"/>
        </w:rPr>
        <w:t>Address: ____________________________</w:t>
        <w:tab/>
        <w:t>____________________________________________</w:t>
      </w:r>
    </w:p>
    <w:p>
      <w:pPr>
        <w:pStyle w:val="Normal"/>
        <w:widowControl/>
        <w:bidi w:val="0"/>
        <w:ind w:hanging="0" w:start="0" w:end="414"/>
        <w:jc w:val="start"/>
        <w:rPr>
          <w:sz w:val="22"/>
        </w:rPr>
      </w:pPr>
      <w:r>
        <w:rPr>
          <w:sz w:val="22"/>
        </w:rPr>
        <w:t>____________________________________</w:t>
        <w:tab/>
        <w:t>____________________________________________</w:t>
      </w:r>
    </w:p>
    <w:p>
      <w:pPr>
        <w:pStyle w:val="Normal"/>
        <w:widowControl/>
        <w:bidi w:val="0"/>
        <w:ind w:hanging="0" w:start="0" w:end="414"/>
        <w:jc w:val="start"/>
        <w:rPr>
          <w:sz w:val="22"/>
        </w:rPr>
      </w:pPr>
      <w:r>
        <w:rPr>
          <w:sz w:val="22"/>
        </w:rPr>
        <w:t xml:space="preserve"> </w:t>
      </w:r>
      <w:r>
        <w:rPr>
          <w:sz w:val="22"/>
        </w:rPr>
        <w:t>___________________________________</w:t>
        <w:tab/>
        <w:t>____________________________________________</w:t>
      </w:r>
    </w:p>
    <w:p>
      <w:pPr>
        <w:pStyle w:val="Normal"/>
        <w:widowControl/>
        <w:bidi w:val="0"/>
        <w:ind w:hanging="0" w:start="0" w:end="414"/>
        <w:jc w:val="start"/>
        <w:rPr>
          <w:sz w:val="22"/>
        </w:rPr>
      </w:pPr>
      <w:r>
        <w:rPr>
          <w:sz w:val="22"/>
        </w:rPr>
        <w:t>Attention: ___________________________       ____________________________________________</w:t>
      </w:r>
    </w:p>
    <w:p>
      <w:pPr>
        <w:pStyle w:val="Normal"/>
        <w:widowControl/>
        <w:bidi w:val="0"/>
        <w:ind w:hanging="0" w:start="0" w:end="414"/>
        <w:jc w:val="start"/>
        <w:rPr>
          <w:sz w:val="22"/>
        </w:rPr>
      </w:pPr>
      <w:r>
        <w:rPr>
          <w:sz w:val="22"/>
        </w:rPr>
        <w:t>Fax: ________________________________      ____________________________________________</w:t>
      </w:r>
    </w:p>
    <w:p>
      <w:pPr>
        <w:pStyle w:val="Normal"/>
        <w:widowControl/>
        <w:bidi w:val="0"/>
        <w:ind w:hanging="0" w:start="0" w:end="414"/>
        <w:jc w:val="start"/>
        <w:rPr>
          <w:sz w:val="22"/>
        </w:rPr>
      </w:pPr>
      <w:r>
        <w:rPr>
          <w:sz w:val="22"/>
        </w:rPr>
        <w:t>Phone: ______________________________      ____________________________________________</w:t>
      </w:r>
    </w:p>
    <w:p>
      <w:pPr>
        <w:pStyle w:val="Normal"/>
        <w:widowControl/>
        <w:bidi w:val="0"/>
        <w:ind w:hanging="0" w:start="0" w:end="414"/>
        <w:jc w:val="start"/>
        <w:rPr>
          <w:sz w:val="22"/>
        </w:rPr>
      </w:pPr>
      <w:r>
        <w:rPr>
          <w:sz w:val="22"/>
        </w:rPr>
      </w:r>
    </w:p>
    <w:p>
      <w:pPr>
        <w:pStyle w:val="Normal"/>
        <w:widowControl/>
        <w:bidi w:val="0"/>
        <w:ind w:hanging="0" w:start="0" w:end="414"/>
        <w:jc w:val="start"/>
        <w:rPr>
          <w:b/>
          <w:sz w:val="22"/>
        </w:rPr>
      </w:pPr>
      <w:r>
        <w:rPr>
          <w:b/>
          <w:sz w:val="22"/>
        </w:rPr>
        <w:t>COUNTERPARTY: PLEASE PROVIDE ABOVE REQUESTED INFORMATION IF NOT PROVIDED PREVIOUSLY OR IF CHANGES HAVE OCCURRED</w:t>
      </w:r>
      <w:r>
        <w:br w:type="page"/>
      </w:r>
    </w:p>
    <w:p>
      <w:pPr>
        <w:pStyle w:val="Heading1"/>
        <w:widowControl/>
        <w:numPr>
          <w:ilvl w:val="0"/>
          <w:numId w:val="0"/>
        </w:numPr>
        <w:bidi w:val="0"/>
        <w:ind w:hanging="0" w:start="0" w:end="414"/>
        <w:outlineLvl w:val="0"/>
        <w:rPr>
          <w:rFonts w:ascii="Times New Roman" w:hAnsi="Times New Roman"/>
        </w:rPr>
      </w:pPr>
      <w:r>
        <w:rPr>
          <w:b w:val="false"/>
        </w:rPr>
        <w:br/>
      </w:r>
      <w:r>
        <w:rPr/>
        <w:t>ANNEX A</w:t>
        <w:br/>
      </w:r>
    </w:p>
    <w:p>
      <w:pPr>
        <w:pStyle w:val="Heading2"/>
        <w:widowControl/>
        <w:numPr>
          <w:ilvl w:val="0"/>
          <w:numId w:val="0"/>
        </w:numPr>
        <w:bidi w:val="0"/>
        <w:ind w:hanging="0" w:start="0"/>
        <w:outlineLvl w:val="1"/>
        <w:rPr>
          <w:rFonts w:ascii="Times New Roman" w:hAnsi="Times New Roman"/>
        </w:rPr>
      </w:pPr>
      <w:r>
        <w:rPr/>
        <w:t>GENERAL TERMS AND CONDITIONS</w:t>
      </w:r>
    </w:p>
    <w:p>
      <w:pPr>
        <w:pStyle w:val="Normal"/>
        <w:bidi w:val="0"/>
        <w:ind w:hanging="0" w:start="0" w:end="0"/>
        <w:jc w:val="start"/>
        <w:rPr>
          <w:sz w:val="20"/>
        </w:rPr>
      </w:pPr>
      <w:r>
        <w:rPr>
          <w:sz w:val="20"/>
        </w:rPr>
      </w:r>
    </w:p>
    <w:p>
      <w:pPr>
        <w:sectPr>
          <w:type w:val="nextPage"/>
          <w:pgSz w:w="12240" w:h="15840"/>
          <w:pgMar w:left="1152" w:right="864" w:gutter="0" w:header="0" w:top="864" w:footer="0" w:bottom="864"/>
          <w:pgNumType w:fmt="decimal"/>
          <w:formProt w:val="false"/>
          <w:textDirection w:val="lrTb"/>
        </w:sectPr>
      </w:pPr>
    </w:p>
    <w:p>
      <w:pPr>
        <w:pStyle w:val="Normal"/>
        <w:bidi w:val="0"/>
        <w:ind w:hanging="0" w:start="0" w:end="0"/>
        <w:jc w:val="both"/>
        <w:rPr>
          <w:rFonts w:ascii="Arial Narrow" w:hAnsi="Arial Narrow"/>
          <w:sz w:val="18"/>
        </w:rPr>
      </w:pPr>
      <w:r>
        <w:rPr>
          <w:rFonts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360" w:leader="none"/>
        </w:tabs>
        <w:bidi w:val="0"/>
        <w:ind w:hanging="0" w:start="0" w:end="0"/>
        <w:jc w:val="both"/>
        <w:rPr>
          <w:rFonts w:ascii="Arial Narrow" w:hAnsi="Arial Narrow"/>
          <w:sz w:val="18"/>
        </w:rPr>
      </w:pPr>
      <w:r>
        <w:rPr>
          <w:rFonts w:ascii="Arial Narrow" w:hAnsi="Arial Narrow"/>
          <w:sz w:val="18"/>
        </w:rPr>
        <w:t xml:space="preserve">1.  </w:t>
      </w:r>
      <w:r>
        <w:rPr>
          <w:rFonts w:ascii="Arial Narrow" w:hAnsi="Arial Narrow"/>
          <w:b/>
          <w:sz w:val="18"/>
          <w:u w:val="single"/>
        </w:rPr>
        <w:t>Representations</w:t>
      </w:r>
      <w:r>
        <w:rPr>
          <w:rFonts w:ascii="Arial Narrow" w:hAnsi="Arial Narrow"/>
          <w:sz w:val="18"/>
        </w:rPr>
        <w:t xml:space="preserve">.  Each of ENA and Counterparty represents and warrants to the other that (a) </w:t>
      </w:r>
      <w:r>
        <w:rPr>
          <w:rFonts w:ascii="Arial Narrow" w:hAnsi="Arial Narrow"/>
          <w:sz w:val="18"/>
          <w:u w:val="single"/>
        </w:rPr>
        <w:t>Authority/Taxation</w:t>
      </w:r>
      <w:r>
        <w:rPr>
          <w:rFonts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ascii="Arial Narrow" w:hAnsi="Arial Narrow"/>
          <w:sz w:val="18"/>
          <w:u w:val="single"/>
        </w:rPr>
        <w:t>Eligible Swap Participant</w:t>
      </w:r>
      <w:r>
        <w:rPr>
          <w:rFonts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ascii="Arial Narrow" w:hAnsi="Arial Narrow"/>
          <w:sz w:val="18"/>
          <w:u w:val="single"/>
        </w:rPr>
        <w:t>Line of Business</w:t>
      </w:r>
      <w:r>
        <w:rPr>
          <w:rFonts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ascii="Arial Narrow" w:hAnsi="Arial Narrow"/>
          <w:sz w:val="18"/>
          <w:u w:val="single"/>
        </w:rPr>
        <w:t>No Reliance</w:t>
      </w:r>
      <w:r>
        <w:rPr>
          <w:rFonts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ascii="Arial Narrow" w:hAnsi="Arial Narrow"/>
          <w:sz w:val="18"/>
          <w:u w:val="single"/>
        </w:rPr>
        <w:t>Absence of Litigation</w:t>
      </w:r>
      <w:r>
        <w:rPr>
          <w:rFonts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360" w:leader="none"/>
        </w:tabs>
        <w:bidi w:val="0"/>
        <w:ind w:hanging="0" w:start="0" w:end="0"/>
        <w:jc w:val="both"/>
        <w:rPr>
          <w:rFonts w:ascii="Arial Narrow" w:hAnsi="Arial Narrow"/>
          <w:sz w:val="18"/>
        </w:rPr>
      </w:pPr>
      <w:r>
        <w:rPr>
          <w:rFonts w:ascii="Arial Narrow" w:hAnsi="Arial Narrow"/>
          <w:sz w:val="18"/>
        </w:rPr>
        <w:t xml:space="preserve">2.  </w:t>
      </w:r>
      <w:r>
        <w:rPr>
          <w:rFonts w:ascii="Arial Narrow" w:hAnsi="Arial Narrow"/>
          <w:b/>
          <w:sz w:val="18"/>
          <w:u w:val="single"/>
        </w:rPr>
        <w:t>Payments</w:t>
      </w:r>
      <w:r>
        <w:rPr>
          <w:rFonts w:ascii="Arial Narrow" w:hAnsi="Arial Narrow"/>
          <w:sz w:val="18"/>
        </w:rPr>
        <w:t xml:space="preserve">.  For each Determination Period, on the applicable Payment Date with respect to (a) a </w:t>
      </w:r>
      <w:r>
        <w:rPr>
          <w:rFonts w:ascii="Arial Narrow" w:hAnsi="Arial Narrow"/>
          <w:sz w:val="18"/>
          <w:u w:val="single"/>
        </w:rPr>
        <w:t>SWAP</w:t>
      </w:r>
      <w:r>
        <w:rPr>
          <w:rFonts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ascii="Arial Narrow" w:hAnsi="Arial Narrow"/>
          <w:sz w:val="18"/>
          <w:u w:val="single"/>
        </w:rPr>
        <w:t>OPTION</w:t>
      </w:r>
      <w:r>
        <w:rPr>
          <w:rFonts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ascii="Arial Narrow" w:hAnsi="Arial Narrow"/>
          <w:caps/>
          <w:sz w:val="18"/>
          <w:u w:val="single"/>
        </w:rPr>
        <w:t>Collar</w:t>
      </w:r>
      <w:r>
        <w:rPr>
          <w:rFonts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ascii="Arial Narrow" w:hAnsi="Arial Narrow"/>
          <w:caps/>
          <w:sz w:val="18"/>
          <w:u w:val="single"/>
        </w:rPr>
        <w:t>Swaption</w:t>
      </w:r>
      <w:r>
        <w:rPr>
          <w:rFonts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ascii="Arial Narrow" w:hAnsi="Arial Narrow"/>
          <w:caps/>
          <w:sz w:val="18"/>
          <w:u w:val="single"/>
        </w:rPr>
        <w:t>Total Premium</w:t>
      </w:r>
      <w:r>
        <w:rPr>
          <w:rFonts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bidi w:val="0"/>
        <w:ind w:hanging="0" w:start="0" w:end="0"/>
        <w:jc w:val="both"/>
        <w:rPr>
          <w:rFonts w:ascii="Arial Narrow" w:hAnsi="Arial Narrow"/>
          <w:sz w:val="18"/>
        </w:rPr>
      </w:pPr>
      <w:r>
        <w:rPr>
          <w:rFonts w:ascii="Arial Narrow" w:hAnsi="Arial Narrow"/>
          <w:sz w:val="18"/>
        </w:rPr>
      </w:r>
    </w:p>
    <w:p>
      <w:pPr>
        <w:pStyle w:val="BodyText"/>
        <w:widowControl/>
        <w:bidi w:val="0"/>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180" w:leader="none"/>
          <w:tab w:val="left" w:pos="1170" w:leader="none"/>
        </w:tabs>
        <w:bidi w:val="0"/>
        <w:ind w:hanging="0" w:start="0" w:end="0"/>
        <w:jc w:val="both"/>
        <w:rPr>
          <w:rFonts w:ascii="Arial Narrow" w:hAnsi="Arial Narrow"/>
          <w:sz w:val="18"/>
        </w:rPr>
      </w:pPr>
      <w:r>
        <w:rPr>
          <w:rFonts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t xml:space="preserve">3.  </w:t>
      </w:r>
      <w:r>
        <w:rPr>
          <w:rFonts w:ascii="Arial Narrow" w:hAnsi="Arial Narrow"/>
          <w:b/>
          <w:sz w:val="18"/>
          <w:u w:val="single"/>
        </w:rPr>
        <w:t>Events of Default</w:t>
      </w:r>
      <w:r>
        <w:rPr>
          <w:rFonts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t xml:space="preserve">4.  </w:t>
      </w:r>
      <w:r>
        <w:rPr>
          <w:rFonts w:ascii="Arial Narrow" w:hAnsi="Arial Narrow"/>
          <w:b/>
          <w:sz w:val="18"/>
          <w:u w:val="single"/>
        </w:rPr>
        <w:t>Remedies</w:t>
      </w:r>
      <w:r>
        <w:rPr>
          <w:rFonts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ascii="Arial Narrow" w:hAnsi="Arial Narrow"/>
          <w:sz w:val="18"/>
          <w:u w:val="single"/>
        </w:rPr>
        <w:t>Costs</w:t>
      </w:r>
      <w:r>
        <w:rPr>
          <w:rFonts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ascii="Arial Narrow" w:hAnsi="Arial Narrow"/>
          <w:sz w:val="18"/>
          <w:u w:val="single"/>
        </w:rPr>
        <w:t>Gains</w:t>
      </w:r>
      <w:r>
        <w:rPr>
          <w:rFonts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ascii="Arial Narrow" w:hAnsi="Arial Narrow"/>
          <w:sz w:val="18"/>
          <w:u w:val="single"/>
        </w:rPr>
        <w:t>Losses</w:t>
      </w:r>
      <w:r>
        <w:rPr>
          <w:rFonts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 xml:space="preserve">5.  </w:t>
      </w:r>
      <w:r>
        <w:rPr>
          <w:rFonts w:ascii="Arial Narrow" w:hAnsi="Arial Narrow"/>
          <w:b/>
          <w:sz w:val="18"/>
          <w:u w:val="single"/>
        </w:rPr>
        <w:t>Setoff</w:t>
      </w:r>
      <w:r>
        <w:rPr>
          <w:rFonts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t xml:space="preserve">6.  </w:t>
      </w:r>
      <w:r>
        <w:rPr>
          <w:rFonts w:ascii="Arial Narrow" w:hAnsi="Arial Narrow"/>
          <w:b/>
          <w:sz w:val="18"/>
          <w:u w:val="single"/>
        </w:rPr>
        <w:t>Miscellaneous</w:t>
      </w:r>
      <w:r>
        <w:rPr>
          <w:rFonts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ascii="Arial Narrow" w:hAnsi="Arial Narrow"/>
          <w:sz w:val="18"/>
          <w:u w:val="single"/>
        </w:rPr>
        <w:t>provided</w:t>
      </w:r>
      <w:r>
        <w:rPr>
          <w:rFonts w:ascii="Arial Narrow" w:hAnsi="Arial Narrow"/>
          <w:sz w:val="18"/>
        </w:rPr>
        <w:t xml:space="preserve">, </w:t>
      </w:r>
      <w:r>
        <w:rPr>
          <w:rFonts w:ascii="Arial Narrow" w:hAnsi="Arial Narrow"/>
          <w:sz w:val="18"/>
          <w:u w:val="single"/>
        </w:rPr>
        <w:t>however</w:t>
      </w:r>
      <w:r>
        <w:rPr>
          <w:rFonts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t xml:space="preserve">7.  </w:t>
      </w:r>
      <w:r>
        <w:rPr>
          <w:rFonts w:ascii="Arial Narrow" w:hAnsi="Arial Narrow"/>
          <w:b/>
          <w:sz w:val="18"/>
          <w:u w:val="single"/>
        </w:rPr>
        <w:t>Market Disruption</w:t>
      </w:r>
      <w:r>
        <w:rPr>
          <w:rFonts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ascii="Arial Narrow" w:hAnsi="Arial Narrow"/>
          <w:sz w:val="18"/>
          <w:u w:val="single"/>
        </w:rPr>
        <w:t>provided</w:t>
      </w:r>
      <w:r>
        <w:rPr>
          <w:rFonts w:ascii="Arial Narrow" w:hAnsi="Arial Narrow"/>
          <w:sz w:val="18"/>
        </w:rPr>
        <w:t xml:space="preserve">, </w:t>
      </w:r>
      <w:r>
        <w:rPr>
          <w:rFonts w:ascii="Arial Narrow" w:hAnsi="Arial Narrow"/>
          <w:sz w:val="18"/>
          <w:u w:val="single"/>
        </w:rPr>
        <w:t>however</w:t>
      </w:r>
      <w:r>
        <w:rPr>
          <w:rFonts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t xml:space="preserve">8. </w:t>
      </w:r>
      <w:r>
        <w:rPr>
          <w:rFonts w:ascii="Arial Narrow" w:hAnsi="Arial Narrow"/>
          <w:i/>
          <w:sz w:val="18"/>
        </w:rPr>
        <w:t xml:space="preserve"> </w:t>
      </w:r>
      <w:r>
        <w:rPr>
          <w:rFonts w:ascii="Arial Narrow" w:hAnsi="Arial Narrow"/>
          <w:b/>
          <w:sz w:val="18"/>
          <w:u w:val="single"/>
        </w:rPr>
        <w:t>General Definitions</w:t>
      </w:r>
      <w:r>
        <w:rPr>
          <w:rFonts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i/>
          <w:sz w:val="18"/>
        </w:rPr>
        <w:t>"</w:t>
      </w:r>
      <w:r>
        <w:rPr>
          <w:rFonts w:ascii="Arial Narrow" w:hAnsi="Arial Narrow"/>
          <w:i/>
          <w:sz w:val="18"/>
          <w:u w:val="single"/>
        </w:rPr>
        <w:t>Affiliate</w:t>
      </w:r>
      <w:r>
        <w:rPr>
          <w:rFonts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American</w:t>
      </w:r>
      <w:r>
        <w:rPr>
          <w:rFonts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Asian</w:t>
      </w:r>
      <w:r>
        <w:rPr>
          <w:rFonts w:ascii="Arial Narrow" w:hAnsi="Arial Narrow"/>
          <w:i/>
          <w:sz w:val="18"/>
        </w:rPr>
        <w:t>"</w:t>
      </w:r>
      <w:r>
        <w:rPr>
          <w:rFonts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Automatic Exercise</w:t>
      </w:r>
      <w:r>
        <w:rPr>
          <w:rFonts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Business Day</w:t>
      </w:r>
      <w:r>
        <w:rPr>
          <w:rFonts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Call</w:t>
      </w:r>
      <w:r>
        <w:rPr>
          <w:rFonts w:ascii="Arial Narrow" w:hAnsi="Arial Narrow"/>
          <w:sz w:val="18"/>
        </w:rPr>
        <w:t>" means an Option entitling Buyer to receive after exercise the Cash Settlement Amount on the applicable Payment Date(s) if the Floating Price exceeds the Strike Price.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sz w:val="18"/>
          <w:u w:val="single"/>
        </w:rPr>
        <w:t>Cap Amount</w:t>
      </w:r>
      <w:r>
        <w:rPr>
          <w:rFonts w:ascii="Arial Narrow" w:hAnsi="Arial Narrow"/>
          <w:sz w:val="18"/>
        </w:rPr>
        <w:t>” means an amount equal to the product of (a) the Notional Quantity per Determination Period multiplied by (b) the Cap Price, or as otherwise provided in the Confirmation.</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Cash Settlement Amount</w:t>
      </w:r>
      <w:r>
        <w:rPr>
          <w:rFonts w:ascii="Arial Narrow" w:hAnsi="Arial Narrow"/>
          <w:sz w:val="18"/>
        </w:rPr>
        <w:t>" means, in respect of an Option, an amount (if any) that is payable by Seller on the applicable Payment Date(s) and is determined as provided in the Confirmation governing such Option.</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i/>
          <w:sz w:val="18"/>
        </w:rPr>
        <w:t>"</w:t>
      </w:r>
      <w:r>
        <w:rPr>
          <w:rFonts w:ascii="Arial Narrow" w:hAnsi="Arial Narrow"/>
          <w:i/>
          <w:sz w:val="18"/>
          <w:u w:val="single"/>
        </w:rPr>
        <w:t>Determination Period</w:t>
      </w:r>
      <w:r>
        <w:rPr>
          <w:rFonts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European</w:t>
      </w:r>
      <w:r>
        <w:rPr>
          <w:rFonts w:ascii="Arial Narrow" w:hAnsi="Arial Narrow"/>
          <w:i/>
          <w:sz w:val="18"/>
        </w:rPr>
        <w:t>"</w:t>
      </w:r>
      <w:r>
        <w:rPr>
          <w:rFonts w:ascii="Arial Narrow" w:hAnsi="Arial Narrow"/>
          <w:sz w:val="18"/>
        </w:rPr>
        <w:t xml:space="preserve"> means a style of Option pursuant to which the right(s) granted are exercisable only on the one day designated as the Exercise Period in the Confirmation, if any.</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Fixed Amount</w:t>
      </w:r>
      <w:r>
        <w:rPr>
          <w:rFonts w:ascii="Arial Narrow" w:hAnsi="Arial Narrow"/>
          <w:sz w:val="18"/>
        </w:rPr>
        <w:t>" means an amount equal to the product of (a) the Notional Quantity per Determination Period multiplied by (b) the Fixed Price, or as otherwise provided in the Confirmation.</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Floating Amount</w:t>
      </w:r>
      <w:r>
        <w:rPr>
          <w:rFonts w:ascii="Arial Narrow" w:hAnsi="Arial Narrow"/>
          <w:sz w:val="18"/>
        </w:rPr>
        <w:t>" means an amount equal to the product of (a) the Notional Quantity per Determination Period multiplied by (b) the Floating Price, or as otherwise provided in the Confirmation.</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i/>
          <w:sz w:val="18"/>
        </w:rPr>
        <w:t>“</w:t>
      </w:r>
      <w:r>
        <w:rPr>
          <w:rFonts w:ascii="Arial Narrow" w:hAnsi="Arial Narrow"/>
          <w:i/>
          <w:sz w:val="18"/>
          <w:u w:val="single"/>
        </w:rPr>
        <w:t>Floor Amount</w:t>
      </w:r>
      <w:r>
        <w:rPr>
          <w:rFonts w:ascii="Arial Narrow" w:hAnsi="Arial Narrow"/>
          <w:sz w:val="18"/>
        </w:rPr>
        <w:t>” means an amount equal to the product of (a) the Notional Quantity per Determination Period multiplied by (b) the Floor Price, or as otherwise provided in the Confirmation.</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Interest Rate</w:t>
      </w:r>
      <w:r>
        <w:rPr>
          <w:rFonts w:ascii="Arial Narrow" w:hAnsi="Arial Narrow"/>
          <w:sz w:val="18"/>
        </w:rPr>
        <w:t xml:space="preserve">" means (a) with respect to a non-defaulting party, a per annum rate of interest equal to the prime lending rate as may from time to time be published in </w:t>
      </w:r>
      <w:r>
        <w:rPr>
          <w:rFonts w:ascii="Arial Narrow" w:hAnsi="Arial Narrow"/>
          <w:sz w:val="18"/>
          <w:u w:val="single"/>
        </w:rPr>
        <w:t>The Wall Street Journal</w:t>
      </w:r>
      <w:r>
        <w:rPr>
          <w:rFonts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Market Disruption Event</w:t>
      </w:r>
      <w:r>
        <w:rPr>
          <w:rFonts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Notice of Exercise</w:t>
      </w:r>
      <w:r>
        <w:rPr>
          <w:rFonts w:ascii="Arial Narrow" w:hAnsi="Arial Narrow"/>
          <w:i/>
          <w:sz w:val="18"/>
        </w:rPr>
        <w:t>"</w:t>
      </w:r>
      <w:r>
        <w:rPr>
          <w:rFonts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Option</w:t>
      </w:r>
      <w:r>
        <w:rPr>
          <w:rFonts w:ascii="Arial Narrow" w:hAnsi="Arial Narrow"/>
          <w:sz w:val="18"/>
        </w:rPr>
        <w:t>" means a Transaction that is a Call, Cap, Floor, Put, Swaption or is identified in the relevant Confirmation as an Option.</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Put</w:t>
      </w:r>
      <w:r>
        <w:rPr>
          <w:rFonts w:ascii="Arial Narrow" w:hAnsi="Arial Narrow"/>
          <w:sz w:val="18"/>
        </w:rPr>
        <w:t>" means an Option entitling Buyer to receive after exercise the Cash Settlement Amount on the applicable Payment Date(s) if the Strike Price exceeds the Floating Price.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Swaption</w:t>
      </w:r>
      <w:r>
        <w:rPr>
          <w:rFonts w:ascii="Arial Narrow" w:hAnsi="Arial Narrow"/>
          <w:i/>
          <w:sz w:val="18"/>
        </w:rPr>
        <w:t>"</w:t>
      </w:r>
      <w:r>
        <w:rPr>
          <w:rFonts w:ascii="Arial Narrow" w:hAnsi="Arial Narrow"/>
          <w:sz w:val="18"/>
        </w:rPr>
        <w:t xml:space="preserve"> means an Option to cause an Underlying Transaction to become effective.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Trading Day</w:t>
      </w:r>
      <w:r>
        <w:rPr>
          <w:rFonts w:ascii="Arial Narrow" w:hAnsi="Arial Narrow"/>
          <w:i/>
          <w:sz w:val="18"/>
        </w:rPr>
        <w:t>"</w:t>
      </w:r>
      <w:r>
        <w:rPr>
          <w:rFonts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Transaction</w:t>
      </w:r>
      <w:r>
        <w:rPr>
          <w:rFonts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Underlying Transaction</w:t>
      </w:r>
      <w:r>
        <w:rPr>
          <w:rFonts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w:t>
      </w:r>
      <w:r>
        <w:rPr>
          <w:rFonts w:ascii="Arial Narrow" w:hAnsi="Arial Narrow"/>
          <w:i/>
          <w:sz w:val="18"/>
          <w:u w:val="single"/>
        </w:rPr>
        <w:t>Written Confirmation</w:t>
      </w:r>
      <w:r>
        <w:rPr>
          <w:rFonts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sectPr>
          <w:type w:val="continuous"/>
          <w:pgSz w:w="12240" w:h="15840"/>
          <w:pgMar w:left="1152" w:right="864" w:gutter="0" w:header="0" w:top="864" w:footer="0" w:bottom="864"/>
          <w:cols w:num="2" w:space="720" w:equalWidth="true" w:sep="false"/>
          <w:formProt w:val="false"/>
          <w:textDirection w:val="lrTb"/>
          <w:docGrid w:type="default" w:linePitch="312" w:charSpace="4294961151"/>
        </w:sectPr>
      </w:pPr>
    </w:p>
    <w:p>
      <w:pPr>
        <w:pStyle w:val="Normal"/>
        <w:bidi w:val="0"/>
        <w:ind w:hanging="0" w:start="0" w:end="0"/>
        <w:jc w:val="start"/>
        <w:rPr>
          <w:sz w:val="20"/>
        </w:rPr>
      </w:pPr>
      <w:r>
        <w:rPr>
          <w:sz w:val="20"/>
        </w:rPr>
      </w:r>
    </w:p>
    <w:p>
      <w:pPr>
        <w:pStyle w:val="Normal"/>
        <w:bidi w:val="0"/>
        <w:spacing w:before="0" w:after="0"/>
        <w:ind w:hanging="0" w:start="0" w:end="0"/>
        <w:jc w:val="start"/>
        <w:rPr>
          <w:b/>
          <w:sz w:val="22"/>
        </w:rPr>
      </w:pPr>
      <w:r>
        <w:rPr>
          <w:b/>
          <w:sz w:val="22"/>
        </w:rPr>
      </w:r>
    </w:p>
    <w:p>
      <w:pPr>
        <w:sectPr>
          <w:type w:val="continuous"/>
          <w:pgSz w:w="12240" w:h="15840"/>
          <w:pgMar w:left="1152" w:right="864" w:gutter="0" w:header="0" w:top="864" w:footer="0" w:bottom="864"/>
          <w:cols w:num="2" w:space="720" w:equalWidth="true" w:sep="false"/>
          <w:formProt w:val="false"/>
          <w:textDirection w:val="lrTb"/>
          <w:docGrid w:type="default" w:linePitch="312" w:charSpace="4294961151"/>
        </w:sectPr>
      </w:pPr>
    </w:p>
    <w:p>
      <w:pPr>
        <w:pStyle w:val="Normal"/>
        <w:widowControl/>
        <w:bidi w:val="0"/>
        <w:ind w:hanging="0" w:start="0" w:end="0"/>
        <w:jc w:val="start"/>
        <w:rPr>
          <w:b/>
          <w:sz w:val="22"/>
        </w:rPr>
      </w:pPr>
      <w:r>
        <w:rPr>
          <w:b/>
          <w:sz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864" w:footer="720" w:bottom="86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G Times (WN)">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 w:name="Arial">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36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27635" cy="146685"/>
              <wp:effectExtent l="0" t="0" r="0" b="0"/>
              <wp:wrapTopAndBottom/>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10</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10</w:t>
                    </w:r>
                    <w:r>
                      <w:rPr>
                        <w:rStyle w:val="PageNumber"/>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36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27635" cy="146685"/>
              <wp:effectExtent l="0" t="0" r="0" b="0"/>
              <wp:wrapTopAndBottom/>
              <wp:docPr id="2"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10</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10</w:t>
                    </w:r>
                    <w:r>
                      <w:rPr>
                        <w:rStyle w:val="PageNumber"/>
                        <w:lang w:val="en-CA" w:eastAsia="en-CA"/>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tab/>
      <w:tab/>
      <w:t xml:space="preserve">Deal No. </w:t>
    </w:r>
    <w:r>
      <w:rPr>
        <w:sz w:val="20"/>
      </w:rPr>
      <w:fldChar w:fldCharType="begin"/>
    </w:r>
    <w:r>
      <w:rPr>
        <w:sz w:val="20"/>
      </w:rPr>
      <w:instrText xml:space="preserve"> TITLE </w:instrText>
    </w:r>
    <w:r>
      <w:rPr>
        <w:sz w:val="20"/>
      </w:rPr>
      <w:fldChar w:fldCharType="separate"/>
    </w:r>
    <w:r>
      <w:rPr>
        <w:sz w:val="20"/>
      </w:rPr>
      <w:t>705475.02</w:t>
    </w:r>
    <w:r>
      <w:rPr>
        <w:sz w:val="20"/>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tab/>
      <w:tab/>
      <w:t xml:space="preserve">Deal No. </w:t>
    </w:r>
    <w:r>
      <w:rPr>
        <w:sz w:val="20"/>
      </w:rPr>
      <w:fldChar w:fldCharType="begin"/>
    </w:r>
    <w:r>
      <w:rPr>
        <w:sz w:val="20"/>
      </w:rPr>
      <w:instrText xml:space="preserve"> TITLE </w:instrText>
    </w:r>
    <w:r>
      <w:rPr>
        <w:sz w:val="20"/>
      </w:rPr>
      <w:fldChar w:fldCharType="separate"/>
    </w:r>
    <w:r>
      <w:rPr>
        <w:sz w:val="20"/>
      </w:rPr>
      <w:t>705475.02</w:t>
    </w:r>
    <w:r>
      <w:rPr>
        <w:sz w:val="20"/>
      </w:rPr>
      <w:fldChar w:fldCharType="end"/>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ahoma" w:cs="Arial Narrow"/>
      <w:color w:val="auto"/>
      <w:kern w:val="2"/>
      <w:sz w:val="24"/>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b/>
      <w:sz w:val="22"/>
      <w:u w:val="single"/>
      <w:lang w:val="en-US" w:eastAsia="en-US"/>
    </w:rPr>
  </w:style>
  <w:style w:type="paragraph" w:styleId="Heading2">
    <w:name w:val="heading 2"/>
    <w:basedOn w:val="Normal"/>
    <w:next w:val="Normal"/>
    <w:qFormat/>
    <w:pPr>
      <w:keepNext w:val="true"/>
      <w:widowControl w:val="false"/>
      <w:ind w:hanging="0" w:start="0" w:end="0"/>
      <w:jc w:val="center"/>
      <w:textAlignment w:val="auto"/>
    </w:pPr>
    <w:rPr>
      <w:b/>
      <w:sz w:val="22"/>
      <w:lang w:val="en-US" w:eastAsia="en-US"/>
    </w:rPr>
  </w:style>
  <w:style w:type="paragraph" w:styleId="Heading3">
    <w:name w:val="heading 3"/>
    <w:basedOn w:val="Normal"/>
    <w:qFormat/>
    <w:pPr>
      <w:widowControl w:val="false"/>
      <w:ind w:hanging="0" w:start="360" w:end="0"/>
      <w:jc w:val="start"/>
      <w:textAlignment w:val="auto"/>
    </w:pPr>
    <w:rPr>
      <w:rFonts w:ascii="CG Times (WN)" w:hAnsi="CG Times (WN)"/>
      <w:b/>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180" w:leader="none"/>
        <w:tab w:val="left" w:pos="1170" w:leader="none"/>
      </w:tabs>
      <w:ind w:hanging="0" w:start="0" w:end="0"/>
      <w:jc w:val="both"/>
      <w:textAlignment w:val="auto"/>
    </w:pPr>
    <w:rPr>
      <w:rFonts w:ascii="Arial Narrow" w:hAnsi="Arial Narrow"/>
      <w:sz w:val="18"/>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val="false"/>
      <w:ind w:hanging="0" w:start="0" w:end="0"/>
      <w:jc w:val="start"/>
      <w:textAlignment w:val="auto"/>
    </w:pPr>
    <w:rPr>
      <w:rFonts w:ascii="Arial" w:hAnsi="Arial"/>
      <w:b/>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BodyText2">
    <w:name w:val="Body Text 2"/>
    <w:basedOn w:val="Normal"/>
    <w:qFormat/>
    <w:pPr>
      <w:widowControl w:val="false"/>
      <w:ind w:hanging="0" w:start="0" w:end="414"/>
      <w:jc w:val="both"/>
      <w:textAlignment w:val="auto"/>
    </w:pPr>
    <w:rPr>
      <w:sz w:val="22"/>
      <w:lang w:val="en-US" w:eastAsia="en-US"/>
    </w:rPr>
  </w:style>
  <w:style w:type="paragraph" w:styleId="BodyText3">
    <w:name w:val="Body Text 3"/>
    <w:basedOn w:val="Normal"/>
    <w:qFormat/>
    <w:pPr>
      <w:widowControl w:val="false"/>
      <w:ind w:hanging="0" w:start="0" w:end="504"/>
      <w:jc w:val="both"/>
      <w:textAlignment w:val="auto"/>
    </w:pPr>
    <w:rPr>
      <w:sz w:val="22"/>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5312</Words>
  <Characters>37189</Characters>
  <CharactersWithSpaces>30283</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2001-07-27T13:43:00Z</dcterms:created>
  <dc:creator>Enron User</dc:creator>
  <dc:description/>
  <dc:language>en-CA</dc:language>
  <cp:lastModifiedBy/>
  <dcterms:modified xsi:type="dcterms:W3CDTF">2001-07-27T14:57:00Z</dcterms:modified>
  <cp:revision>4</cp:revision>
  <dc:subject/>
  <dc:title>705475.02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