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4"/>
        </w:rPr>
      </w:pPr>
      <w:r>
        <w:rPr>
          <w:b/>
          <w:sz w:val="24"/>
        </w:rPr>
      </w:r>
    </w:p>
    <w:p>
      <w:pPr>
        <w:pStyle w:val="Normal"/>
        <w:bidi w:val="0"/>
        <w:jc w:val="start"/>
        <w:rPr>
          <w:b/>
          <w:sz w:val="24"/>
        </w:rPr>
      </w:pPr>
      <w:r>
        <w:rPr>
          <w:b/>
          <w:sz w:val="24"/>
        </w:rPr>
      </w:r>
    </w:p>
    <w:p>
      <w:pPr>
        <w:pStyle w:val="Heading2"/>
        <w:numPr>
          <w:ilvl w:val="0"/>
          <w:numId w:val="0"/>
        </w:numPr>
        <w:bidi w:val="0"/>
        <w:spacing w:before="0" w:after="0"/>
        <w:jc w:val="start"/>
        <w:outlineLvl w:val="1"/>
        <w:rPr>
          <w:rFonts w:ascii="Times New Roman" w:hAnsi="Times New Roman"/>
          <w:sz w:val="48"/>
        </w:rPr>
      </w:pPr>
      <w:r>
        <w:rPr>
          <w:rFonts w:ascii="Times New Roman" w:hAnsi="Times New Roman"/>
          <w:sz w:val="48"/>
        </w:rPr>
        <w:t>Evening MBA Program</w:t>
      </w:r>
    </w:p>
    <w:p>
      <w:pPr>
        <w:pStyle w:val="Heading2"/>
        <w:numPr>
          <w:ilvl w:val="0"/>
          <w:numId w:val="0"/>
        </w:numPr>
        <w:bidi w:val="0"/>
        <w:spacing w:before="0" w:after="0"/>
        <w:jc w:val="start"/>
        <w:outlineLvl w:val="1"/>
        <w:rPr>
          <w:rFonts w:ascii="Times New Roman" w:hAnsi="Times New Roman"/>
          <w:sz w:val="48"/>
        </w:rPr>
      </w:pPr>
      <w:r>
        <w:rPr>
          <w:rFonts w:ascii="Times New Roman" w:hAnsi="Times New Roman"/>
          <w:sz w:val="48"/>
        </w:rPr>
        <w:t>Student Advisory Committee Newsletter</w:t>
      </w:r>
    </w:p>
    <w:p>
      <w:pPr>
        <w:pStyle w:val="Normal"/>
        <w:bidi w:val="0"/>
        <w:jc w:val="start"/>
        <w:rPr>
          <w:b/>
          <w:sz w:val="24"/>
        </w:rPr>
      </w:pPr>
      <w:r>
        <w:rPr>
          <w:b/>
          <w:sz w:val="24"/>
        </w:rPr>
      </w:r>
    </w:p>
    <w:p>
      <w:pPr>
        <w:pStyle w:val="Normal"/>
        <w:bidi w:val="0"/>
        <w:jc w:val="start"/>
        <w:rPr>
          <w:b/>
          <w:sz w:val="24"/>
          <w:u w:val="single"/>
        </w:rPr>
      </w:pPr>
      <w:r>
        <w:rPr>
          <w:b/>
          <w:sz w:val="24"/>
          <w:u w:val="single"/>
        </w:rPr>
        <w:t>Your Voices are Heard</w:t>
      </w:r>
    </w:p>
    <w:p>
      <w:pPr>
        <w:pStyle w:val="Normal"/>
        <w:bidi w:val="0"/>
        <w:jc w:val="start"/>
        <w:rPr>
          <w:b/>
          <w:sz w:val="24"/>
          <w:u w:val="single"/>
        </w:rPr>
      </w:pPr>
      <w:r>
        <w:rPr/>
        <w:t>The purpose of this newsletter is to establish a method of communication between the evening MBA students and the Student Advisory Committee (SAC).    The SAC is your vehicle for communicating with the evening MBA administration.    We meet with Diane Dimeff and Andy Shogan on a regular basis to discuss issues that affect students.    Diane and Andy are very interested in student feedback, and take it very seriously.      If you have any comments or thoughts you would like to share, please let one of the SAC committee members know, or place your comment in the EMBAA/SAC new suggestion box that will be located in the student lounge (where the mailboxes are located).    The members of the committee are listed at the end of this newsletter.</w:t>
      </w:r>
    </w:p>
    <w:p>
      <w:pPr>
        <w:pStyle w:val="Normal"/>
        <w:widowControl/>
        <w:suppressAutoHyphens w:val="true"/>
        <w:bidi w:val="0"/>
        <w:jc w:val="start"/>
        <w:rPr/>
      </w:pPr>
      <w:r>
        <w:rPr/>
      </w:r>
    </w:p>
    <w:p>
      <w:pPr>
        <w:pStyle w:val="Normal"/>
        <w:bidi w:val="0"/>
        <w:jc w:val="start"/>
        <w:rPr>
          <w:b/>
          <w:sz w:val="24"/>
          <w:u w:val="single"/>
        </w:rPr>
      </w:pPr>
      <w:r>
        <w:rPr>
          <w:b/>
          <w:sz w:val="24"/>
          <w:u w:val="single"/>
        </w:rPr>
        <w:t>Course Recommendations</w:t>
      </w:r>
    </w:p>
    <w:p>
      <w:pPr>
        <w:pStyle w:val="Normal"/>
        <w:widowControl/>
        <w:suppressAutoHyphens w:val="true"/>
        <w:bidi w:val="0"/>
        <w:jc w:val="start"/>
        <w:rPr/>
      </w:pPr>
      <w:r>
        <w:rPr/>
        <w:t>I’m sure all of you have heard anecdotal stories from other students about the classes that they felt they learned a lot in as well as enjoyed.    The purpose of this portion of the newsletter is to document some of those stories in the form of course recommendations, in order to help you decide on what electives you want to take while at Haas.    The following are some of the course recommendations provided by your fellow students.    Thanks to all of you that submitted recommendations.    The number in the parentheses represents the total number of recommendations received for that course.</w:t>
      </w:r>
    </w:p>
    <w:p>
      <w:pPr>
        <w:pStyle w:val="Normal"/>
        <w:widowControl/>
        <w:suppressAutoHyphens w:val="true"/>
        <w:bidi w:val="0"/>
        <w:jc w:val="start"/>
        <w:rPr/>
      </w:pPr>
      <w:r>
        <w:rPr/>
      </w:r>
    </w:p>
    <w:p>
      <w:pPr>
        <w:pStyle w:val="Normal"/>
        <w:bidi w:val="0"/>
        <w:ind w:hanging="2790" w:start="2790"/>
        <w:jc w:val="start"/>
        <w:rPr/>
      </w:pPr>
      <w:r>
        <w:rPr/>
        <w:t>E210: Competitive Strategy (5)</w:t>
        <w:tab/>
        <w:t>“Competitive strategy is a must-take.    This course should be a requirement”</w:t>
      </w:r>
    </w:p>
    <w:p>
      <w:pPr>
        <w:pStyle w:val="Normal"/>
        <w:bidi w:val="0"/>
        <w:ind w:hanging="0" w:start="2790"/>
        <w:jc w:val="start"/>
        <w:rPr/>
      </w:pPr>
      <w:r>
        <w:rPr/>
      </w:r>
    </w:p>
    <w:p>
      <w:pPr>
        <w:pStyle w:val="Normal"/>
        <w:bidi w:val="0"/>
        <w:ind w:hanging="0" w:start="2790"/>
        <w:jc w:val="start"/>
        <w:rPr/>
      </w:pPr>
      <w:r>
        <w:rPr/>
        <w:t>“</w:t>
      </w:r>
      <w:r>
        <w:rPr/>
        <w:t>For me the one class that every MBA candidate should take is Competitive Strategy.    In the end you have a really useful template for analyzing competitive and corporate strategy issues that cannot be solely gained from any book that I have seen.”</w:t>
      </w:r>
    </w:p>
    <w:p>
      <w:pPr>
        <w:pStyle w:val="Normal"/>
        <w:bidi w:val="0"/>
        <w:ind w:hanging="2700" w:start="2700"/>
        <w:jc w:val="start"/>
        <w:rPr/>
      </w:pPr>
      <w:r>
        <w:rPr/>
      </w:r>
    </w:p>
    <w:p>
      <w:pPr>
        <w:pStyle w:val="Normal"/>
        <w:bidi w:val="0"/>
        <w:ind w:hanging="2790" w:start="2790"/>
        <w:jc w:val="start"/>
        <w:rPr/>
      </w:pPr>
      <w:r>
        <w:rPr/>
        <w:t>E212: Energy Markets (1)</w:t>
        <w:tab/>
        <w:t>“An industry stuck in the mud for the last 60 years.    Deregulation is changing everything.    This is a huge market with big opportunities over the next decade.    Borenstein is a leader in this field.”</w:t>
      </w:r>
    </w:p>
    <w:p>
      <w:pPr>
        <w:pStyle w:val="Normal"/>
        <w:bidi w:val="0"/>
        <w:ind w:hanging="2790" w:start="2790"/>
        <w:jc w:val="start"/>
        <w:rPr/>
      </w:pPr>
      <w:r>
        <w:rPr/>
      </w:r>
    </w:p>
    <w:p>
      <w:pPr>
        <w:pStyle w:val="Normal"/>
        <w:bidi w:val="0"/>
        <w:ind w:hanging="2790" w:start="2790"/>
        <w:jc w:val="start"/>
        <w:rPr/>
      </w:pPr>
      <w:r>
        <w:rPr/>
        <w:t>E222: Financial Info Analysis (2)</w:t>
        <w:tab/>
        <w:t>“This is a valuation course where you will learn traditional methods for valuation of large companies. Discounted free cash flows, etc. is taught. But people should not look at this course as a finance course. This course is great because it integrates many things that you learn in other courses such as Competitive Strategy, Accounting and Financial Statement analysis.    One thing that was lacking in the course was guest speakers who are analysts or investment bankers to tell us how it is done in real world.”</w:t>
      </w:r>
    </w:p>
    <w:p>
      <w:pPr>
        <w:pStyle w:val="Normal"/>
        <w:bidi w:val="0"/>
        <w:ind w:hanging="2700" w:start="2700"/>
        <w:jc w:val="start"/>
        <w:rPr/>
      </w:pPr>
      <w:r>
        <w:rPr/>
      </w:r>
    </w:p>
    <w:p>
      <w:pPr>
        <w:pStyle w:val="Normal"/>
        <w:bidi w:val="0"/>
        <w:ind w:hanging="2790" w:start="2790"/>
        <w:jc w:val="start"/>
        <w:rPr/>
      </w:pPr>
      <w:r>
        <w:rPr/>
        <w:t>E252: Negotiations (8)</w:t>
        <w:tab/>
        <w:t>“I think that the negotiations class with Dayonot is excellent.    It teaches you negotiation skills, the reasons why some people act they way they do and how best to accomplish your own goals, and when to take a deal and when to walk away.”</w:t>
      </w:r>
    </w:p>
    <w:p>
      <w:pPr>
        <w:pStyle w:val="Normal"/>
        <w:bidi w:val="0"/>
        <w:ind w:hanging="0" w:start="2790"/>
        <w:jc w:val="start"/>
        <w:rPr/>
      </w:pPr>
      <w:r>
        <w:rPr/>
      </w:r>
    </w:p>
    <w:p>
      <w:pPr>
        <w:pStyle w:val="Normal"/>
        <w:bidi w:val="0"/>
        <w:ind w:hanging="0" w:start="2790"/>
        <w:jc w:val="start"/>
        <w:rPr/>
      </w:pPr>
      <w:r>
        <w:rPr/>
        <w:t>“</w:t>
      </w:r>
      <w:r>
        <w:rPr/>
        <w:t>Professor Dayonot teaches a number of valuable techniques that have proven successful in practical application.    He also brings years of personal experience into the classroom.    Workload is fair to moderate and the out of class negotiation exercises are a great way to practice your techniques and get to know fellow classmates.”</w:t>
      </w:r>
    </w:p>
    <w:p>
      <w:pPr>
        <w:pStyle w:val="Normal"/>
        <w:bidi w:val="0"/>
        <w:ind w:hanging="0" w:start="2790"/>
        <w:jc w:val="start"/>
        <w:rPr/>
      </w:pPr>
      <w:r>
        <w:rPr/>
      </w:r>
    </w:p>
    <w:p>
      <w:pPr>
        <w:pStyle w:val="Normal"/>
        <w:bidi w:val="0"/>
        <w:ind w:hanging="0" w:start="2790"/>
        <w:jc w:val="start"/>
        <w:rPr/>
      </w:pPr>
      <w:r>
        <w:rPr/>
        <w:t>“</w:t>
      </w:r>
      <w:r>
        <w:rPr/>
        <w:t>The experience and the content of this class are of high value.”</w:t>
      </w:r>
    </w:p>
    <w:p>
      <w:pPr>
        <w:pStyle w:val="Normal"/>
        <w:bidi w:val="0"/>
        <w:ind w:hanging="2430" w:start="2430"/>
        <w:jc w:val="start"/>
        <w:rPr/>
      </w:pPr>
      <w:r>
        <w:rPr/>
      </w:r>
    </w:p>
    <w:p>
      <w:pPr>
        <w:pStyle w:val="Normal"/>
        <w:bidi w:val="0"/>
        <w:ind w:hanging="2790" w:start="2790"/>
        <w:jc w:val="start"/>
        <w:rPr/>
      </w:pPr>
      <w:r>
        <w:rPr/>
        <w:t>E262B: Internet Strategy (3)</w:t>
        <w:tab/>
        <w:t>“Zettelmeyer teaches the basic framework for analyzing an Internet dilemma.  I left the class with more questions than answers, but at least I knew the right questions to ask and an organizational structure by which to answer them, which is often half the battle.”</w:t>
      </w:r>
    </w:p>
    <w:p>
      <w:pPr>
        <w:pStyle w:val="Normal"/>
        <w:bidi w:val="0"/>
        <w:ind w:hanging="2700" w:start="2700"/>
        <w:jc w:val="start"/>
        <w:rPr/>
      </w:pPr>
      <w:r>
        <w:rPr/>
      </w:r>
    </w:p>
    <w:p>
      <w:pPr>
        <w:pStyle w:val="Normal"/>
        <w:bidi w:val="0"/>
        <w:ind w:hanging="2790" w:start="2790"/>
        <w:jc w:val="start"/>
        <w:rPr/>
      </w:pPr>
      <w:r>
        <w:rPr/>
        <w:t>E259-2: Leading Change (4)</w:t>
        <w:tab/>
        <w:t>“Leadership with Professor Chatman is a very good class that you can apply to your job.    Professor Chatman is probably my favorite teacher thus far.</w:t>
      </w:r>
    </w:p>
    <w:p>
      <w:pPr>
        <w:pStyle w:val="Normal"/>
        <w:bidi w:val="0"/>
        <w:ind w:hanging="2430" w:start="2430"/>
        <w:jc w:val="start"/>
        <w:rPr/>
      </w:pPr>
      <w:r>
        <w:rPr/>
      </w:r>
    </w:p>
    <w:p>
      <w:pPr>
        <w:pStyle w:val="Normal"/>
        <w:bidi w:val="0"/>
        <w:ind w:hanging="2790" w:start="2790"/>
        <w:jc w:val="start"/>
        <w:rPr/>
      </w:pPr>
      <w:r>
        <w:rPr/>
        <w:t>E282: Land Use and Dev. (1)</w:t>
        <w:tab/>
        <w:t>“I can strongly recommend Steve Chamberlin's Land Use and Development (B282), for those even remotely interested in real estate development.    Yes, it is a day class, but it meets once a week in the late afternoon, and thus proves workable for a mildly flexible schedule--there are five of us from the evening program in this fall's offering.    Extremely current, pragmatic information from somebody who is in the trenches everyday; a solid union of practice and theory for the entrepreneur in all of us who secretly dreams of building the next Taj Mahal but knows that the market can only bear the latest avatar of a Home Depot;    first quality speakers; networking galore.”</w:t>
      </w:r>
    </w:p>
    <w:p>
      <w:pPr>
        <w:pStyle w:val="Normal"/>
        <w:bidi w:val="0"/>
        <w:ind w:hanging="2430" w:start="2430"/>
        <w:jc w:val="start"/>
        <w:rPr/>
      </w:pPr>
      <w:r>
        <w:rPr/>
      </w:r>
    </w:p>
    <w:p>
      <w:pPr>
        <w:pStyle w:val="Normal"/>
        <w:bidi w:val="0"/>
        <w:ind w:hanging="2790" w:start="2790"/>
        <w:jc w:val="start"/>
        <w:rPr/>
      </w:pPr>
      <w:r>
        <w:rPr/>
        <w:t>E296-1: Service Strategy (1)</w:t>
        <w:tab/>
        <w:t>“Service strategy is an informative class covering traditional old-world companies, and is very well taught by a clear and well-spoken outside professor.”</w:t>
      </w:r>
    </w:p>
    <w:p>
      <w:pPr>
        <w:pStyle w:val="Normal"/>
        <w:bidi w:val="0"/>
        <w:ind w:hanging="2790" w:start="2790"/>
        <w:jc w:val="start"/>
        <w:rPr/>
      </w:pPr>
      <w:r>
        <w:rPr/>
      </w:r>
    </w:p>
    <w:p>
      <w:pPr>
        <w:pStyle w:val="Normal"/>
        <w:bidi w:val="0"/>
        <w:ind w:hanging="2790" w:start="2790"/>
        <w:jc w:val="start"/>
        <w:rPr/>
      </w:pPr>
      <w:r>
        <w:rPr/>
        <w:t>E285: International Finance (3)</w:t>
        <w:tab/>
        <w:t>“Anyone focused on finance or international business should take this course.”</w:t>
      </w:r>
    </w:p>
    <w:p>
      <w:pPr>
        <w:pStyle w:val="Normal"/>
        <w:bidi w:val="0"/>
        <w:ind w:hanging="0" w:start="2790"/>
        <w:jc w:val="start"/>
        <w:rPr/>
      </w:pPr>
      <w:r>
        <w:rPr/>
      </w:r>
    </w:p>
    <w:p>
      <w:pPr>
        <w:pStyle w:val="Normal"/>
        <w:bidi w:val="0"/>
        <w:ind w:hanging="0" w:start="2790"/>
        <w:jc w:val="start"/>
        <w:rPr/>
      </w:pPr>
      <w:r>
        <w:rPr/>
        <w:t>“</w:t>
      </w:r>
      <w:r>
        <w:rPr/>
        <w:t>International Finance class is the best class with the best professor.    Rich sets the standard on how to structure a class</w:t>
      </w:r>
      <w:r>
        <w:rPr>
          <w:rFonts w:ascii="Arial" w:hAnsi="Arial"/>
        </w:rPr>
        <w:t>.</w:t>
      </w:r>
      <w:r>
        <w:rPr/>
        <w:t>”</w:t>
      </w:r>
    </w:p>
    <w:p>
      <w:pPr>
        <w:pStyle w:val="Normal"/>
        <w:bidi w:val="0"/>
        <w:ind w:hanging="2790" w:start="2790"/>
        <w:jc w:val="start"/>
        <w:rPr/>
      </w:pPr>
      <w:r>
        <w:rPr/>
      </w:r>
    </w:p>
    <w:p>
      <w:pPr>
        <w:pStyle w:val="Normal"/>
        <w:bidi w:val="0"/>
        <w:ind w:hanging="2790" w:start="2790"/>
        <w:jc w:val="start"/>
        <w:rPr>
          <w:b/>
          <w:u w:val="single"/>
        </w:rPr>
      </w:pPr>
      <w:r>
        <w:rPr>
          <w:b/>
          <w:u w:val="single"/>
        </w:rPr>
        <w:t>One-Unit Courses</w:t>
      </w:r>
    </w:p>
    <w:p>
      <w:pPr>
        <w:pStyle w:val="Normal"/>
        <w:bidi w:val="0"/>
        <w:ind w:hanging="2790" w:start="2790"/>
        <w:jc w:val="start"/>
        <w:rPr/>
      </w:pPr>
      <w:r>
        <w:rPr/>
        <w:t>E291B-1: Speaking for Mgmt (1)</w:t>
        <w:tab/>
        <w:t>“Speaking for Management with Bill Sonnenschein was great - good to focus on these issues - wish it were a longer class so I could have gotten even more out of it.”</w:t>
      </w:r>
    </w:p>
    <w:p>
      <w:pPr>
        <w:pStyle w:val="Normal"/>
        <w:bidi w:val="0"/>
        <w:ind w:hanging="2790" w:start="2790"/>
        <w:jc w:val="start"/>
        <w:rPr/>
      </w:pPr>
      <w:r>
        <w:rPr/>
      </w:r>
    </w:p>
    <w:p>
      <w:pPr>
        <w:pStyle w:val="Normal"/>
        <w:bidi w:val="0"/>
        <w:ind w:hanging="2790" w:start="2790"/>
        <w:jc w:val="start"/>
        <w:rPr/>
      </w:pPr>
      <w:r>
        <w:rPr/>
        <w:t>E278: Ethics (1)</w:t>
        <w:tab/>
        <w:t>“I can wholeheartedly recommend Ethics E-278 with Thigpen.    It's a fabulous one-unit course and the reader is worth spending time with, regardless of whether you take the class.    Excellent selection of cases, articles, and writings.”</w:t>
      </w:r>
    </w:p>
    <w:p>
      <w:pPr>
        <w:pStyle w:val="Normal"/>
        <w:widowControl/>
        <w:suppressAutoHyphens w:val="true"/>
        <w:bidi w:val="0"/>
        <w:jc w:val="start"/>
        <w:rPr/>
      </w:pPr>
      <w:r>
        <w:rPr/>
      </w:r>
    </w:p>
    <w:p>
      <w:pPr>
        <w:pStyle w:val="Normal"/>
        <w:bidi w:val="0"/>
        <w:jc w:val="start"/>
        <w:rPr>
          <w:b/>
          <w:sz w:val="24"/>
          <w:u w:val="single"/>
        </w:rPr>
      </w:pPr>
      <w:r>
        <w:rPr>
          <w:b/>
          <w:sz w:val="24"/>
          <w:u w:val="single"/>
        </w:rPr>
        <w:t>Cheit Award for Excellence in Teaching</w:t>
      </w:r>
    </w:p>
    <w:p>
      <w:pPr>
        <w:pStyle w:val="Normal"/>
        <w:widowControl/>
        <w:suppressAutoHyphens w:val="true"/>
        <w:bidi w:val="0"/>
        <w:jc w:val="start"/>
        <w:rPr/>
      </w:pPr>
      <w:r>
        <w:rPr/>
        <w:t>Congratulations to the 1999-2000 winner of the Cheit award for Excellence in Teaching in the evening MBA program: David Levine.    Professor Levine taught the Macroeconomics core course and was praised for his lively class debates and ability to work current events into the course material.    Honorable Mentions went to Michael Katz, who taught Competitive Strategy, and to Jonathan Berk, who taught the core finance course.</w:t>
      </w:r>
    </w:p>
    <w:p>
      <w:pPr>
        <w:pStyle w:val="Normal"/>
        <w:widowControl/>
        <w:suppressAutoHyphens w:val="true"/>
        <w:bidi w:val="0"/>
        <w:jc w:val="start"/>
        <w:rPr/>
      </w:pPr>
      <w:r>
        <w:rPr/>
      </w:r>
    </w:p>
    <w:p>
      <w:pPr>
        <w:pStyle w:val="Normal"/>
        <w:widowControl/>
        <w:suppressAutoHyphens w:val="true"/>
        <w:bidi w:val="0"/>
        <w:jc w:val="start"/>
        <w:rPr/>
      </w:pPr>
      <w:r>
        <w:rPr/>
        <w:t>Congratulations also to the winner of the evening MBA outstanding GSI, J. Lamar Pierce.    He truly went beyond the call of duty, going so far as to having a review session in the South Bay for those students that had a hard time making it up to Berkeley.</w:t>
      </w:r>
    </w:p>
    <w:p>
      <w:pPr>
        <w:pStyle w:val="Normal"/>
        <w:widowControl/>
        <w:suppressAutoHyphens w:val="true"/>
        <w:bidi w:val="0"/>
        <w:jc w:val="start"/>
        <w:rPr/>
      </w:pPr>
      <w:r>
        <w:rPr/>
      </w:r>
    </w:p>
    <w:p>
      <w:pPr>
        <w:pStyle w:val="Normal"/>
        <w:widowControl/>
        <w:suppressAutoHyphens w:val="true"/>
        <w:bidi w:val="0"/>
        <w:jc w:val="start"/>
        <w:rPr/>
      </w:pPr>
      <w:r>
        <w:rPr/>
        <w:t>Thanks to all of you that submitted nominations.</w:t>
      </w:r>
    </w:p>
    <w:p>
      <w:pPr>
        <w:pStyle w:val="Normal"/>
        <w:widowControl/>
        <w:suppressAutoHyphens w:val="true"/>
        <w:bidi w:val="0"/>
        <w:jc w:val="start"/>
        <w:rPr/>
      </w:pPr>
      <w:r>
        <w:rPr/>
      </w:r>
    </w:p>
    <w:p>
      <w:pPr>
        <w:pStyle w:val="Normal"/>
        <w:widowControl/>
        <w:suppressAutoHyphens w:val="true"/>
        <w:bidi w:val="0"/>
        <w:jc w:val="start"/>
        <w:rPr/>
      </w:pPr>
      <w:r>
        <w:rPr/>
        <w:t>Other teachers that received nominations include the following:</w:t>
      </w:r>
    </w:p>
    <w:p>
      <w:pPr>
        <w:pStyle w:val="Normal"/>
        <w:widowControl/>
        <w:suppressAutoHyphens w:val="true"/>
        <w:bidi w:val="0"/>
        <w:jc w:val="start"/>
        <w:rPr/>
      </w:pPr>
      <w:r>
        <w:rPr/>
        <w:t>Sanjiv Das</w:t>
      </w:r>
    </w:p>
    <w:p>
      <w:pPr>
        <w:pStyle w:val="Normal"/>
        <w:widowControl/>
        <w:suppressAutoHyphens w:val="true"/>
        <w:bidi w:val="0"/>
        <w:jc w:val="start"/>
        <w:rPr/>
      </w:pPr>
      <w:r>
        <w:rPr/>
        <w:t>Jenny Chatman</w:t>
      </w:r>
    </w:p>
    <w:p>
      <w:pPr>
        <w:pStyle w:val="Normal"/>
        <w:widowControl/>
        <w:suppressAutoHyphens w:val="true"/>
        <w:bidi w:val="0"/>
        <w:jc w:val="start"/>
        <w:rPr/>
      </w:pPr>
      <w:r>
        <w:rPr/>
        <w:t>Florian Zettelmeyer</w:t>
      </w:r>
    </w:p>
    <w:p>
      <w:pPr>
        <w:pStyle w:val="Normal"/>
        <w:keepNext w:val="true"/>
        <w:tabs>
          <w:tab w:val="left" w:pos="720" w:leader="none"/>
        </w:tabs>
        <w:bidi w:val="0"/>
        <w:jc w:val="start"/>
        <w:rPr/>
      </w:pPr>
      <w:r>
        <w:rPr/>
        <w:t>Rui de Figueiredo</w:t>
      </w:r>
    </w:p>
    <w:p>
      <w:pPr>
        <w:pStyle w:val="Normal"/>
        <w:keepNext w:val="true"/>
        <w:tabs>
          <w:tab w:val="left" w:pos="720" w:leader="none"/>
        </w:tabs>
        <w:bidi w:val="0"/>
        <w:jc w:val="start"/>
        <w:rPr/>
      </w:pPr>
      <w:r>
        <w:rPr/>
        <w:t>Richard Lyons</w:t>
      </w:r>
    </w:p>
    <w:p>
      <w:pPr>
        <w:pStyle w:val="Normal"/>
        <w:widowControl/>
        <w:suppressAutoHyphens w:val="true"/>
        <w:bidi w:val="0"/>
        <w:jc w:val="start"/>
        <w:rPr/>
      </w:pPr>
      <w:r>
        <w:rPr/>
        <w:t>Jonathan Leonard</w:t>
      </w:r>
    </w:p>
    <w:p>
      <w:pPr>
        <w:pStyle w:val="Normal"/>
        <w:widowControl/>
        <w:suppressAutoHyphens w:val="true"/>
        <w:bidi w:val="0"/>
        <w:jc w:val="start"/>
        <w:rPr/>
      </w:pPr>
      <w:r>
        <w:rPr/>
        <w:t>Hayne Leland</w:t>
      </w:r>
    </w:p>
    <w:p>
      <w:pPr>
        <w:pStyle w:val="Normal"/>
        <w:widowControl/>
        <w:suppressAutoHyphens w:val="true"/>
        <w:bidi w:val="0"/>
        <w:jc w:val="start"/>
        <w:rPr/>
      </w:pPr>
      <w:r>
        <w:rPr/>
        <w:t>Nancy Wallace</w:t>
      </w:r>
    </w:p>
    <w:p>
      <w:pPr>
        <w:pStyle w:val="Normal"/>
        <w:widowControl/>
        <w:suppressAutoHyphens w:val="true"/>
        <w:bidi w:val="0"/>
        <w:jc w:val="start"/>
        <w:rPr/>
      </w:pPr>
      <w:r>
        <w:rPr/>
      </w:r>
    </w:p>
    <w:p>
      <w:pPr>
        <w:pStyle w:val="Normal"/>
        <w:widowControl/>
        <w:suppressAutoHyphens w:val="true"/>
        <w:bidi w:val="0"/>
        <w:jc w:val="start"/>
        <w:rPr/>
      </w:pPr>
      <w:r>
        <w:rPr/>
        <w:t>We will soon be requesting nominations for the 2000-2001 award.</w:t>
      </w:r>
    </w:p>
    <w:p>
      <w:pPr>
        <w:pStyle w:val="Normal"/>
        <w:widowControl/>
        <w:suppressAutoHyphens w:val="true"/>
        <w:bidi w:val="0"/>
        <w:jc w:val="start"/>
        <w:rPr/>
      </w:pPr>
      <w:r>
        <w:rPr/>
      </w:r>
    </w:p>
    <w:p>
      <w:pPr>
        <w:pStyle w:val="Normal"/>
        <w:bidi w:val="0"/>
        <w:jc w:val="start"/>
        <w:rPr>
          <w:b/>
          <w:sz w:val="24"/>
          <w:u w:val="single"/>
        </w:rPr>
      </w:pPr>
      <w:r>
        <w:rPr>
          <w:b/>
          <w:sz w:val="24"/>
          <w:u w:val="single"/>
        </w:rPr>
        <w:t>Results of Student Survey</w:t>
      </w:r>
    </w:p>
    <w:p>
      <w:pPr>
        <w:pStyle w:val="Normal"/>
        <w:widowControl/>
        <w:suppressAutoHyphens w:val="true"/>
        <w:bidi w:val="0"/>
        <w:jc w:val="start"/>
        <w:rPr/>
      </w:pPr>
      <w:r>
        <w:rPr/>
        <w:t>The SAC meet with Diane Dimeff and Andy Shogan on October 21 to discuss the results of the 2000 student survey many of you filled out last spring.      The following is a brief summary of some key concerns you identified:</w:t>
      </w:r>
    </w:p>
    <w:p>
      <w:pPr>
        <w:pStyle w:val="Normal"/>
        <w:widowControl/>
        <w:suppressAutoHyphens w:val="true"/>
        <w:bidi w:val="0"/>
        <w:jc w:val="start"/>
        <w:rPr/>
      </w:pPr>
      <w:r>
        <w:rPr/>
      </w:r>
    </w:p>
    <w:tbl>
      <w:tblPr>
        <w:tblW w:w="9360" w:type="dxa"/>
        <w:jc w:val="start"/>
        <w:tblInd w:w="113" w:type="dxa"/>
        <w:tblLayout w:type="fixed"/>
        <w:tblCellMar>
          <w:top w:w="0" w:type="dxa"/>
          <w:start w:w="108" w:type="dxa"/>
          <w:bottom w:w="0" w:type="dxa"/>
          <w:end w:w="108" w:type="dxa"/>
        </w:tblCellMar>
      </w:tblPr>
      <w:tblGrid>
        <w:gridCol w:w="1349"/>
        <w:gridCol w:w="2701"/>
        <w:gridCol w:w="1620"/>
        <w:gridCol w:w="3689"/>
      </w:tblGrid>
      <w:tr>
        <w:trPr/>
        <w:tc>
          <w:tcPr>
            <w:tcW w:w="1349" w:type="dxa"/>
            <w:tcBorders>
              <w:top w:val="single" w:sz="4" w:space="0" w:color="000000"/>
              <w:start w:val="single" w:sz="4" w:space="0" w:color="000000"/>
              <w:bottom w:val="single" w:sz="4" w:space="0" w:color="000000"/>
              <w:end w:val="single" w:sz="4" w:space="0" w:color="000000"/>
            </w:tcBorders>
            <w:shd w:color="auto" w:fill="FFFFFF" w:val="pct12"/>
          </w:tcPr>
          <w:p>
            <w:pPr>
              <w:pStyle w:val="Normal"/>
              <w:tabs>
                <w:tab w:val="clear" w:pos="720"/>
              </w:tabs>
              <w:bidi w:val="0"/>
              <w:jc w:val="center"/>
              <w:rPr/>
            </w:pPr>
            <w:r>
              <w:rPr>
                <w:b/>
              </w:rPr>
              <w:t>Subject Area</w:t>
            </w:r>
          </w:p>
        </w:tc>
        <w:tc>
          <w:tcPr>
            <w:tcW w:w="2701" w:type="dxa"/>
            <w:tcBorders>
              <w:top w:val="single" w:sz="4" w:space="0" w:color="000000"/>
              <w:start w:val="single" w:sz="4" w:space="0" w:color="000000"/>
              <w:bottom w:val="single" w:sz="4" w:space="0" w:color="000000"/>
              <w:end w:val="single" w:sz="4" w:space="0" w:color="000000"/>
            </w:tcBorders>
            <w:shd w:color="auto" w:fill="FFFFFF" w:val="pct12"/>
          </w:tcPr>
          <w:p>
            <w:pPr>
              <w:pStyle w:val="Normal"/>
              <w:tabs>
                <w:tab w:val="clear" w:pos="720"/>
              </w:tabs>
              <w:bidi w:val="0"/>
              <w:jc w:val="center"/>
              <w:rPr/>
            </w:pPr>
            <w:r>
              <w:rPr>
                <w:b/>
              </w:rPr>
              <w:t>Question</w:t>
            </w:r>
          </w:p>
        </w:tc>
        <w:tc>
          <w:tcPr>
            <w:tcW w:w="1620" w:type="dxa"/>
            <w:tcBorders>
              <w:top w:val="single" w:sz="4" w:space="0" w:color="000000"/>
              <w:start w:val="single" w:sz="4" w:space="0" w:color="000000"/>
              <w:bottom w:val="single" w:sz="4" w:space="0" w:color="000000"/>
              <w:end w:val="single" w:sz="4" w:space="0" w:color="000000"/>
            </w:tcBorders>
            <w:shd w:color="auto" w:fill="FFFFFF" w:val="pct12"/>
          </w:tcPr>
          <w:p>
            <w:pPr>
              <w:pStyle w:val="Normal"/>
              <w:tabs>
                <w:tab w:val="clear" w:pos="720"/>
              </w:tabs>
              <w:bidi w:val="0"/>
              <w:jc w:val="center"/>
              <w:rPr/>
            </w:pPr>
            <w:r>
              <w:rPr>
                <w:b/>
              </w:rPr>
              <w:t>Response</w:t>
            </w:r>
          </w:p>
        </w:tc>
        <w:tc>
          <w:tcPr>
            <w:tcW w:w="3689" w:type="dxa"/>
            <w:tcBorders>
              <w:top w:val="single" w:sz="4" w:space="0" w:color="000000"/>
              <w:start w:val="single" w:sz="4" w:space="0" w:color="000000"/>
              <w:bottom w:val="single" w:sz="4" w:space="0" w:color="000000"/>
              <w:end w:val="single" w:sz="4" w:space="0" w:color="000000"/>
            </w:tcBorders>
            <w:shd w:color="auto" w:fill="FFFFFF" w:val="pct12"/>
          </w:tcPr>
          <w:p>
            <w:pPr>
              <w:pStyle w:val="Normal"/>
              <w:tabs>
                <w:tab w:val="clear" w:pos="720"/>
              </w:tabs>
              <w:bidi w:val="0"/>
              <w:jc w:val="center"/>
              <w:rPr/>
            </w:pPr>
            <w:r>
              <w:rPr>
                <w:b/>
              </w:rPr>
              <w:t>Comment/Action</w:t>
            </w:r>
          </w:p>
        </w:tc>
      </w:tr>
      <w:tr>
        <w:trPr>
          <w:cantSplit w:val="true"/>
        </w:trPr>
        <w:tc>
          <w:tcPr>
            <w:tcW w:w="13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Core Classes</w:t>
            </w:r>
          </w:p>
        </w:tc>
        <w:tc>
          <w:tcPr>
            <w:tcW w:w="270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How much coverage should current management practices receive in the core?</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Significantly More</w:t>
            </w:r>
          </w:p>
        </w:tc>
        <w:tc>
          <w:tcPr>
            <w:tcW w:w="36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Diane agreed to send an e-mail to the faculty discussing this feedback and promoting the best practice of integrating current events into the core classes, as demonstrated by David Levine in the Macro core class.</w:t>
            </w:r>
          </w:p>
        </w:tc>
      </w:tr>
      <w:tr>
        <w:trPr>
          <w:cantSplit w:val="true"/>
        </w:trPr>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c>
          <w:tcPr>
            <w:tcW w:w="2701" w:type="dxa"/>
            <w:tcBorders>
              <w:top w:val="single" w:sz="4" w:space="0" w:color="000000"/>
              <w:start w:val="single" w:sz="4" w:space="0" w:color="000000"/>
              <w:bottom w:val="single" w:sz="4" w:space="0" w:color="000000"/>
              <w:end w:val="single" w:sz="4" w:space="0" w:color="000000"/>
            </w:tcBorders>
          </w:tcPr>
          <w:p>
            <w:pPr>
              <w:pStyle w:val="FootnoteText"/>
              <w:tabs>
                <w:tab w:val="clear" w:pos="720"/>
              </w:tabs>
              <w:bidi w:val="0"/>
              <w:jc w:val="start"/>
              <w:rPr/>
            </w:pPr>
            <w:r>
              <w:rPr>
                <w:sz w:val="18"/>
              </w:rPr>
              <w:t>How much coverage should current events receive in the core?</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Significantly More</w:t>
            </w:r>
          </w:p>
        </w:tc>
        <w:tc>
          <w:tcPr>
            <w:tcW w:w="36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r>
      <w:tr>
        <w:trPr>
          <w:cantSplit w:val="true"/>
        </w:trPr>
        <w:tc>
          <w:tcPr>
            <w:tcW w:w="13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Electives</w:t>
            </w:r>
          </w:p>
        </w:tc>
        <w:tc>
          <w:tcPr>
            <w:tcW w:w="2701" w:type="dxa"/>
            <w:tcBorders>
              <w:top w:val="single" w:sz="4" w:space="0" w:color="000000"/>
              <w:start w:val="single" w:sz="4" w:space="0" w:color="000000"/>
              <w:bottom w:val="single" w:sz="4" w:space="0" w:color="000000"/>
              <w:end w:val="single" w:sz="4" w:space="0" w:color="000000"/>
            </w:tcBorders>
          </w:tcPr>
          <w:p>
            <w:pPr>
              <w:pStyle w:val="FootnoteText"/>
              <w:tabs>
                <w:tab w:val="clear" w:pos="720"/>
              </w:tabs>
              <w:bidi w:val="0"/>
              <w:jc w:val="start"/>
              <w:rPr/>
            </w:pPr>
            <w:r>
              <w:rPr>
                <w:sz w:val="18"/>
              </w:rPr>
              <w:t>If it meant the school could expand it elective offerings, would you be willing to attend class in another building?</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Very willing</w:t>
            </w:r>
          </w:p>
        </w:tc>
        <w:tc>
          <w:tcPr>
            <w:tcW w:w="368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At this time, Diane is working to expand the number of electives that are offered next semester.</w:t>
            </w:r>
          </w:p>
        </w:tc>
      </w:tr>
      <w:tr>
        <w:trPr>
          <w:cantSplit w:val="true"/>
        </w:trPr>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c>
          <w:tcPr>
            <w:tcW w:w="2701" w:type="dxa"/>
            <w:tcBorders>
              <w:top w:val="single" w:sz="4" w:space="0" w:color="000000"/>
              <w:start w:val="single" w:sz="4" w:space="0" w:color="000000"/>
              <w:bottom w:val="single" w:sz="4" w:space="0" w:color="000000"/>
              <w:end w:val="single" w:sz="4" w:space="0" w:color="000000"/>
            </w:tcBorders>
          </w:tcPr>
          <w:p>
            <w:pPr>
              <w:pStyle w:val="FootnoteText"/>
              <w:tabs>
                <w:tab w:val="clear" w:pos="720"/>
              </w:tabs>
              <w:bidi w:val="0"/>
              <w:jc w:val="start"/>
              <w:rPr/>
            </w:pPr>
            <w:r>
              <w:rPr>
                <w:sz w:val="18"/>
              </w:rPr>
              <w:t>I received enough guidance in designing my own program of electives.</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Strongly disagree</w:t>
            </w:r>
          </w:p>
        </w:tc>
        <w:tc>
          <w:tcPr>
            <w:tcW w:w="368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This response may mean that some students are unaware of what is available to them.    Diane actually councils about 50 to 60 students a year on their elective choices.    She sent out an e-mail about this a few weeks ago.    If you feel you need some guidance, call the evening MBA office at 510-642-1406.</w:t>
            </w:r>
          </w:p>
        </w:tc>
      </w:tr>
      <w:tr>
        <w:trPr>
          <w:cantSplit w:val="true"/>
        </w:trPr>
        <w:tc>
          <w:tcPr>
            <w:tcW w:w="13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Web Site</w:t>
            </w:r>
          </w:p>
        </w:tc>
        <w:tc>
          <w:tcPr>
            <w:tcW w:w="2701" w:type="dxa"/>
            <w:tcBorders>
              <w:top w:val="single" w:sz="4" w:space="0" w:color="000000"/>
              <w:start w:val="single" w:sz="4" w:space="0" w:color="000000"/>
              <w:bottom w:val="single" w:sz="4" w:space="0" w:color="000000"/>
              <w:end w:val="single" w:sz="4" w:space="0" w:color="000000"/>
            </w:tcBorders>
          </w:tcPr>
          <w:p>
            <w:pPr>
              <w:pStyle w:val="FootnoteText"/>
              <w:tabs>
                <w:tab w:val="clear" w:pos="720"/>
              </w:tabs>
              <w:bidi w:val="0"/>
              <w:jc w:val="start"/>
              <w:rPr/>
            </w:pPr>
            <w:r>
              <w:rPr>
                <w:sz w:val="18"/>
              </w:rPr>
              <w:t>The contents of the Haas web site are logically organized.</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Strongly disagree</w:t>
            </w:r>
          </w:p>
        </w:tc>
        <w:tc>
          <w:tcPr>
            <w:tcW w:w="36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The Haas web site has been changed to address some of these issues.    Check it out, and if you have further feedback or suggestions, put a note in the EMBAA/SAC suggestion box in the student lounge and we will be sure it gets passed on to the appropriate party.</w:t>
            </w:r>
          </w:p>
        </w:tc>
      </w:tr>
      <w:tr>
        <w:trPr>
          <w:cantSplit w:val="true"/>
        </w:trPr>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c>
          <w:tcPr>
            <w:tcW w:w="270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It is easy to navigate the Haas web site to find what I am looking for.</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Strongly disagree</w:t>
            </w:r>
          </w:p>
        </w:tc>
        <w:tc>
          <w:tcPr>
            <w:tcW w:w="36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r>
      <w:tr>
        <w:trPr>
          <w:cantSplit w:val="true"/>
        </w:trPr>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sz w:val="18"/>
              </w:rPr>
            </w:pPr>
            <w:r>
              <w:rPr>
                <w:sz w:val="18"/>
              </w:rPr>
            </w:r>
          </w:p>
        </w:tc>
        <w:tc>
          <w:tcPr>
            <w:tcW w:w="270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sz w:val="18"/>
              </w:rPr>
              <w:t>Information I need is available on the Haas web site.</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sz w:val="18"/>
              </w:rPr>
              <w:t>Strongly disagree</w:t>
            </w:r>
          </w:p>
        </w:tc>
        <w:tc>
          <w:tcPr>
            <w:tcW w:w="3689"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sz w:val="18"/>
              </w:rPr>
            </w:pPr>
            <w:r>
              <w:rPr>
                <w:sz w:val="18"/>
              </w:rPr>
            </w:r>
          </w:p>
        </w:tc>
      </w:tr>
      <w:tr>
        <w:trPr>
          <w:cantSplit w:val="true"/>
        </w:trPr>
        <w:tc>
          <w:tcPr>
            <w:tcW w:w="13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Bottom Line</w:t>
            </w:r>
          </w:p>
        </w:tc>
        <w:tc>
          <w:tcPr>
            <w:tcW w:w="270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If I could only attend a part-time program, I would again chose the Haas Evening MBA program.</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Strongly Agree</w:t>
            </w:r>
          </w:p>
        </w:tc>
        <w:tc>
          <w:tcPr>
            <w:tcW w:w="36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Overall, we are highly satisfied with the program, but based on the rest of the feedback in the survey, there are still some areas that can be improved.</w:t>
            </w:r>
          </w:p>
        </w:tc>
      </w:tr>
      <w:tr>
        <w:trPr>
          <w:cantSplit w:val="true"/>
        </w:trPr>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c>
          <w:tcPr>
            <w:tcW w:w="270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I would recommend the Haas Evening MBA program to my friends who are interested in part-time MBA programs.</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sz w:val="18"/>
              </w:rPr>
              <w:t>Strongly Agree</w:t>
            </w:r>
          </w:p>
        </w:tc>
        <w:tc>
          <w:tcPr>
            <w:tcW w:w="36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sz w:val="18"/>
              </w:rPr>
            </w:pPr>
            <w:r>
              <w:rPr>
                <w:sz w:val="18"/>
              </w:rPr>
            </w:r>
          </w:p>
        </w:tc>
      </w:tr>
    </w:tbl>
    <w:p>
      <w:pPr>
        <w:pStyle w:val="Normal"/>
        <w:widowControl/>
        <w:suppressAutoHyphens w:val="true"/>
        <w:bidi w:val="0"/>
        <w:jc w:val="start"/>
        <w:rPr/>
      </w:pPr>
      <w:r>
        <w:rPr/>
      </w:r>
    </w:p>
    <w:p>
      <w:pPr>
        <w:pStyle w:val="Normal"/>
        <w:bidi w:val="0"/>
        <w:jc w:val="start"/>
        <w:rPr>
          <w:b/>
          <w:sz w:val="24"/>
          <w:u w:val="single"/>
        </w:rPr>
      </w:pPr>
      <w:r>
        <w:rPr>
          <w:b/>
          <w:sz w:val="24"/>
          <w:u w:val="single"/>
        </w:rPr>
        <w:t>Evening Student Feedback on Jimmy Beans</w:t>
      </w:r>
    </w:p>
    <w:p>
      <w:pPr>
        <w:pStyle w:val="Normal"/>
        <w:widowControl/>
        <w:suppressAutoHyphens w:val="true"/>
        <w:bidi w:val="0"/>
        <w:jc w:val="start"/>
        <w:rPr/>
      </w:pPr>
      <w:r>
        <w:rPr/>
        <w:t>The following is a summary of the major issues that were identified by evening students.    This feedback was given to Jimmy Bean’s management.</w:t>
      </w:r>
    </w:p>
    <w:p>
      <w:pPr>
        <w:pStyle w:val="Normal"/>
        <w:numPr>
          <w:ilvl w:val="0"/>
          <w:numId w:val="2"/>
        </w:numPr>
        <w:tabs>
          <w:tab w:val="left" w:pos="360" w:leader="none"/>
          <w:tab w:val="left" w:pos="720" w:leader="none"/>
        </w:tabs>
        <w:bidi w:val="0"/>
        <w:jc w:val="start"/>
        <w:rPr/>
      </w:pPr>
      <w:r>
        <w:rPr/>
        <w:t>Continue the menu expansion to include a better variety (specifically healthy/vegetarian items).    Perhaps some pasta or some grilled vegetables.</w:t>
      </w:r>
    </w:p>
    <w:p>
      <w:pPr>
        <w:pStyle w:val="Normal"/>
        <w:numPr>
          <w:ilvl w:val="0"/>
          <w:numId w:val="2"/>
        </w:numPr>
        <w:tabs>
          <w:tab w:val="left" w:pos="360" w:leader="none"/>
          <w:tab w:val="left" w:pos="720" w:leader="none"/>
        </w:tabs>
        <w:bidi w:val="0"/>
        <w:jc w:val="start"/>
        <w:rPr/>
      </w:pPr>
      <w:r>
        <w:rPr/>
        <w:t>Out of Food: Many evening students made the comment that they are often out of food by the time we get there in the evening.    And what food is left is often not fresh.</w:t>
      </w:r>
    </w:p>
    <w:p>
      <w:pPr>
        <w:pStyle w:val="Normal"/>
        <w:numPr>
          <w:ilvl w:val="0"/>
          <w:numId w:val="2"/>
        </w:numPr>
        <w:tabs>
          <w:tab w:val="left" w:pos="360" w:leader="none"/>
          <w:tab w:val="left" w:pos="720" w:leader="none"/>
        </w:tabs>
        <w:bidi w:val="0"/>
        <w:jc w:val="start"/>
        <w:rPr/>
      </w:pPr>
      <w:r>
        <w:rPr/>
        <w:t>Cleanliness: Several people made comments about the cleanliness of Jimmy Bean’s, both in the eating area and behind the counter.    People indicated that the eating area is usually a mess.    The tables are dirty and not at all conducive to meeting in project groups because of it.    There were a few comments as well about lack of cleanliness behind the counter.</w:t>
      </w:r>
    </w:p>
    <w:p>
      <w:pPr>
        <w:pStyle w:val="Header"/>
        <w:tabs>
          <w:tab w:val="clear" w:pos="4320"/>
          <w:tab w:val="clear" w:pos="8640"/>
          <w:tab w:val="left" w:pos="720" w:leader="none"/>
        </w:tabs>
        <w:bidi w:val="0"/>
        <w:jc w:val="start"/>
        <w:rPr>
          <w:rFonts w:ascii="Arial" w:hAnsi="Arial"/>
        </w:rPr>
      </w:pPr>
      <w:r>
        <w:rPr>
          <w:rFonts w:ascii="Arial" w:hAnsi="Arial"/>
        </w:rPr>
      </w:r>
    </w:p>
    <w:p>
      <w:pPr>
        <w:pStyle w:val="Normal"/>
        <w:bidi w:val="0"/>
        <w:jc w:val="start"/>
        <w:rPr>
          <w:b/>
          <w:sz w:val="24"/>
          <w:u w:val="single"/>
        </w:rPr>
      </w:pPr>
      <w:r>
        <w:rPr>
          <w:b/>
          <w:sz w:val="24"/>
          <w:u w:val="single"/>
        </w:rPr>
        <w:t>SAC Committee Members</w:t>
      </w:r>
    </w:p>
    <w:p>
      <w:pPr>
        <w:pStyle w:val="Normal"/>
        <w:bidi w:val="0"/>
        <w:jc w:val="start"/>
        <w:rPr>
          <w:b/>
        </w:rPr>
      </w:pPr>
      <w:r>
        <w:rPr>
          <w:b/>
        </w:rPr>
      </w:r>
    </w:p>
    <w:p>
      <w:pPr>
        <w:pStyle w:val="Normal"/>
        <w:bidi w:val="0"/>
        <w:ind w:hanging="2160" w:start="2160"/>
        <w:jc w:val="start"/>
        <w:rPr/>
      </w:pPr>
      <w:r>
        <w:rPr/>
        <w:t>Michael Plumb (Chair)</w:t>
        <w:tab/>
        <w:t>Mike is a fifth semester student.    He is Director of Health Services Actuarial for PacifiCare of California, one of California’s largest managed care companies. [plumb@haas.berkeley.edu]</w:t>
      </w:r>
    </w:p>
    <w:p>
      <w:pPr>
        <w:pStyle w:val="Normal"/>
        <w:widowControl/>
        <w:suppressAutoHyphens w:val="true"/>
        <w:bidi w:val="0"/>
        <w:jc w:val="start"/>
        <w:rPr/>
      </w:pPr>
      <w:r>
        <w:rPr/>
      </w:r>
    </w:p>
    <w:p>
      <w:pPr>
        <w:pStyle w:val="Normal"/>
        <w:bidi w:val="0"/>
        <w:ind w:hanging="2160" w:start="2160"/>
        <w:jc w:val="start"/>
        <w:rPr/>
      </w:pPr>
      <w:r>
        <w:rPr/>
        <w:t>Dawn Taketa</w:t>
        <w:tab/>
        <w:t>Dawn is a fifth semester student, and continues as a member of the committee through her role as President of the Evening MBA Association.      She is Director, On-line Customer Experience for Gap, Inc., a global retail apparel company with three distinct brands--Gap, Banana Republic and Old Navy--and revenues topping $9 billion.    [dtaketa@haas.berkeley.edu]</w:t>
      </w:r>
    </w:p>
    <w:p>
      <w:pPr>
        <w:pStyle w:val="Normal"/>
        <w:bidi w:val="0"/>
        <w:ind w:hanging="2160" w:start="2160"/>
        <w:jc w:val="start"/>
        <w:rPr/>
      </w:pPr>
      <w:r>
        <w:rPr/>
      </w:r>
    </w:p>
    <w:p>
      <w:pPr>
        <w:pStyle w:val="Normal"/>
        <w:bidi w:val="0"/>
        <w:ind w:hanging="2160" w:start="2160"/>
        <w:jc w:val="start"/>
        <w:rPr/>
      </w:pPr>
      <w:r>
        <w:rPr/>
        <w:t>Olivier Bernard</w:t>
        <w:tab/>
        <w:t xml:space="preserve">Olivier is a fifth semester student.    He is Application Engineering Manager for </w:t>
      </w:r>
      <w:r>
        <w:rPr>
          <w:sz w:val="24"/>
        </w:rPr>
        <w:br/>
      </w:r>
      <w:r>
        <w:rPr/>
        <w:t>California Eastern Labs, the exclusive North American sales, marketing and product development organization</w:t>
      </w:r>
      <w:r>
        <w:rPr>
          <w:sz w:val="24"/>
        </w:rPr>
        <w:t xml:space="preserve"> </w:t>
      </w:r>
      <w:r>
        <w:rPr/>
        <w:t>for wireless semiconductor products produced by NEC Corporation of Japan.</w:t>
      </w:r>
    </w:p>
    <w:p>
      <w:pPr>
        <w:pStyle w:val="Normal"/>
        <w:bidi w:val="0"/>
        <w:ind w:hanging="0" w:start="2160"/>
        <w:jc w:val="start"/>
        <w:rPr/>
      </w:pPr>
      <w:r>
        <w:rPr/>
        <w:t>[bernard@haas.berkeley.edu]</w:t>
      </w:r>
    </w:p>
    <w:p>
      <w:pPr>
        <w:pStyle w:val="Normal"/>
        <w:widowControl/>
        <w:suppressAutoHyphens w:val="true"/>
        <w:bidi w:val="0"/>
        <w:jc w:val="start"/>
        <w:rPr/>
      </w:pPr>
      <w:r>
        <w:rPr/>
      </w:r>
    </w:p>
    <w:p>
      <w:pPr>
        <w:pStyle w:val="Normal"/>
        <w:bidi w:val="0"/>
        <w:ind w:hanging="2160" w:start="2160"/>
        <w:jc w:val="start"/>
        <w:rPr/>
      </w:pPr>
      <w:r>
        <w:rPr/>
        <w:t>Lesley Keffer</w:t>
        <w:tab/>
        <w:t>Lesley is a third semester student.    She is Export Manager for St. Supery Vineyards and Winery, a Napa Valley producer of premium wines. [keffer@haas.berkeley.edu]</w:t>
      </w:r>
    </w:p>
    <w:p>
      <w:pPr>
        <w:pStyle w:val="Normal"/>
        <w:bidi w:val="0"/>
        <w:ind w:hanging="2160" w:start="2160"/>
        <w:jc w:val="start"/>
        <w:rPr/>
      </w:pPr>
      <w:r>
        <w:rPr/>
      </w:r>
    </w:p>
    <w:p>
      <w:pPr>
        <w:pStyle w:val="Normal"/>
        <w:bidi w:val="0"/>
        <w:ind w:hanging="2160" w:start="2160"/>
        <w:jc w:val="start"/>
        <w:rPr/>
      </w:pPr>
      <w:r>
        <w:rPr/>
        <w:t>Joseph Tambornino</w:t>
        <w:tab/>
        <w:t>Joseph is a third semester student.    He is Project Executive for Merle D. Hall Company, a small, family-owned real estate investment business, with activities in brokerage, development, and management of commercial and multi-family residential property. [tamborni@haas.berkeley.edu]</w:t>
      </w:r>
    </w:p>
    <w:p>
      <w:pPr>
        <w:pStyle w:val="Normal"/>
        <w:bidi w:val="0"/>
        <w:ind w:hanging="2160" w:start="2160"/>
        <w:jc w:val="start"/>
        <w:rPr/>
      </w:pPr>
      <w:r>
        <w:rPr/>
      </w:r>
    </w:p>
    <w:p>
      <w:pPr>
        <w:pStyle w:val="Normal"/>
        <w:bidi w:val="0"/>
        <w:ind w:hanging="2160" w:start="2160"/>
        <w:jc w:val="start"/>
        <w:rPr/>
      </w:pPr>
      <w:r>
        <w:rPr/>
        <w:t>Eric Jordan</w:t>
        <w:tab/>
        <w:t>Eric is a first semester student.    He is Regional Sales Manager for iSharp, a company that provides a web site stress testing service via the Internet to demonstrate how a company's web site will perform under various user loads. [jordan@haas.berkeley.edu]</w:t>
      </w:r>
    </w:p>
    <w:p>
      <w:pPr>
        <w:pStyle w:val="Normal"/>
        <w:tabs>
          <w:tab w:val="left" w:pos="720" w:leader="none"/>
        </w:tabs>
        <w:bidi w:val="0"/>
        <w:jc w:val="start"/>
        <w:rPr>
          <w:rFonts w:ascii="Arial" w:hAnsi="Arial"/>
        </w:rPr>
      </w:pPr>
      <w:r>
        <w:rPr>
          <w:rFonts w:ascii="Arial" w:hAnsi="Arial"/>
        </w:rPr>
      </w:r>
    </w:p>
    <w:p>
      <w:pPr>
        <w:pStyle w:val="Normal"/>
        <w:bidi w:val="0"/>
        <w:ind w:hanging="2160" w:start="2160"/>
        <w:jc w:val="start"/>
        <w:rPr/>
      </w:pPr>
      <w:r>
        <w:rPr/>
        <w:t>Sujan Punyamurthula</w:t>
        <w:tab/>
        <w:t>Sujan is a first semester student.    He is a Project Engineer for URS Corporation, a leading Civil Engineering Design and Consulting Services Firm with 350 offices and 16,000 employees. [punyamur@haas.berkeley.edu]</w:t>
      </w:r>
    </w:p>
    <w:p>
      <w:pPr>
        <w:pStyle w:val="Normal"/>
        <w:tabs>
          <w:tab w:val="left" w:pos="720" w:leader="none"/>
        </w:tabs>
        <w:bidi w:val="0"/>
        <w:jc w:val="start"/>
        <w:rPr>
          <w:rFonts w:ascii="Arial" w:hAnsi="Arial"/>
        </w:rPr>
      </w:pPr>
      <w:r>
        <w:rPr>
          <w:rFonts w:ascii="Arial" w:hAnsi="Arial"/>
        </w:rPr>
      </w:r>
    </w:p>
    <w:p>
      <w:pPr>
        <w:pStyle w:val="Normal"/>
        <w:bidi w:val="0"/>
        <w:ind w:hanging="2160" w:start="2160"/>
        <w:jc w:val="start"/>
        <w:rPr/>
      </w:pPr>
      <w:r>
        <w:rPr/>
        <w:t>Deepika Shah</w:t>
        <w:tab/>
        <w:t>Deepika is a third semester student, and is currently on an exchange program in Columbia.    She will return to her role on the SAC next semester.    Deepika is a performance analyst for Levi Strauss &amp; Co., which manufactures and markets branded jeans and casual sportswear under the Levi’s®, Dockers®, and Slates® brands. [dshah@haas.berkeley.edu]</w:t>
      </w:r>
    </w:p>
    <w:p>
      <w:pPr>
        <w:pStyle w:val="Normal"/>
        <w:bidi w:val="0"/>
        <w:ind w:hanging="2160" w:start="216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1440" w:footer="720" w:bottom="1152"/>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ourier New">
    <w:charset w:val="01" w:characterSet="utf-8"/>
    <w:family w:val="roman"/>
    <w:pitch w:val="variable"/>
  </w:font>
  <w:font w:name="Abadi MT Condensed Light">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b/>
      </w:rPr>
    </w:pPr>
    <w:r>
      <mc:AlternateContent>
        <mc:Choice Requires="wps">
          <w:drawing>
            <wp:anchor behindDoc="0" distT="0" distB="0" distL="0" distR="0" simplePos="0" locked="0" layoutInCell="1" allowOverlap="1" relativeHeight="6">
              <wp:simplePos x="0" y="0"/>
              <wp:positionH relativeFrom="column">
                <wp:posOffset>-45720</wp:posOffset>
              </wp:positionH>
              <wp:positionV relativeFrom="paragraph">
                <wp:posOffset>-73660</wp:posOffset>
              </wp:positionV>
              <wp:extent cx="5577840" cy="0"/>
              <wp:effectExtent l="14605" t="14605" r="14605" b="14605"/>
              <wp:wrapNone/>
              <wp:docPr id="3" name="Shape1"/>
              <a:graphic xmlns:a="http://schemas.openxmlformats.org/drawingml/2006/main">
                <a:graphicData uri="http://schemas.microsoft.com/office/word/2010/wordprocessingShape">
                  <wps:wsp>
                    <wps:cNvSpPr/>
                    <wps:spPr>
                      <a:xfrm>
                        <a:off x="0" y="0"/>
                        <a:ext cx="5577840" cy="0"/>
                      </a:xfrm>
                      <a:prstGeom prst="line">
                        <a:avLst/>
                      </a:prstGeom>
                      <a:ln w="28440">
                        <a:solidFill>
                          <a:srgbClr val="000000"/>
                        </a:solidFill>
                        <a:round/>
                      </a:ln>
                    </wps:spPr>
                    <wps:style>
                      <a:lnRef idx="0"/>
                      <a:fillRef idx="0"/>
                      <a:effectRef idx="0"/>
                      <a:fontRef idx="minor"/>
                    </wps:style>
                    <wps:bodyPr/>
                  </wps:wsp>
                </a:graphicData>
              </a:graphic>
            </wp:anchor>
          </w:drawing>
        </mc:Choice>
        <mc:Fallback>
          <w:pict>
            <v:line id="shape_0" from="-3.6pt,-5.8pt" to="435.55pt,-5.8pt" ID="Shape1" stroked="t" o:allowincell="f" style="position:absolute">
              <v:stroke color="black" weight="28440" joinstyle="round" endcap="flat"/>
              <v:fill o:detectmouseclick="t" on="false"/>
              <w10:wrap type="none"/>
            </v:line>
          </w:pict>
        </mc:Fallback>
      </mc:AlternateContent>
    </w:r>
    <w:r>
      <w:rPr>
        <w:rStyle w:val="PageNumber"/>
        <w:b/>
      </w:rPr>
      <w:tab/>
      <w:tab/>
    </w:r>
    <w:r>
      <w:rPr>
        <w:rStyle w:val="PageNumber"/>
        <w:b/>
        <w:lang w:val="en-CA"/>
      </w:rPr>
      <w:fldChar w:fldCharType="begin"/>
    </w:r>
    <w:r>
      <w:rPr>
        <w:rStyle w:val="PageNumber"/>
        <w:b/>
        <w:lang w:val="en-CA"/>
      </w:rPr>
      <w:instrText xml:space="preserve"> PAGE </w:instrText>
    </w:r>
    <w:r>
      <w:rPr>
        <w:rStyle w:val="PageNumber"/>
        <w:b/>
        <w:lang w:val="en-CA"/>
      </w:rPr>
      <w:fldChar w:fldCharType="separate"/>
    </w:r>
    <w:r>
      <w:rPr>
        <w:rStyle w:val="PageNumber"/>
        <w:b/>
        <w:lang w:val="en-CA"/>
      </w:rPr>
      <w:t>4</w:t>
    </w:r>
    <w:r>
      <w:rPr>
        <w:rStyle w:val="PageNumber"/>
        <w:b/>
        <w:lang w:val="en-CA"/>
      </w:rPr>
      <w:fldChar w:fldCharType="end"/>
    </w:r>
  </w:p>
  <w:p>
    <w:pPr>
      <w:pStyle w:val="Footer"/>
      <w:bidi w:val="0"/>
      <w:jc w:val="both"/>
      <w:rPr>
        <w:rFonts w:ascii="Times New Roman" w:hAnsi="Times New Roman"/>
      </w:rPr>
    </w:pPr>
    <w:r>
      <w:rPr>
        <w:rStyle w:val="PageNumbe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lang w:val="en-CA"/>
      </w:rPr>
    </w:pPr>
    <w:r>
      <w:rPr>
        <w:lang w:val="en-CA"/>
      </w:rPr>
      <mc:AlternateContent>
        <mc:Choice Requires="wps">
          <w:drawing>
            <wp:anchor behindDoc="0" distT="0" distB="0" distL="0" distR="0" simplePos="0" locked="0" layoutInCell="1" allowOverlap="1" relativeHeight="3">
              <wp:simplePos x="0" y="0"/>
              <wp:positionH relativeFrom="column">
                <wp:posOffset>-45720</wp:posOffset>
              </wp:positionH>
              <wp:positionV relativeFrom="paragraph">
                <wp:posOffset>-91440</wp:posOffset>
              </wp:positionV>
              <wp:extent cx="5577840" cy="0"/>
              <wp:effectExtent l="14605" t="14605" r="14605" b="14605"/>
              <wp:wrapNone/>
              <wp:docPr id="1" name="Shape2"/>
              <a:graphic xmlns:a="http://schemas.openxmlformats.org/drawingml/2006/main">
                <a:graphicData uri="http://schemas.microsoft.com/office/word/2010/wordprocessingShape">
                  <wps:wsp>
                    <wps:cNvSpPr/>
                    <wps:spPr>
                      <a:xfrm>
                        <a:off x="0" y="0"/>
                        <a:ext cx="5577840" cy="0"/>
                      </a:xfrm>
                      <a:prstGeom prst="line">
                        <a:avLst/>
                      </a:prstGeom>
                      <a:ln w="28440">
                        <a:solidFill>
                          <a:srgbClr val="000000"/>
                        </a:solidFill>
                        <a:round/>
                      </a:ln>
                    </wps:spPr>
                    <wps:style>
                      <a:lnRef idx="0"/>
                      <a:fillRef idx="0"/>
                      <a:effectRef idx="0"/>
                      <a:fontRef idx="minor"/>
                    </wps:style>
                    <wps:bodyPr/>
                  </wps:wsp>
                </a:graphicData>
              </a:graphic>
            </wp:anchor>
          </w:drawing>
        </mc:Choice>
        <mc:Fallback>
          <w:pict>
            <v:line id="shape_0" from="-3.6pt,-7.2pt" to="435.55pt,-7.2pt" ID="Shape2" stroked="t" o:allowincell="f" style="position:absolute">
              <v:stroke color="black" weight="28440" joinstyle="round" endcap="flat"/>
              <v:fill o:detectmouseclick="t" on="false"/>
              <w10:wrap type="none"/>
            </v:line>
          </w:pict>
        </mc:Fallback>
      </mc:AlternateContent>
    </w:r>
  </w:p>
  <w:p>
    <w:pPr>
      <w:pStyle w:val="Normal"/>
      <w:bidi w:val="0"/>
      <w:jc w:val="start"/>
      <w:rPr>
        <w:lang w:val="en-CA"/>
      </w:rPr>
    </w:pPr>
    <w:r>
      <w:rPr/>
      <w:drawing>
        <wp:inline distT="0" distB="0" distL="0" distR="0">
          <wp:extent cx="2125980" cy="6089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2125980" cy="608965"/>
                  </a:xfrm>
                  <a:prstGeom prst="rect">
                    <a:avLst/>
                  </a:prstGeom>
                  <a:noFill/>
                </pic:spPr>
              </pic:pic>
            </a:graphicData>
          </a:graphic>
        </wp:inline>
      </w:drawing>
    </w:r>
  </w:p>
  <w:p>
    <w:pPr>
      <w:pStyle w:val="Header"/>
      <w:bidi w:val="0"/>
      <w:jc w:val="end"/>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720" w:hanging="360"/>
      </w:pPr>
      <w:rPr/>
    </w:lvl>
    <w:lvl w:ilvl="1">
      <w:start w:val="0"/>
      <w:numFmt w:val="none"/>
      <w:suff w:val="nothing"/>
      <w:lvlText w:val=""/>
      <w:lvlJc w:val="start"/>
      <w:pPr>
        <w:tabs>
          <w:tab w:val="num" w:pos="0"/>
        </w:tabs>
        <w:ind w:start="0" w:hanging="0"/>
      </w:pPr>
      <w:rPr/>
    </w:lvl>
    <w:lvl w:ilvl="2">
      <w:start w:val="0"/>
      <w:numFmt w:val="none"/>
      <w:suff w:val="nothing"/>
      <w:lvlText w:val=""/>
      <w:lvlJc w:val="start"/>
      <w:pPr>
        <w:tabs>
          <w:tab w:val="num" w:pos="0"/>
        </w:tabs>
        <w:ind w:start="0" w:hanging="0"/>
      </w:pPr>
      <w:rPr/>
    </w:lvl>
    <w:lvl w:ilvl="3">
      <w:start w:val="0"/>
      <w:numFmt w:val="none"/>
      <w:suff w:val="nothing"/>
      <w:lvlText w:val=""/>
      <w:lvlJc w:val="start"/>
      <w:pPr>
        <w:tabs>
          <w:tab w:val="num" w:pos="0"/>
        </w:tabs>
        <w:ind w:start="0" w:hanging="0"/>
      </w:pPr>
      <w:rPr/>
    </w:lvl>
    <w:lvl w:ilvl="4">
      <w:start w:val="0"/>
      <w:numFmt w:val="none"/>
      <w:suff w:val="nothing"/>
      <w:lvlText w:val=""/>
      <w:lvlJc w:val="start"/>
      <w:pPr>
        <w:tabs>
          <w:tab w:val="num" w:pos="0"/>
        </w:tabs>
        <w:ind w:start="0" w:hanging="0"/>
      </w:pPr>
      <w:rPr/>
    </w:lvl>
    <w:lvl w:ilvl="5">
      <w:start w:val="0"/>
      <w:numFmt w:val="none"/>
      <w:suff w:val="nothing"/>
      <w:lvlText w:val=""/>
      <w:lvlJc w:val="start"/>
      <w:pPr>
        <w:tabs>
          <w:tab w:val="num" w:pos="0"/>
        </w:tabs>
        <w:ind w:start="0" w:hanging="0"/>
      </w:pPr>
      <w:rPr/>
    </w:lvl>
    <w:lvl w:ilvl="6">
      <w:start w:val="0"/>
      <w:numFmt w:val="none"/>
      <w:suff w:val="nothing"/>
      <w:lvlText w:val=""/>
      <w:lvlJc w:val="start"/>
      <w:pPr>
        <w:tabs>
          <w:tab w:val="num" w:pos="0"/>
        </w:tabs>
        <w:ind w:start="0" w:hanging="0"/>
      </w:pPr>
      <w:rPr/>
    </w:lvl>
    <w:lvl w:ilvl="7">
      <w:start w:val="0"/>
      <w:numFmt w:val="none"/>
      <w:suff w:val="nothing"/>
      <w:lvlText w:val=""/>
      <w:lvlJc w:val="start"/>
      <w:pPr>
        <w:tabs>
          <w:tab w:val="num" w:pos="0"/>
        </w:tabs>
        <w:ind w:start="0" w:hanging="0"/>
      </w:pPr>
      <w:rPr/>
    </w:lvl>
    <w:lvl w:ilvl="8">
      <w:start w:val="0"/>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pPr>
    <w:rPr>
      <w:b/>
      <w:i/>
    </w:rPr>
  </w:style>
  <w:style w:type="paragraph" w:styleId="Heading2">
    <w:name w:val="heading 2"/>
    <w:basedOn w:val="Normal"/>
    <w:next w:val="Normal"/>
    <w:qFormat/>
    <w:pPr>
      <w:keepNext w:val="true"/>
      <w:widowControl/>
      <w:spacing w:before="240" w:after="60"/>
      <w:jc w:val="center"/>
    </w:pPr>
    <w:rPr>
      <w:rFonts w:ascii="Arial" w:hAnsi="Arial"/>
      <w:b/>
      <w:i/>
      <w:sz w:val="28"/>
    </w:rPr>
  </w:style>
  <w:style w:type="paragraph" w:styleId="Heading3">
    <w:name w:val="heading 3"/>
    <w:basedOn w:val="Normal"/>
    <w:next w:val="Normal"/>
    <w:qFormat/>
    <w:pPr>
      <w:keepNext w:val="true"/>
      <w:widowControl/>
      <w:spacing w:before="240" w:after="60"/>
    </w:pPr>
    <w:rPr>
      <w:rFonts w:ascii="Arial" w:hAnsi="Arial"/>
    </w:rPr>
  </w:style>
  <w:style w:type="paragraph" w:styleId="Heading4">
    <w:name w:val="heading 4"/>
    <w:basedOn w:val="Normal"/>
    <w:next w:val="Normal"/>
    <w:qFormat/>
    <w:pPr>
      <w:keepNext w:val="true"/>
      <w:widowControl/>
      <w:jc w:val="center"/>
    </w:pPr>
    <w:rPr>
      <w:b/>
      <w:color w:val="008000"/>
      <w:u w:val="single"/>
    </w:rPr>
  </w:style>
  <w:style w:type="paragraph" w:styleId="Heading5">
    <w:name w:val="heading 5"/>
    <w:basedOn w:val="Normal"/>
    <w:next w:val="Normal"/>
    <w:qFormat/>
    <w:pPr>
      <w:keepNext w:val="true"/>
      <w:widowControl/>
    </w:pPr>
    <w:rPr>
      <w:b/>
    </w:rPr>
  </w:style>
  <w:style w:type="paragraph" w:styleId="Heading6">
    <w:name w:val="heading 6"/>
    <w:basedOn w:val="Normal"/>
    <w:next w:val="Normal"/>
    <w:qFormat/>
    <w:pPr>
      <w:keepNext w:val="true"/>
      <w:widowControl/>
      <w:numPr>
        <w:ilvl w:val="0"/>
        <w:numId w:val="1"/>
      </w:numPr>
      <w:tabs>
        <w:tab w:val="left" w:pos="720" w:leader="none"/>
      </w:tabs>
      <w:ind w:hanging="360" w:start="720"/>
    </w:pPr>
    <w:rPr>
      <w:b/>
      <w:u w:val="single"/>
    </w:rPr>
  </w:style>
  <w:style w:type="paragraph" w:styleId="Heading7">
    <w:name w:val="heading 7"/>
    <w:basedOn w:val="Normal"/>
    <w:next w:val="Normal"/>
    <w:qFormat/>
    <w:pPr>
      <w:keepNext w:val="true"/>
      <w:widowControl/>
      <w:ind w:hanging="0" w:start="720"/>
    </w:pPr>
    <w:rPr>
      <w:u w:val="single"/>
    </w:rPr>
  </w:style>
  <w:style w:type="paragraph" w:styleId="Heading8">
    <w:name w:val="heading 8"/>
    <w:basedOn w:val="Normal"/>
    <w:next w:val="Normal"/>
    <w:qFormat/>
    <w:pPr>
      <w:keepNext w:val="true"/>
      <w:widowControl/>
    </w:pPr>
    <w:rPr>
      <w:color w:val="0000FF"/>
    </w:rPr>
  </w:style>
  <w:style w:type="paragraph" w:styleId="Heading9">
    <w:name w:val="heading 9"/>
    <w:basedOn w:val="Normal"/>
    <w:next w:val="Normal"/>
    <w:qFormat/>
    <w:pPr>
      <w:keepNext w:val="true"/>
      <w:widowControl/>
    </w:pPr>
    <w:rPr>
      <w:b/>
      <w:color w:val="0000FF"/>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color w:val="008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DocumentMap">
    <w:name w:val="Document Map"/>
    <w:basedOn w:val="Normal"/>
    <w:qFormat/>
    <w:pPr>
      <w:widowControl/>
      <w:shd w:fill="000080"/>
    </w:pPr>
    <w:rPr>
      <w:rFonts w:ascii="Tahoma" w:hAnsi="Tahoma"/>
      <w:sz w:val="20"/>
    </w:rPr>
  </w:style>
  <w:style w:type="paragraph" w:styleId="FootnoteText">
    <w:name w:val="footnote text"/>
    <w:basedOn w:val="Normal"/>
    <w:pPr>
      <w:widowControl/>
    </w:pPr>
    <w:rPr>
      <w:sz w:val="20"/>
    </w:rPr>
  </w:style>
  <w:style w:type="paragraph" w:styleId="EndnoteText">
    <w:name w:val="endnote text"/>
    <w:basedOn w:val="Normal"/>
    <w:pPr>
      <w:widowControl/>
    </w:pPr>
    <w:rPr>
      <w:sz w:val="20"/>
    </w:rPr>
  </w:style>
  <w:style w:type="paragraph" w:styleId="PlainText">
    <w:name w:val="Plain Text"/>
    <w:basedOn w:val="Normal"/>
    <w:qFormat/>
    <w:pPr>
      <w:widowControl/>
    </w:pPr>
    <w:rPr>
      <w:rFonts w:ascii="Courier New" w:hAnsi="Courier New"/>
      <w:sz w:val="20"/>
    </w:rPr>
  </w:style>
  <w:style w:type="paragraph" w:styleId="NormalWeb">
    <w:name w:val="Normal (Web)"/>
    <w:basedOn w:val="Normal"/>
    <w:qFormat/>
    <w:pPr>
      <w:widowControl/>
      <w:spacing w:before="100" w:after="100"/>
    </w:pPr>
    <w:rPr/>
  </w:style>
  <w:style w:type="paragraph" w:styleId="BodyText2">
    <w:name w:val="Body Text 2"/>
    <w:basedOn w:val="Normal"/>
    <w:qFormat/>
    <w:pPr>
      <w:widowControl/>
    </w:pPr>
    <w:rPr>
      <w:color w:val="0000FF"/>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BodyTextIndent2">
    <w:name w:val="Body Text Indent 2"/>
    <w:basedOn w:val="Normal"/>
    <w:qFormat/>
    <w:pPr>
      <w:widowControl/>
      <w:ind w:hanging="0" w:start="360"/>
    </w:pPr>
    <w:rPr/>
  </w:style>
  <w:style w:type="paragraph" w:styleId="ListContinue">
    <w:name w:val="List Continue"/>
    <w:basedOn w:val="Normal"/>
    <w:pPr>
      <w:widowControl/>
      <w:spacing w:before="60" w:after="120"/>
      <w:ind w:hanging="0" w:start="360" w:end="1440"/>
    </w:pPr>
    <w:rPr>
      <w:rFonts w:ascii="Abadi MT Condensed Light" w:hAnsi="Abadi MT Condensed Light"/>
    </w:rPr>
  </w:style>
  <w:style w:type="paragraph" w:styleId="BodyTextIndent3">
    <w:name w:val="Body Text Indent 3"/>
    <w:basedOn w:val="Normal"/>
    <w:qFormat/>
    <w:pPr>
      <w:widowControl/>
      <w:ind w:firstLine="720"/>
    </w:pPr>
    <w:rPr/>
  </w:style>
  <w:style w:type="paragraph" w:styleId="BodyText3">
    <w:name w:val="Body Text 3"/>
    <w:basedOn w:val="Normal"/>
    <w:qFormat/>
    <w:pPr>
      <w:widowControl/>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LibreOffice/25.2.7.0.0$Linux_X86_64 LibreOffice_project/2cc84caafd2707671cae2773f8085721f003b89f</Application>
  <AppVersion>15.0000</AppVersion>
  <Pages>99</Pages>
  <Words>1223</Words>
  <Characters>0</Characters>
  <CharactersWithSpaces>6975</CharactersWithSpaces>
  <Company>SCG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2000-04-10T12:53:00Z</dcterms:created>
  <dc:creator>David Dreessen</dc:creator>
  <dc:description/>
  <dc:language>en-CA</dc:language>
  <cp:lastModifiedBy/>
  <cp:lastPrinted>2000-03-19T12:58:00Z</cp:lastPrinted>
  <dcterms:modified xsi:type="dcterms:W3CDTF">2000-11-03T08:03:00Z</dcterms:modified>
  <cp:revision>38</cp:revision>
  <dc:subject/>
  <dc:title>Amazon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PacifiCare</vt:lpwstr>
  </property>
</Properties>
</file>