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b/>
          <w:sz w:val="24"/>
        </w:rPr>
        <w:t>SWAP TERMINATION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This TERMINATION AGREEMENT (this “</w:t>
      </w:r>
      <w:r>
        <w:rPr>
          <w:rFonts w:ascii="Times New Roman" w:hAnsi="Times New Roman"/>
          <w:sz w:val="24"/>
          <w:u w:val="single"/>
        </w:rPr>
        <w:t>Agreement</w:t>
      </w:r>
      <w:r>
        <w:rPr>
          <w:rFonts w:ascii="Times New Roman" w:hAnsi="Times New Roman"/>
          <w:sz w:val="24"/>
        </w:rPr>
        <w:t>”), dated as of May 31, 2000 (the “</w:t>
      </w:r>
      <w:r>
        <w:rPr>
          <w:rFonts w:ascii="Times New Roman" w:hAnsi="Times New Roman"/>
          <w:sz w:val="24"/>
          <w:u w:val="single"/>
        </w:rPr>
        <w:t>Effective Date</w:t>
      </w:r>
      <w:r>
        <w:rPr>
          <w:rFonts w:ascii="Times New Roman" w:hAnsi="Times New Roman"/>
          <w:sz w:val="24"/>
        </w:rPr>
        <w:t>”), is made by and between Enron Corp., an Oregon corporation (“</w:t>
      </w:r>
      <w:r>
        <w:rPr>
          <w:rFonts w:ascii="Times New Roman" w:hAnsi="Times New Roman"/>
          <w:sz w:val="24"/>
          <w:u w:val="single"/>
        </w:rPr>
        <w:t>Enron</w:t>
      </w:r>
      <w:r>
        <w:rPr>
          <w:rFonts w:ascii="Times New Roman" w:hAnsi="Times New Roman"/>
          <w:sz w:val="24"/>
        </w:rPr>
        <w:t>”), and LLC Interest Holdings 1 Owner Trust, a Delaware business trust (the “</w:t>
      </w:r>
      <w:r>
        <w:rPr>
          <w:rFonts w:ascii="Times New Roman" w:hAnsi="Times New Roman"/>
          <w:sz w:val="24"/>
          <w:u w:val="single"/>
        </w:rPr>
        <w:t>Trust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RECITALS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w:t>
        <w:tab/>
        <w:t>The Trust and Enron are parties to that certain ISDA Master Agreement, dated as of December 27, 1999, and Total Return Swap Confirmation thereunder, dated as of December 27, 1999 (collectively, the “</w:t>
      </w:r>
      <w:r>
        <w:rPr>
          <w:rFonts w:ascii="Times New Roman" w:hAnsi="Times New Roman"/>
          <w:sz w:val="24"/>
          <w:u w:val="single"/>
        </w:rPr>
        <w:t>Total Return Swap Agreement</w:t>
      </w:r>
      <w:r>
        <w:rPr>
          <w:rFonts w:ascii="Times New Roman" w:hAnsi="Times New Roman"/>
          <w:sz w:val="24"/>
        </w:rPr>
        <w:t xml:space="preserve">”).    Under the Total Return Swap Agreement, Enron is obligated to pay the Trust certain amounts on the payment dates provided therein.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 xml:space="preserve">On or before the Effective Date, the Trust will pay </w:t>
      </w:r>
      <w:r>
        <w:rPr>
          <w:rFonts w:ascii="Times New Roman" w:hAnsi="Times New Roman"/>
          <w:b/>
          <w:i/>
          <w:sz w:val="24"/>
        </w:rPr>
        <w:t>[$_______________]</w:t>
      </w:r>
      <w:r>
        <w:rPr>
          <w:rFonts w:ascii="Times New Roman" w:hAnsi="Times New Roman"/>
          <w:sz w:val="24"/>
        </w:rPr>
        <w:t xml:space="preserve"> (the “</w:t>
      </w:r>
      <w:r>
        <w:rPr>
          <w:rFonts w:ascii="Times New Roman" w:hAnsi="Times New Roman"/>
          <w:sz w:val="24"/>
          <w:u w:val="single"/>
        </w:rPr>
        <w:t>Payment Amount</w:t>
      </w:r>
      <w:r>
        <w:rPr>
          <w:rFonts w:ascii="Times New Roman" w:hAnsi="Times New Roman"/>
          <w:sz w:val="24"/>
        </w:rPr>
        <w:t>”) to Canadian Imperial Bank of Commerce (“</w:t>
      </w:r>
      <w:r>
        <w:rPr>
          <w:rFonts w:ascii="Times New Roman" w:hAnsi="Times New Roman"/>
          <w:sz w:val="24"/>
          <w:u w:val="single"/>
        </w:rPr>
        <w:t>CIBC</w:t>
      </w:r>
      <w:r>
        <w:rPr>
          <w:rFonts w:ascii="Times New Roman" w:hAnsi="Times New Roman"/>
          <w:sz w:val="24"/>
        </w:rPr>
        <w:t>”) as the agent under that certain Facility Agreement dated as of December 27, 1999, and made between the Trust, the Lenders party thereto and CIBC, as Agent and CIBC World Markets Corp., as arranger (the “</w:t>
      </w:r>
      <w:r>
        <w:rPr>
          <w:rFonts w:ascii="Times New Roman" w:hAnsi="Times New Roman"/>
          <w:sz w:val="24"/>
          <w:u w:val="single"/>
        </w:rPr>
        <w:t>Facility Agreement</w:t>
      </w:r>
      <w:r>
        <w:rPr>
          <w:rFonts w:ascii="Times New Roman" w:hAnsi="Times New Roman"/>
          <w:sz w:val="24"/>
        </w:rPr>
        <w:t>”) for the purpose of discharging in full all payment obligations under the Facility Agreement and, as a result, discharging all obligations that may have given rise to a payment obligation under the Total Return Swap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NOW, THEREFORE, to carry out their intent as expressed above and in consideration of the mutual covenants and benefits herein contained, the parties agree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1.</w:t>
        <w:tab/>
      </w:r>
      <w:r>
        <w:rPr>
          <w:rFonts w:ascii="Times New Roman" w:hAnsi="Times New Roman"/>
          <w:b/>
          <w:i/>
          <w:sz w:val="24"/>
        </w:rPr>
        <w:t>Termination.</w:t>
      </w:r>
      <w:r>
        <w:rPr>
          <w:rFonts w:ascii="Times New Roman" w:hAnsi="Times New Roman"/>
          <w:sz w:val="24"/>
        </w:rPr>
        <w:t>    Upon the Effective Date, the Total Return Swap Agreement is hereby terminated and shall be void and of no further effect.    No payment under the Total Return Swap Agreement is owed or is otherwise required.    Payment to CIBC of the Payment Amount satisfies all obligations that may have given rise to a payment obligation under the Total Return Swap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2.</w:t>
        <w:tab/>
      </w:r>
      <w:r>
        <w:rPr>
          <w:rFonts w:ascii="Times New Roman" w:hAnsi="Times New Roman"/>
          <w:b/>
          <w:i/>
          <w:sz w:val="24"/>
        </w:rPr>
        <w:t xml:space="preserve">General.    </w:t>
      </w:r>
      <w:r>
        <w:rPr>
          <w:rFonts w:ascii="Times New Roman" w:hAnsi="Times New Roman"/>
          <w:sz w:val="24"/>
        </w:rPr>
        <w:t>THIS AGREEMENT IS GOVERNED BY AND SHALL BE CONSTRUED IN ACCORDANCE WITH THE LAWS OF THE STATE OF NEW YORK (EXCLUDING ITS CONFLICT-OF-LAWS RULES).    This Agreement may be executed in counterparts.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[Signature Pages Follows]</w:t>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itlePg/>
          <w:textDirection w:val="lrTb"/>
        </w:sectPr>
      </w:pP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IN WITNESS WHEREOF, the undersigned have executed this Agreement as of the Effective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ab/>
        <w:tab/>
        <w:tab/>
        <w:tab/>
        <w:tab/>
        <w:tab/>
      </w:r>
      <w:r>
        <w:rPr>
          <w:rFonts w:ascii="Times New Roman" w:hAnsi="Times New Roman"/>
          <w:b/>
          <w:sz w:val="24"/>
        </w:rPr>
        <w:t>ENRON CORP.</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920" w:bottom="1977"/>
          <w:pgNumType w:fmt="decimal"/>
          <w:formProt w:val="false"/>
          <w:textDirection w:val="lrTb"/>
          <w:docGrid w:type="default" w:linePitch="100" w:charSpace="0"/>
        </w:sect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1920" w:bottom="1977"/>
          <w:pgNumType w:fmt="decimal"/>
          <w:formProt w:val="false"/>
          <w:textDirection w:val="lrTb"/>
          <w:docGrid w:type="default" w:linePitch="312" w:charSpace="2047"/>
        </w:sectPr>
      </w:pP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LLC INTEREST HOLDINGS 1 OWNER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By:</w:t>
        <w:tab/>
        <w:t>Wilmington Trust Company, not in its individual capacity but solely as owner trustee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sectPr>
      <w:type w:val="continuous"/>
      <w:pgSz w:w="12240" w:h="15840"/>
      <w:pgMar w:left="1440" w:right="1440" w:gutter="0" w:header="0" w:top="1440" w:footer="1920" w:bottom="1977"/>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DAL:241218.2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B)/Swap Termination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B)/Swap Termination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B)/Swap Termination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B)/Swap Termination Agreement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