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Atlantic Richfield Company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P.O. Box 2570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Los Angeles, CA  90051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color w:val="FF0000"/>
          <w:sz w:val="22"/>
        </w:rPr>
      </w:pPr>
      <w:r>
        <w:rPr>
          <w:sz w:val="22"/>
        </w:rPr>
        <w:t>Attention:  David Dyck</w:t>
      </w:r>
    </w:p>
    <w:p>
      <w:pPr>
        <w:pStyle w:val="Normal"/>
        <w:jc w:val="both"/>
        <w:rPr>
          <w:color w:val="FF0000"/>
          <w:sz w:val="22"/>
        </w:rPr>
      </w:pPr>
      <w:r>
        <w:rPr>
          <w:color w:val="FF0000"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Fax No.: (562) 983-3333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Telephone No.: (562) 590-4737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This letter proposes a financial swap transaction between Atlantic Richfield Company (“ARCO”) and Enron Capital &amp; Trade Resources Corp. (“ECT”), pursuant to terms and conditions identical to the transaction dated 5/6/99, except as follows: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6408"/>
      </w:tblGrid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Determination Period: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 xml:space="preserve">25 MW per hour for each Determination Period during the term of the Transaction, except April 2000 when the Quantity shall be 7 MW.  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Electricity 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MWh (Megawatt hours)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July 23, 1999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July 23, 1999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June 30, 2000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Determination Period: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Each month beginning with September 1, 1999 and ending on June 30, 2000.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6408"/>
      </w:tblGrid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Credit: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Enron Corporate Guaranty currently in place is satisfactory to ARCO.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Fixed Price Payor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Floating Price Payor: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Arco</w:t>
            </w:r>
          </w:p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ECT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6408" w:type="dxa"/>
            <w:tcBorders/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6408" w:type="dxa"/>
            <w:tcBorders/>
          </w:tcPr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$24.65/MWhr</w:t>
            </w:r>
          </w:p>
          <w:p>
            <w:pPr>
              <w:pStyle w:val="Normal"/>
              <w:jc w:val="both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</w:tr>
    </w:tbl>
    <w:p>
      <w:pPr>
        <w:pStyle w:val="BodyText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This proposal is for discussion purposes only to facilitate the negotiation, preparation and execution of a definitive agreement.  It is not intended to create a binding or enforceable contract or to be complete and all inclusive of the terms of the related transaction.  This is not an offer or a commitment of Williams.  The transaction described herein is subject to further review and approval of Williams and execution of definitive agreements containing all appropriate provisions.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/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Sincerely,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Chris Foster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5310"/>
        <w:tab w:val="left" w:pos="4320" w:leader="none"/>
      </w:tabs>
      <w:rPr>
        <w:sz w:val="22"/>
      </w:rPr>
    </w:pPr>
    <w:r>
      <w:rPr>
        <w:sz w:val="22"/>
      </w:rPr>
      <w:tab/>
    </w:r>
  </w:p>
  <w:p>
    <w:pPr>
      <w:pStyle w:val="Footer"/>
      <w:rPr>
        <w:sz w:val="22"/>
      </w:rPr>
    </w:pPr>
    <w:r>
      <w:rPr>
        <w:sz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Style w:val="PageNumber"/>
        <w:b/>
        <w:sz w:val="20"/>
      </w:rPr>
    </w:pPr>
    <w:r>
      <w:rPr/>
    </w:r>
  </w:p>
  <w:p>
    <w:pPr>
      <w:pStyle w:val="Header"/>
      <w:rPr/>
    </w:pPr>
    <w:r>
      <w:rPr>
        <w:rStyle w:val="PageNumber"/>
      </w:rPr>
      <w:tab/>
      <w:tab/>
      <w:tab/>
      <w:tab/>
    </w:r>
  </w:p>
  <w:p>
    <w:pPr>
      <w:pStyle w:val="Header"/>
      <w:rPr>
        <w:rStyle w:val="PageNumber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310" w:leader="none"/>
      </w:tabs>
      <w:ind w:hanging="0" w:start="0" w:end="198"/>
      <w:jc w:val="both"/>
    </w:pPr>
    <w:rPr>
      <w:rFonts w:ascii="Arial Narrow" w:hAnsi="Arial Narrow" w:cs="Arial Narrow"/>
      <w:b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1999-07-23T14:57:00Z</dcterms:created>
  <dc:creator>cfoster</dc:creator>
  <dc:description/>
  <dc:language>en-CA</dc:language>
  <cp:lastModifiedBy>cfoster</cp:lastModifiedBy>
  <cp:lastPrinted>1999-07-23T11:09:00Z</cp:lastPrinted>
  <dcterms:modified xsi:type="dcterms:W3CDTF">1999-07-23T15:53:00Z</dcterms:modified>
  <cp:revision>3</cp:revision>
  <dc:subject/>
  <dc:title>Atlantic Richfield Company</dc:title>
</cp:coreProperties>
</file>