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O:\LEGAL\BCLARK\1999\COAL\CATALYTICA\CATALYTICA7 ANNEXA&amp;B.DOC</w:t>
      </w:r>
    </w:p>
    <w:p>
      <w:pPr>
        <w:pStyle w:val="Normal"/>
        <w:widowControl w:val="false"/>
        <w:suppressAutoHyphens w:val="true"/>
        <w:bidi w:val="0"/>
        <w:jc w:val="start"/>
        <w:rPr/>
      </w:pPr>
      <w:r>
        <w:rPr/>
        <w:t>and revised document: O:\LEGAL\BCLARK\1999\COAL\CATALYTICA\CATALYTICA7E ANNEXA&amp;B.DOC</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2 change(s) in the text</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pStyle w:val="Normal"/>
        <w:widowControl w:val="false"/>
        <w:suppressAutoHyphens w:val="true"/>
        <w:bidi w:val="0"/>
        <w:jc w:val="start"/>
        <w:rPr/>
      </w:pPr>
      <w:r>
        <w:rPr/>
        <w:t xml:space="preserve">Additions appear as Bold text </w:t>
      </w:r>
    </w:p>
    <w:p>
      <w:pPr>
        <w:pStyle w:val="BodyText"/>
        <w:widowControl/>
        <w:tabs>
          <w:tab w:val="clear" w:pos="180"/>
          <w:tab w:val="clear" w:pos="1170"/>
        </w:tabs>
        <w:bidi w:val="0"/>
        <w:rPr/>
      </w:pPr>
      <w:r>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tabs>
          <w:tab w:val="clear" w:pos="720"/>
          <w:tab w:val="left" w:pos="360" w:leader="none"/>
        </w:tabs>
        <w:bidi w:val="0"/>
        <w:jc w:val="both"/>
        <w:rPr>
          <w:rFonts w:ascii="Arial Narrow" w:hAnsi="Arial Narrow"/>
          <w:sz w:val="18"/>
        </w:rPr>
      </w:pPr>
      <w:r>
        <w:rPr>
          <w:rFonts w:ascii="Arial Narrow" w:hAnsi="Arial Narrow"/>
          <w:sz w:val="18"/>
        </w:rPr>
        <w:t xml:space="preserve">1.    </w:t>
      </w:r>
      <w:r>
        <w:rPr>
          <w:rFonts w:ascii="Arial Narrow" w:hAnsi="Arial Narrow"/>
          <w:b/>
          <w:sz w:val="18"/>
          <w:u w:val="single"/>
        </w:rPr>
        <w:t>Representations</w:t>
      </w:r>
      <w:r>
        <w:rPr>
          <w:rFonts w:ascii="Arial Narrow" w:hAnsi="Arial Narrow"/>
          <w:sz w:val="18"/>
        </w:rPr>
        <w:t xml:space="preserve">.    Each of Company and Counterparty represents and warrants to the other that (a) </w:t>
      </w:r>
      <w:r>
        <w:rPr>
          <w:rFonts w:ascii="Arial Narrow" w:hAnsi="Arial Narrow"/>
          <w:sz w:val="18"/>
          <w:u w:val="single"/>
        </w:rPr>
        <w:t>Authority/Taxation</w:t>
      </w:r>
      <w:r>
        <w:rPr>
          <w:rFonts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ascii="Arial Narrow" w:hAnsi="Arial Narrow"/>
          <w:sz w:val="18"/>
          <w:u w:val="single"/>
        </w:rPr>
        <w:t>Eligible Swap Participant</w:t>
      </w:r>
      <w:r>
        <w:rPr>
          <w:rFonts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ascii="Arial Narrow" w:hAnsi="Arial Narrow"/>
          <w:sz w:val="18"/>
          <w:u w:val="single"/>
        </w:rPr>
        <w:t>Line of Business</w:t>
      </w:r>
      <w:r>
        <w:rPr>
          <w:rFonts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ascii="Arial Narrow" w:hAnsi="Arial Narrow"/>
          <w:sz w:val="18"/>
          <w:u w:val="single"/>
        </w:rPr>
        <w:t>No Reliance</w:t>
      </w:r>
      <w:r>
        <w:rPr>
          <w:rFonts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tabs>
          <w:tab w:val="clear" w:pos="720"/>
          <w:tab w:val="left" w:pos="360" w:leader="none"/>
        </w:tabs>
        <w:bidi w:val="0"/>
        <w:jc w:val="both"/>
        <w:rPr>
          <w:rFonts w:ascii="Arial Narrow" w:hAnsi="Arial Narrow"/>
          <w:sz w:val="18"/>
        </w:rPr>
      </w:pPr>
      <w:r>
        <w:rPr>
          <w:rFonts w:ascii="Arial Narrow" w:hAnsi="Arial Narrow"/>
          <w:sz w:val="18"/>
        </w:rPr>
        <w:t xml:space="preserve">2.    </w:t>
      </w:r>
      <w:r>
        <w:rPr>
          <w:rFonts w:ascii="Arial Narrow" w:hAnsi="Arial Narrow"/>
          <w:b/>
          <w:sz w:val="18"/>
          <w:u w:val="single"/>
        </w:rPr>
        <w:t>Payments</w:t>
      </w:r>
      <w:r>
        <w:rPr>
          <w:rFonts w:ascii="Arial Narrow" w:hAnsi="Arial Narrow"/>
          <w:sz w:val="18"/>
        </w:rPr>
        <w:t xml:space="preserve">.    For each Determination Period, on the applicable Payment Date with respect to (a) a </w:t>
      </w:r>
      <w:r>
        <w:rPr>
          <w:rFonts w:ascii="Arial Narrow" w:hAnsi="Arial Narrow"/>
          <w:sz w:val="18"/>
          <w:u w:val="single"/>
        </w:rPr>
        <w:t>SWAP</w:t>
      </w:r>
      <w:r>
        <w:rPr>
          <w:rFonts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ascii="Arial Narrow" w:hAnsi="Arial Narrow"/>
          <w:sz w:val="18"/>
          <w:u w:val="single"/>
        </w:rPr>
        <w:t>OPTION</w:t>
      </w:r>
      <w:r>
        <w:rPr>
          <w:rFonts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ascii="Arial Narrow" w:hAnsi="Arial Narrow"/>
          <w:caps/>
          <w:sz w:val="18"/>
          <w:u w:val="single"/>
        </w:rPr>
        <w:t>Collar</w:t>
      </w:r>
      <w:r>
        <w:rPr>
          <w:rFonts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ascii="Arial Narrow" w:hAnsi="Arial Narrow"/>
          <w:caps/>
          <w:sz w:val="18"/>
          <w:u w:val="single"/>
        </w:rPr>
        <w:t>Swaption</w:t>
      </w:r>
      <w:r>
        <w:rPr>
          <w:rFonts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ascii="Arial Narrow" w:hAnsi="Arial Narrow"/>
          <w:caps/>
          <w:sz w:val="18"/>
          <w:u w:val="single"/>
        </w:rPr>
        <w:t>Total Premium</w:t>
      </w:r>
      <w:r>
        <w:rPr>
          <w:rFonts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widowControl/>
        <w:tabs>
          <w:tab w:val="clear" w:pos="720"/>
          <w:tab w:val="left" w:pos="180" w:leader="none"/>
          <w:tab w:val="left" w:pos="1170" w:leader="none"/>
        </w:tabs>
        <w:bidi w:val="0"/>
        <w:jc w:val="both"/>
        <w:rPr>
          <w:rFonts w:ascii="Arial Narrow" w:hAnsi="Arial Narrow"/>
          <w:sz w:val="18"/>
        </w:rPr>
      </w:pPr>
      <w:r>
        <w:rPr>
          <w:rFonts w:ascii="Arial Narrow" w:hAnsi="Arial Narrow"/>
          <w:sz w:val="18"/>
        </w:rPr>
      </w:r>
    </w:p>
    <w:p>
      <w:pPr>
        <w:pStyle w:val="BodyText"/>
        <w:widowControl/>
        <w:bidi w:val="0"/>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widowControl/>
        <w:tabs>
          <w:tab w:val="clear" w:pos="720"/>
          <w:tab w:val="left" w:pos="180" w:leader="none"/>
          <w:tab w:val="left" w:pos="1170" w:leader="none"/>
        </w:tabs>
        <w:bidi w:val="0"/>
        <w:jc w:val="both"/>
        <w:rPr>
          <w:rFonts w:ascii="Arial Narrow" w:hAnsi="Arial Narrow"/>
          <w:sz w:val="18"/>
        </w:rPr>
      </w:pPr>
      <w:r>
        <w:rPr>
          <w:rFonts w:ascii="Arial Narrow" w:hAnsi="Arial Narrow"/>
          <w:sz w:val="18"/>
        </w:rPr>
      </w:r>
    </w:p>
    <w:p>
      <w:pPr>
        <w:pStyle w:val="Normal"/>
        <w:widowControl/>
        <w:tabs>
          <w:tab w:val="clear" w:pos="720"/>
          <w:tab w:val="left" w:pos="180" w:leader="none"/>
          <w:tab w:val="left" w:pos="1170" w:leader="none"/>
        </w:tabs>
        <w:bidi w:val="0"/>
        <w:jc w:val="both"/>
        <w:rPr>
          <w:rFonts w:ascii="Arial Narrow" w:hAnsi="Arial Narrow"/>
          <w:sz w:val="18"/>
        </w:rPr>
      </w:pPr>
      <w:r>
        <w:rPr>
          <w:rFonts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t xml:space="preserve">3.    </w:t>
      </w:r>
      <w:r>
        <w:rPr>
          <w:rFonts w:ascii="Arial Narrow" w:hAnsi="Arial Narrow"/>
          <w:b/>
          <w:sz w:val="18"/>
          <w:u w:val="single"/>
        </w:rPr>
        <w:t>Events of Default</w:t>
      </w:r>
      <w:r>
        <w:rPr>
          <w:rFonts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t xml:space="preserve">4.    </w:t>
      </w:r>
      <w:r>
        <w:rPr>
          <w:rFonts w:ascii="Arial Narrow" w:hAnsi="Arial Narrow"/>
          <w:b/>
          <w:sz w:val="18"/>
          <w:u w:val="single"/>
        </w:rPr>
        <w:t>Remedies</w:t>
      </w:r>
      <w:r>
        <w:rPr>
          <w:rFonts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ascii="Arial Narrow" w:hAnsi="Arial Narrow"/>
          <w:sz w:val="18"/>
          <w:u w:val="single"/>
        </w:rPr>
        <w:t>Costs</w:t>
      </w:r>
      <w:r>
        <w:rPr>
          <w:rFonts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ascii="Arial Narrow" w:hAnsi="Arial Narrow"/>
          <w:sz w:val="18"/>
          <w:u w:val="single"/>
        </w:rPr>
        <w:t>Gains</w:t>
      </w:r>
      <w:r>
        <w:rPr>
          <w:rFonts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ascii="Arial Narrow" w:hAnsi="Arial Narrow"/>
          <w:sz w:val="18"/>
          <w:u w:val="single"/>
        </w:rPr>
        <w:t>Losses</w:t>
      </w:r>
      <w:r>
        <w:rPr>
          <w:rFonts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 xml:space="preserve">5.    </w:t>
      </w:r>
      <w:r>
        <w:rPr>
          <w:rFonts w:ascii="Arial Narrow" w:hAnsi="Arial Narrow"/>
          <w:b/>
          <w:sz w:val="18"/>
          <w:u w:val="single"/>
        </w:rPr>
        <w:t>Setoff</w:t>
      </w:r>
      <w:r>
        <w:rPr>
          <w:rFonts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t xml:space="preserve">6.    </w:t>
      </w:r>
      <w:r>
        <w:rPr>
          <w:rFonts w:ascii="Arial Narrow" w:hAnsi="Arial Narrow"/>
          <w:b/>
          <w:sz w:val="18"/>
          <w:u w:val="single"/>
        </w:rPr>
        <w:t>Miscellaneous</w:t>
      </w:r>
      <w:r>
        <w:rPr>
          <w:rFonts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ascii="Arial Narrow" w:hAnsi="Arial Narrow"/>
          <w:sz w:val="18"/>
          <w:u w:val="single"/>
        </w:rPr>
        <w:t>provided</w:t>
      </w:r>
      <w:r>
        <w:rPr>
          <w:rFonts w:ascii="Arial Narrow" w:hAnsi="Arial Narrow"/>
          <w:sz w:val="18"/>
        </w:rPr>
        <w:t xml:space="preserve">, </w:t>
      </w:r>
      <w:r>
        <w:rPr>
          <w:rFonts w:ascii="Arial Narrow" w:hAnsi="Arial Narrow"/>
          <w:sz w:val="18"/>
          <w:u w:val="single"/>
        </w:rPr>
        <w:t>however</w:t>
      </w:r>
      <w:r>
        <w:rPr>
          <w:rFonts w:ascii="Arial Narrow" w:hAnsi="Arial Narrow"/>
          <w:sz w:val="18"/>
        </w:rPr>
        <w:t>, that this severability provision shall not be applicable if any provision of Section 2, 3, 4 or the governing law or arbitration provisions of Section 6 (or any definition or provision in Section 8 to the extent it relates to, or is used in or in connection with any such Section) shall be so held to be invalid or unenforceable.</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t xml:space="preserve">7.    </w:t>
      </w:r>
      <w:r>
        <w:rPr>
          <w:rFonts w:ascii="Arial Narrow" w:hAnsi="Arial Narrow"/>
          <w:b/>
          <w:sz w:val="18"/>
          <w:u w:val="single"/>
        </w:rPr>
        <w:t>Market Disruption</w:t>
      </w:r>
      <w:r>
        <w:rPr>
          <w:rFonts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ascii="Arial Narrow" w:hAnsi="Arial Narrow"/>
          <w:sz w:val="18"/>
          <w:u w:val="single"/>
        </w:rPr>
        <w:t>provided</w:t>
      </w:r>
      <w:r>
        <w:rPr>
          <w:rFonts w:ascii="Arial Narrow" w:hAnsi="Arial Narrow"/>
          <w:sz w:val="18"/>
        </w:rPr>
        <w:t xml:space="preserve">, </w:t>
      </w:r>
      <w:r>
        <w:rPr>
          <w:rFonts w:ascii="Arial Narrow" w:hAnsi="Arial Narrow"/>
          <w:sz w:val="18"/>
          <w:u w:val="single"/>
        </w:rPr>
        <w:t>however</w:t>
      </w:r>
      <w:r>
        <w:rPr>
          <w:rFonts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Company, by taking the average of two or more dealer quotes. </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t xml:space="preserve">8. </w:t>
      </w:r>
      <w:r>
        <w:rPr>
          <w:rFonts w:ascii="Arial Narrow" w:hAnsi="Arial Narrow"/>
          <w:i/>
          <w:sz w:val="18"/>
        </w:rPr>
        <w:t xml:space="preserve"> </w:t>
      </w:r>
      <w:r>
        <w:rPr>
          <w:rFonts w:ascii="Arial Narrow" w:hAnsi="Arial Narrow"/>
          <w:b/>
          <w:sz w:val="18"/>
          <w:u w:val="single"/>
        </w:rPr>
        <w:t>General Definitions</w:t>
      </w:r>
      <w:r>
        <w:rPr>
          <w:rFonts w:ascii="Arial Narrow" w:hAnsi="Arial Narrow"/>
          <w:sz w:val="18"/>
        </w:rPr>
        <w:t>.    Terms used, but not defined in this Annex, are used with the meanings provided in Annex B attached hereto, if any or in the Confirmation.    As used in this Annex:</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i/>
          <w:sz w:val="18"/>
        </w:rPr>
        <w:t>"</w:t>
      </w:r>
      <w:r>
        <w:rPr>
          <w:rFonts w:ascii="Arial Narrow" w:hAnsi="Arial Narrow"/>
          <w:i/>
          <w:sz w:val="18"/>
          <w:u w:val="single"/>
        </w:rPr>
        <w:t>Affiliate</w:t>
      </w:r>
      <w:r>
        <w:rPr>
          <w:rFonts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American</w:t>
      </w:r>
      <w:r>
        <w:rPr>
          <w:rFonts w:ascii="Arial Narrow" w:hAnsi="Arial Narrow"/>
          <w:sz w:val="18"/>
        </w:rPr>
        <w:t>" means a style of Option pursuant to which the right(s) granted are exercisable on any Business Day during an Exercise Period that consists of more than one day.</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Asian</w:t>
      </w:r>
      <w:r>
        <w:rPr>
          <w:rFonts w:ascii="Arial Narrow" w:hAnsi="Arial Narrow"/>
          <w:i/>
          <w:sz w:val="18"/>
        </w:rPr>
        <w:t>"</w:t>
      </w:r>
      <w:r>
        <w:rPr>
          <w:rFonts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Automatic Exercise</w:t>
      </w:r>
      <w:r>
        <w:rPr>
          <w:rFonts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Business Day</w:t>
      </w:r>
      <w:r>
        <w:rPr>
          <w:rFonts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Call</w:t>
      </w:r>
      <w:r>
        <w:rPr>
          <w:rFonts w:ascii="Arial Narrow" w:hAnsi="Arial Narrow"/>
          <w:sz w:val="18"/>
        </w:rPr>
        <w:t>" means an Option entitling Buyer to receive after exercise the Cash Settlement Amount on the applicable Payment Date(s) if the Floating Price exceeds the Strike Price.</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sz w:val="18"/>
          <w:u w:val="single"/>
        </w:rPr>
        <w:t>Cap Amount</w:t>
      </w:r>
      <w:r>
        <w:rPr>
          <w:rFonts w:ascii="Arial Narrow" w:hAnsi="Arial Narrow"/>
          <w:sz w:val="18"/>
        </w:rPr>
        <w:t>” means an amount equal to the product of (a) the Notional Quantity per Determination Period multiplied by (b) the Cap Price, or as otherwise provided in the Confirmation.</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Cash Settlement Amount</w:t>
      </w:r>
      <w:r>
        <w:rPr>
          <w:rFonts w:ascii="Arial Narrow" w:hAnsi="Arial Narrow"/>
          <w:sz w:val="18"/>
        </w:rPr>
        <w:t>" means, in respect of an Option, an amount (if any) that is payable by Seller on the applicable Payment Date(s) and is determined as provided in the Confirmation governing such Option.</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i/>
          <w:sz w:val="18"/>
        </w:rPr>
        <w:t>"</w:t>
      </w:r>
      <w:r>
        <w:rPr>
          <w:rFonts w:ascii="Arial Narrow" w:hAnsi="Arial Narrow"/>
          <w:i/>
          <w:sz w:val="18"/>
          <w:u w:val="single"/>
        </w:rPr>
        <w:t>Determination Period</w:t>
      </w:r>
      <w:r>
        <w:rPr>
          <w:rFonts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European</w:t>
      </w:r>
      <w:r>
        <w:rPr>
          <w:rFonts w:ascii="Arial Narrow" w:hAnsi="Arial Narrow"/>
          <w:i/>
          <w:sz w:val="18"/>
        </w:rPr>
        <w:t>"</w:t>
      </w:r>
      <w:r>
        <w:rPr>
          <w:rFonts w:ascii="Arial Narrow" w:hAnsi="Arial Narrow"/>
          <w:sz w:val="18"/>
        </w:rPr>
        <w:t xml:space="preserve"> means a style of Option pursuant to which the right(s) granted are exercisable only on the one day designated as the Exercise Period in the Confirmation, if any.</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Fixed Amount</w:t>
      </w:r>
      <w:r>
        <w:rPr>
          <w:rFonts w:ascii="Arial Narrow" w:hAnsi="Arial Narrow"/>
          <w:sz w:val="18"/>
        </w:rPr>
        <w:t>" means an amount equal to the product of (a) the Notional Quantity per Determination Period multiplied by (b) the Fixed Price, or as otherwise provided in the Confirmation.</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Floating Amount</w:t>
      </w:r>
      <w:r>
        <w:rPr>
          <w:rFonts w:ascii="Arial Narrow" w:hAnsi="Arial Narrow"/>
          <w:sz w:val="18"/>
        </w:rPr>
        <w:t>" means an amount equal to the product of (a) the Notional Quantity per Determination Period multiplied by (b) the Floating Price, or as otherwise provided in the Confirmation.</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i/>
          <w:sz w:val="18"/>
        </w:rPr>
        <w:t>“</w:t>
      </w:r>
      <w:r>
        <w:rPr>
          <w:rFonts w:ascii="Arial Narrow" w:hAnsi="Arial Narrow"/>
          <w:i/>
          <w:sz w:val="18"/>
          <w:u w:val="single"/>
        </w:rPr>
        <w:t>Floor Amount</w:t>
      </w:r>
      <w:r>
        <w:rPr>
          <w:rFonts w:ascii="Arial Narrow" w:hAnsi="Arial Narrow"/>
          <w:sz w:val="18"/>
        </w:rPr>
        <w:t>” means an amount equal to the product of (a) the Notional Quantity per Determination Period multiplied by (b) the Floor Price, or as otherwise provided in the Confirmation.</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Interest Rate</w:t>
      </w:r>
      <w:r>
        <w:rPr>
          <w:rFonts w:ascii="Arial Narrow" w:hAnsi="Arial Narrow"/>
          <w:sz w:val="18"/>
        </w:rPr>
        <w:t xml:space="preserve">" means (a) with respect to a non-defaulting party, a per annum rate of interest equal to the prime lending rate as may from time to time be published in </w:t>
      </w:r>
      <w:r>
        <w:rPr>
          <w:rFonts w:ascii="Arial Narrow" w:hAnsi="Arial Narrow"/>
          <w:sz w:val="18"/>
          <w:u w:val="single"/>
        </w:rPr>
        <w:t>The Wall Street Journal</w:t>
      </w:r>
      <w:r>
        <w:rPr>
          <w:rFonts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Market Disruption Event</w:t>
      </w:r>
      <w:r>
        <w:rPr>
          <w:rFonts w:ascii="Arial Narrow" w:hAnsi="Arial Narrow"/>
          <w:sz w:val="18"/>
        </w:rPr>
        <w:t>" means, with respect to a Floating Price Source, any of the following events (the existence of which shall be determined in good faith by Company): 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Notice of Exercise</w:t>
      </w:r>
      <w:r>
        <w:rPr>
          <w:rFonts w:ascii="Arial Narrow" w:hAnsi="Arial Narrow"/>
          <w:i/>
          <w:sz w:val="18"/>
        </w:rPr>
        <w:t>"</w:t>
      </w:r>
      <w:r>
        <w:rPr>
          <w:rFonts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Option</w:t>
      </w:r>
      <w:r>
        <w:rPr>
          <w:rFonts w:ascii="Arial Narrow" w:hAnsi="Arial Narrow"/>
          <w:sz w:val="18"/>
        </w:rPr>
        <w:t>" means a Transaction that is a Call, Cap, Floor, Put, Swaption or is identified in the relevant Confirmation as an Option.</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Put</w:t>
      </w:r>
      <w:r>
        <w:rPr>
          <w:rFonts w:ascii="Arial Narrow" w:hAnsi="Arial Narrow"/>
          <w:sz w:val="18"/>
        </w:rPr>
        <w:t>" means an Option entitling Buyer to receive after exercise the Cash Settlement Amount on the applicable Payment Date(s) if the Strike Price exceeds the Floating Price.</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Swaption</w:t>
      </w:r>
      <w:r>
        <w:rPr>
          <w:rFonts w:ascii="Arial Narrow" w:hAnsi="Arial Narrow"/>
          <w:i/>
          <w:sz w:val="18"/>
        </w:rPr>
        <w:t>"</w:t>
      </w:r>
      <w:r>
        <w:rPr>
          <w:rFonts w:ascii="Arial Narrow" w:hAnsi="Arial Narrow"/>
          <w:sz w:val="18"/>
        </w:rPr>
        <w:t xml:space="preserve"> means an Option to cause an Underlying Transaction to become effective.</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Trading Day</w:t>
      </w:r>
      <w:r>
        <w:rPr>
          <w:rFonts w:ascii="Arial Narrow" w:hAnsi="Arial Narrow"/>
          <w:i/>
          <w:sz w:val="18"/>
        </w:rPr>
        <w:t>"</w:t>
      </w:r>
      <w:r>
        <w:rPr>
          <w:rFonts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Transaction</w:t>
      </w:r>
      <w:r>
        <w:rPr>
          <w:rFonts w:ascii="Arial Narrow" w:hAnsi="Arial Narrow"/>
          <w:sz w:val="18"/>
        </w:rPr>
        <w:t>" means all swap, option or other financially-settled derivative transactions between the parties.</w:t>
      </w:r>
    </w:p>
    <w:p>
      <w:pPr>
        <w:pStyle w:val="Normal"/>
        <w:widowControl/>
        <w:tabs>
          <w:tab w:val="clear" w:pos="720"/>
          <w:tab w:val="left" w:pos="810" w:leader="none"/>
          <w:tab w:val="left" w:pos="1170" w:leader="none"/>
        </w:tabs>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Underlying Transaction</w:t>
      </w:r>
      <w:r>
        <w:rPr>
          <w:rFonts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widowControl/>
        <w:bidi w:val="0"/>
        <w:jc w:val="both"/>
        <w:rPr>
          <w:rFonts w:ascii="Arial Narrow" w:hAnsi="Arial Narrow"/>
          <w:sz w:val="18"/>
        </w:rPr>
      </w:pPr>
      <w:r>
        <w:rPr>
          <w:rFonts w:ascii="Arial Narrow" w:hAnsi="Arial Narrow"/>
          <w:sz w:val="18"/>
        </w:rPr>
      </w:r>
    </w:p>
    <w:p>
      <w:pPr>
        <w:pStyle w:val="Normal"/>
        <w:widowControl/>
        <w:bidi w:val="0"/>
        <w:jc w:val="both"/>
        <w:rPr>
          <w:rFonts w:ascii="Arial Narrow" w:hAnsi="Arial Narrow"/>
          <w:sz w:val="18"/>
        </w:rPr>
      </w:pPr>
      <w:r>
        <w:rPr>
          <w:rFonts w:ascii="Arial Narrow" w:hAnsi="Arial Narrow"/>
          <w:sz w:val="18"/>
        </w:rPr>
        <w:t>"</w:t>
      </w:r>
      <w:r>
        <w:rPr>
          <w:rFonts w:ascii="Arial Narrow" w:hAnsi="Arial Narrow"/>
          <w:i/>
          <w:sz w:val="18"/>
          <w:u w:val="single"/>
        </w:rPr>
        <w:t>Written Confirmation</w:t>
      </w:r>
      <w:r>
        <w:rPr>
          <w:rFonts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936" w:right="936" w:gutter="0" w:header="576" w:top="633" w:footer="432" w:bottom="720"/>
          <w:pgNumType w:start="1" w:fmt="decimal"/>
          <w:cols w:num="2" w:space="720" w:equalWidth="true" w:sep="false"/>
          <w:formProt w:val="false"/>
          <w:titlePg/>
          <w:textDirection w:val="lrTb"/>
          <w:docGrid w:type="default" w:linePitch="100" w:charSpace="0"/>
        </w:sectPr>
      </w:pPr>
    </w:p>
    <w:p>
      <w:pPr>
        <w:pStyle w:val="Title"/>
        <w:widowControl/>
        <w:bidi w:val="0"/>
        <w:rPr>
          <w:rFonts w:ascii="Arial Narrow" w:hAnsi="Arial Narrow"/>
          <w:sz w:val="18"/>
        </w:rPr>
      </w:pPr>
      <w:r>
        <w:rPr>
          <w:rFonts w:ascii="Arial Narrow" w:hAnsi="Arial Narrow"/>
          <w:sz w:val="18"/>
          <w:u w:val="single"/>
        </w:rPr>
        <w:t>ANNEX B</w:t>
      </w:r>
    </w:p>
    <w:p>
      <w:pPr>
        <w:pStyle w:val="Normal"/>
        <w:widowControl/>
        <w:bidi w:val="0"/>
        <w:jc w:val="center"/>
        <w:rPr>
          <w:rFonts w:ascii="Arial Narrow" w:hAnsi="Arial Narrow"/>
          <w:b/>
          <w:u w:val="single"/>
        </w:rPr>
      </w:pPr>
      <w:r>
        <w:rPr>
          <w:rFonts w:ascii="Arial Narrow" w:hAnsi="Arial Narrow"/>
          <w:b/>
          <w:u w:val="single"/>
        </w:rPr>
      </w:r>
    </w:p>
    <w:p>
      <w:pPr>
        <w:pStyle w:val="Normal"/>
        <w:widowControl/>
        <w:bidi w:val="0"/>
        <w:jc w:val="center"/>
        <w:rPr>
          <w:rFonts w:ascii="Arial Narrow" w:hAnsi="Arial Narrow"/>
          <w:b/>
        </w:rPr>
      </w:pPr>
      <w:r>
        <w:rPr>
          <w:rFonts w:ascii="Arial Narrow" w:hAnsi="Arial Narrow"/>
          <w:b/>
        </w:rPr>
        <w:t>CREDIT AND OTHER SPECIAL PROVISIONS</w:t>
      </w:r>
    </w:p>
    <w:p>
      <w:pPr>
        <w:pStyle w:val="Normal"/>
        <w:widowControl/>
        <w:bidi w:val="0"/>
        <w:jc w:val="center"/>
        <w:rPr>
          <w:rFonts w:ascii="Arial Narrow" w:hAnsi="Arial Narrow"/>
          <w:b/>
        </w:rPr>
      </w:pPr>
      <w:r>
        <w:rPr>
          <w:rFonts w:ascii="Arial Narrow" w:hAnsi="Arial Narrow"/>
          <w:b/>
        </w:rPr>
      </w:r>
    </w:p>
    <w:p>
      <w:pPr>
        <w:pStyle w:val="Normal"/>
        <w:widowControl/>
        <w:bidi w:val="0"/>
        <w:jc w:val="center"/>
        <w:rPr>
          <w:rFonts w:ascii="Arial Narrow" w:hAnsi="Arial Narrow"/>
          <w:b/>
          <w:color w:val="000000"/>
        </w:rPr>
      </w:pPr>
      <w:r>
        <w:rPr>
          <w:rFonts w:ascii="Arial Narrow" w:hAnsi="Arial Narrow"/>
          <w:b/>
          <w:color w:val="000000"/>
        </w:rPr>
        <w:t>Catalytica, Inc.</w:t>
      </w:r>
    </w:p>
    <w:p>
      <w:pPr>
        <w:pStyle w:val="Normal"/>
        <w:widowControl/>
        <w:bidi w:val="0"/>
        <w:jc w:val="center"/>
        <w:rPr>
          <w:rFonts w:ascii="Arial Narrow" w:hAnsi="Arial Narrow"/>
          <w:b/>
          <w:sz w:val="18"/>
        </w:rPr>
      </w:pPr>
      <w:r>
        <w:rPr>
          <w:rFonts w:ascii="Arial Narrow" w:hAnsi="Arial Narrow"/>
          <w:b/>
          <w:sz w:val="18"/>
        </w:rPr>
      </w:r>
    </w:p>
    <w:p>
      <w:pPr>
        <w:pStyle w:val="Normal"/>
        <w:widowControl/>
        <w:bidi w:val="0"/>
        <w:jc w:val="both"/>
        <w:rPr>
          <w:rFonts w:ascii="Arial Narrow" w:hAnsi="Arial Narrow"/>
          <w:sz w:val="18"/>
        </w:rPr>
      </w:pPr>
      <w:r>
        <w:rPr>
          <w:rFonts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widowControl/>
        <w:bidi w:val="0"/>
        <w:jc w:val="start"/>
        <w:rPr/>
      </w:pPr>
      <w:r>
        <w:rPr/>
      </w:r>
    </w:p>
    <w:p>
      <w:pPr>
        <w:pStyle w:val="Normal"/>
        <w:widowContro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bidi w:val="0"/>
        <w:jc w:val="both"/>
        <w:rPr>
          <w:rFonts w:ascii="Arial Narrow" w:hAnsi="Arial Narrow"/>
          <w:sz w:val="18"/>
        </w:rPr>
      </w:pPr>
      <w:r>
        <w:rPr>
          <w:rFonts w:ascii="Arial Narrow" w:hAnsi="Arial Narrow"/>
          <w:sz w:val="18"/>
        </w:rPr>
        <w:t>1.</w:t>
        <w:tab/>
      </w:r>
      <w:r>
        <w:rPr>
          <w:rFonts w:ascii="Arial Narrow" w:hAnsi="Arial Narrow"/>
          <w:sz w:val="18"/>
          <w:u w:val="single"/>
        </w:rPr>
        <w:t>Additional Events of Default</w:t>
      </w:r>
      <w:r>
        <w:rPr>
          <w:rFonts w:ascii="Arial Narrow" w:hAnsi="Arial Narrow"/>
          <w:sz w:val="18"/>
        </w:rPr>
        <w:t xml:space="preserve">.    Section 3 of </w:t>
      </w:r>
      <w:r>
        <w:rPr>
          <w:rFonts w:ascii="Arial Narrow" w:hAnsi="Arial Narrow"/>
          <w:sz w:val="18"/>
          <w:u w:val="single"/>
        </w:rPr>
        <w:t>Annex A</w:t>
      </w:r>
      <w:r>
        <w:rPr>
          <w:rFonts w:ascii="Arial Narrow" w:hAnsi="Arial Narrow"/>
          <w:sz w:val="18"/>
        </w:rPr>
        <w:t xml:space="preserve"> to the Confirmation is hereby amended as follows: </w:t>
      </w:r>
    </w:p>
    <w:p>
      <w:pPr>
        <w:pStyle w:val="Normal"/>
        <w:widowControl/>
        <w:bidi w:val="0"/>
        <w:jc w:val="start"/>
        <w:rPr/>
      </w:pPr>
      <w:r>
        <w:rPr/>
      </w:r>
    </w:p>
    <w:p>
      <w:pPr>
        <w:pStyle w:val="Normal"/>
        <w:widowContro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360" w:start="1080"/>
        <w:jc w:val="both"/>
        <w:rPr>
          <w:rFonts w:ascii="Arial Narrow" w:hAnsi="Arial Narrow"/>
          <w:sz w:val="18"/>
        </w:rPr>
      </w:pPr>
      <w:r>
        <w:rPr>
          <w:rFonts w:ascii="Arial Narrow" w:hAnsi="Arial Narrow"/>
          <w:sz w:val="18"/>
        </w:rPr>
        <w:t>“</w:t>
      </w:r>
      <w:r>
        <w:rPr>
          <w:rFonts w:ascii="Arial Narrow" w:hAnsi="Arial Narrow"/>
          <w:sz w:val="18"/>
        </w:rPr>
        <w:t>(g)</w:t>
        <w:tab/>
        <w:t xml:space="preserve">the failure in the payment when due (whether at maturity, by acceleration, or otherwise) of any obligation in respect of borrowed money, in an aggregate amount in excess of </w:t>
      </w:r>
      <w:r>
        <w:rPr>
          <w:rFonts w:ascii="Arial Narrow" w:hAnsi="Arial Narrow"/>
          <w:strike/>
          <w:sz w:val="18"/>
        </w:rPr>
        <w:t>$10,000,000</w:t>
      </w:r>
      <w:r>
        <w:rPr>
          <w:rFonts w:ascii="Arial Narrow" w:hAnsi="Arial Narrow"/>
          <w:sz w:val="18"/>
        </w:rPr>
        <w:t xml:space="preserve"> </w:t>
      </w:r>
      <w:r>
        <w:rPr>
          <w:rFonts w:ascii="Arial Narrow" w:hAnsi="Arial Narrow"/>
          <w:b/>
          <w:sz w:val="18"/>
        </w:rPr>
        <w:t>$1,000,000</w:t>
      </w:r>
      <w:r>
        <w:rPr>
          <w:rFonts w:ascii="Arial Narrow" w:hAnsi="Arial Narrow"/>
          <w:sz w:val="18"/>
        </w:rPr>
        <w:t xml:space="preserve"> with respect to Counterparty, or $50,000,000 with respect to Company, and the failure to remedy the failure within any applicable grace period, or the failure by the Defaulting Party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w:t>
      </w:r>
    </w:p>
    <w:p>
      <w:pPr>
        <w:pStyle w:val="Normal"/>
        <w:widowControl/>
        <w:bidi w:val="0"/>
        <w:jc w:val="start"/>
        <w:rPr/>
      </w:pPr>
      <w:r>
        <w:rPr/>
      </w:r>
    </w:p>
    <w:p>
      <w:pPr>
        <w:pStyle w:val="Normal"/>
        <w:widowContro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bidi w:val="0"/>
        <w:jc w:val="both"/>
        <w:rPr>
          <w:rFonts w:ascii="Arial Narrow" w:hAnsi="Arial Narrow"/>
          <w:b/>
          <w:sz w:val="18"/>
        </w:rPr>
      </w:pPr>
      <w:r>
        <w:rPr>
          <w:rFonts w:ascii="Arial Narrow" w:hAnsi="Arial Narrow"/>
          <w:b/>
          <w:sz w:val="18"/>
        </w:rPr>
        <w:t>[2.</w:t>
      </w:r>
      <w:r>
        <w:rPr>
          <w:rFonts w:ascii="Arial Narrow" w:hAnsi="Arial Narrow"/>
          <w:sz w:val="18"/>
        </w:rPr>
        <w:tab/>
      </w:r>
      <w:r>
        <w:rPr>
          <w:rFonts w:ascii="Arial Narrow" w:hAnsi="Arial Narrow"/>
          <w:b/>
          <w:sz w:val="18"/>
          <w:u w:val="single"/>
        </w:rPr>
        <w:t>Additional Events of Default</w:t>
      </w:r>
      <w:r>
        <w:rPr>
          <w:rFonts w:ascii="Arial Narrow" w:hAnsi="Arial Narrow"/>
          <w:b/>
          <w:sz w:val="18"/>
        </w:rPr>
        <w:t xml:space="preserve">.    Section 3 of Annex A to the Confirmation is further amended as follows: </w:t>
      </w:r>
    </w:p>
    <w:p>
      <w:pPr>
        <w:pStyle w:val="Normal"/>
        <w:widowControl/>
        <w:bidi w:val="0"/>
        <w:jc w:val="start"/>
        <w:rPr>
          <w:b/>
        </w:rPr>
      </w:pPr>
      <w:r>
        <w:rPr>
          <w:b/>
        </w:rPr>
      </w:r>
    </w:p>
    <w:p>
      <w:pPr>
        <w:pStyle w:val="Normal"/>
        <w:widowContro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360" w:start="1080"/>
        <w:jc w:val="both"/>
        <w:rPr>
          <w:rFonts w:ascii="Arial Narrow" w:hAnsi="Arial Narrow"/>
          <w:b/>
          <w:sz w:val="18"/>
        </w:rPr>
      </w:pPr>
      <w:r>
        <w:rPr>
          <w:rFonts w:ascii="Arial Narrow" w:hAnsi="Arial Narrow"/>
          <w:b/>
          <w:sz w:val="18"/>
        </w:rPr>
        <w:t>“</w:t>
      </w:r>
      <w:r>
        <w:rPr>
          <w:rFonts w:ascii="Arial Narrow" w:hAnsi="Arial Narrow"/>
          <w:b/>
          <w:sz w:val="18"/>
        </w:rPr>
        <w:t>h.</w:t>
      </w:r>
      <w:r>
        <w:rPr>
          <w:rFonts w:ascii="Arial Narrow" w:hAnsi="Arial Narrow"/>
          <w:sz w:val="18"/>
        </w:rPr>
        <w:tab/>
      </w:r>
      <w:r>
        <w:rPr>
          <w:rFonts w:ascii="Arial Narrow" w:hAnsi="Arial Narrow"/>
          <w:b/>
          <w:sz w:val="18"/>
        </w:rPr>
        <w:t>Failure to timely Post Collateral.    If at any time and from time to time during the term of this Agreement (notwithstanding whether another Event of Default has occurred) the Cash Settlement Amount that would be owed to a Party (the “Beneficiary Party”) in respect of all Transactions then outstanding should exceed the Posting Party</w:t>
      </w:r>
      <w:r>
        <w:rPr>
          <w:rFonts w:ascii="Arial Narrow" w:hAnsi="Arial Narrow"/>
          <w:sz w:val="18"/>
        </w:rPr>
        <w:t>’</w:t>
      </w:r>
      <w:r>
        <w:rPr>
          <w:rFonts w:ascii="Arial Narrow" w:hAnsi="Arial Narrow"/>
          <w:b/>
          <w:sz w:val="18"/>
        </w:rPr>
        <w:t>s Collateral Threshold, the Beneficiary Party on any Business Day may request the other Party (the “Posting Party”) to deliver Eligible Collateral in an amount at least equal to the Cash Settlement Amount in excess of the Collateral Threshold (rounding upwards for any fractional amount in increments equal to the Rounding Amount).    Eligible Collateral must be delivered within two (2) Business Days of the date of such notice provided that notice is given before 12:00 Noon Central Time.    On any Business Day (but no more frequently than weekly with respect to Letters of Credit and daily with respect to cash), the Posting Party, at its sole cost, may request that such Eligible Collateral be reduced correspondingly to the amount of such excess Cash Settlement Amount (rounding downward for any fractional amount in increments equal to the Rounding Amount).</w:t>
      </w:r>
    </w:p>
    <w:p>
      <w:pPr>
        <w:pStyle w:val="Normal"/>
        <w:widowControl/>
        <w:bidi w:val="0"/>
        <w:jc w:val="start"/>
        <w:rPr>
          <w:b/>
        </w:rPr>
      </w:pPr>
      <w:r>
        <w:rPr>
          <w:b/>
        </w:rPr>
      </w:r>
    </w:p>
    <w:p>
      <w:pPr>
        <w:pStyle w:val="Normal"/>
        <w:widowControl/>
        <w:bidi w:val="0"/>
        <w:ind w:hanging="0" w:start="720"/>
        <w:jc w:val="start"/>
        <w:rPr>
          <w:rFonts w:ascii="Arial Narrow" w:hAnsi="Arial Narrow"/>
          <w:b/>
          <w:sz w:val="18"/>
        </w:rPr>
      </w:pPr>
      <w:r>
        <w:rPr>
          <w:rFonts w:ascii="Arial Narrow" w:hAnsi="Arial Narrow"/>
          <w:b/>
          <w:sz w:val="18"/>
        </w:rPr>
        <w:t>“</w:t>
      </w:r>
      <w:r>
        <w:rPr>
          <w:rFonts w:ascii="Arial Narrow" w:hAnsi="Arial Narrow"/>
          <w:b/>
          <w:sz w:val="18"/>
        </w:rPr>
        <w:t xml:space="preserve">For purposes of this Section h. the calculation of “Cash Settlement Amount” shall include </w:t>
      </w:r>
      <w:r>
        <w:rPr>
          <w:rFonts w:ascii="Arial Narrow" w:hAnsi="Arial Narrow"/>
          <w:b/>
          <w:sz w:val="18"/>
          <w:u w:val="single"/>
        </w:rPr>
        <w:t>all</w:t>
      </w:r>
      <w:r>
        <w:rPr>
          <w:rFonts w:ascii="Arial Narrow" w:hAnsi="Arial Narrow"/>
          <w:sz w:val="18"/>
        </w:rPr>
        <w:t xml:space="preserve"> </w:t>
      </w:r>
      <w:r>
        <w:rPr>
          <w:rFonts w:ascii="Arial Narrow" w:hAnsi="Arial Narrow"/>
          <w:b/>
          <w:sz w:val="18"/>
        </w:rPr>
        <w:t>amounts owed but not yet paid by one Party to the other Party whether or not such amounts are then due, for performance already provided pursuant to any and all Transactions.”]</w:t>
      </w:r>
    </w:p>
    <w:p>
      <w:pPr>
        <w:pStyle w:val="Normal"/>
        <w:widowControl/>
        <w:bidi w:val="0"/>
        <w:jc w:val="start"/>
        <w:rPr>
          <w:rFonts w:ascii="Arial Narrow" w:hAnsi="Arial Narrow"/>
          <w:b/>
          <w:sz w:val="18"/>
        </w:rPr>
      </w:pPr>
      <w:r>
        <w:rPr>
          <w:rFonts w:ascii="Arial Narrow" w:hAnsi="Arial Narrow"/>
          <w:b/>
          <w:sz w:val="18"/>
        </w:rPr>
      </w:r>
    </w:p>
    <w:p>
      <w:pPr>
        <w:pStyle w:val="Normal"/>
        <w:widowControl/>
        <w:bidi w:val="0"/>
        <w:jc w:val="start"/>
        <w:rPr>
          <w:rFonts w:ascii="Arial Narrow" w:hAnsi="Arial Narrow"/>
          <w:b/>
          <w:sz w:val="18"/>
        </w:rPr>
      </w:pPr>
      <w:r>
        <w:rPr>
          <w:rFonts w:ascii="Arial Narrow" w:hAnsi="Arial Narrow"/>
          <w:b/>
          <w:sz w:val="18"/>
        </w:rPr>
        <w:t>[3.</w:t>
      </w:r>
      <w:r>
        <w:rPr>
          <w:rFonts w:ascii="Arial Narrow" w:hAnsi="Arial Narrow"/>
          <w:sz w:val="18"/>
        </w:rPr>
        <w:tab/>
      </w:r>
      <w:r>
        <w:rPr>
          <w:rFonts w:ascii="Arial Narrow" w:hAnsi="Arial Narrow"/>
          <w:b/>
          <w:sz w:val="18"/>
          <w:u w:val="single"/>
        </w:rPr>
        <w:t>Additional Definitions</w:t>
      </w:r>
      <w:r>
        <w:rPr>
          <w:rFonts w:ascii="Arial Narrow" w:hAnsi="Arial Narrow"/>
          <w:b/>
          <w:sz w:val="18"/>
        </w:rPr>
        <w:t>.    Section 8 of Annex A to the confirmation is amended by the addition of the following definitions:</w:t>
      </w:r>
    </w:p>
    <w:p>
      <w:pPr>
        <w:pStyle w:val="Normal"/>
        <w:widowControl/>
        <w:bidi w:val="0"/>
        <w:jc w:val="start"/>
        <w:rPr>
          <w:rFonts w:ascii="Arial Narrow" w:hAnsi="Arial Narrow"/>
          <w:b/>
          <w:sz w:val="18"/>
          <w:u w:val="single"/>
        </w:rPr>
      </w:pPr>
      <w:r>
        <w:rPr>
          <w:rFonts w:ascii="Arial Narrow" w:hAnsi="Arial Narrow"/>
          <w:b/>
          <w:sz w:val="18"/>
          <w:u w:val="single"/>
        </w:rPr>
      </w:r>
    </w:p>
    <w:p>
      <w:pPr>
        <w:pStyle w:val="Normal"/>
        <w:widowControl/>
        <w:bidi w:val="0"/>
        <w:ind w:hanging="0" w:start="720"/>
        <w:jc w:val="start"/>
        <w:rPr>
          <w:rFonts w:ascii="Arial Narrow" w:hAnsi="Arial Narrow"/>
          <w:b/>
          <w:sz w:val="18"/>
        </w:rPr>
      </w:pPr>
      <w:r>
        <w:rPr>
          <w:rFonts w:ascii="Arial Narrow" w:hAnsi="Arial Narrow"/>
          <w:b/>
          <w:i/>
          <w:sz w:val="18"/>
        </w:rPr>
        <w:t>“</w:t>
      </w:r>
      <w:r>
        <w:rPr>
          <w:rFonts w:ascii="Arial Narrow" w:hAnsi="Arial Narrow"/>
          <w:b/>
          <w:i/>
          <w:sz w:val="18"/>
        </w:rPr>
        <w:t xml:space="preserve">Collateral Threshold” </w:t>
      </w:r>
      <w:r>
        <w:rPr>
          <w:rFonts w:ascii="Arial Narrow" w:hAnsi="Arial Narrow"/>
          <w:b/>
          <w:sz w:val="18"/>
        </w:rPr>
        <w:t>is defined as, with respect to Enron Corp., the parent company of Company, the amount opposite the ratings on the following table for the long-term senior unsecured debt of Enron Corp. from S&amp;P or its successor:</w:t>
      </w:r>
    </w:p>
    <w:p>
      <w:pPr>
        <w:pStyle w:val="Normal"/>
        <w:widowControl/>
        <w:bidi w:val="0"/>
        <w:ind w:hanging="0" w:start="720"/>
        <w:jc w:val="start"/>
        <w:rPr>
          <w:rFonts w:ascii="Arial Narrow" w:hAnsi="Arial Narrow"/>
          <w:b/>
          <w:i/>
          <w:i/>
          <w:sz w:val="18"/>
        </w:rPr>
      </w:pPr>
      <w:r>
        <w:rPr>
          <w:rFonts w:ascii="Arial Narrow" w:hAnsi="Arial Narrow"/>
          <w:b/>
          <w:i/>
          <w:sz w:val="18"/>
        </w:rPr>
      </w:r>
    </w:p>
    <w:p>
      <w:pPr>
        <w:pStyle w:val="Normal"/>
        <w:widowControl/>
        <w:bidi w:val="0"/>
        <w:ind w:hanging="0" w:start="720"/>
        <w:jc w:val="start"/>
        <w:rPr>
          <w:rFonts w:ascii="Arial Narrow" w:hAnsi="Arial Narrow"/>
          <w:b/>
          <w:sz w:val="18"/>
          <w:u w:val="single"/>
        </w:rPr>
      </w:pPr>
      <w:r>
        <w:rPr>
          <w:rFonts w:ascii="Arial Narrow" w:hAnsi="Arial Narrow"/>
          <w:sz w:val="18"/>
        </w:rPr>
        <w:tab/>
        <w:tab/>
      </w:r>
      <w:r>
        <w:rPr>
          <w:rFonts w:ascii="Arial Narrow" w:hAnsi="Arial Narrow"/>
          <w:b/>
          <w:sz w:val="18"/>
          <w:u w:val="single"/>
        </w:rPr>
        <w:t>S&amp;P Rating</w:t>
      </w:r>
      <w:r>
        <w:rPr>
          <w:rFonts w:ascii="Arial Narrow" w:hAnsi="Arial Narrow"/>
          <w:sz w:val="18"/>
        </w:rPr>
        <w:tab/>
        <w:tab/>
      </w:r>
      <w:r>
        <w:rPr>
          <w:rFonts w:ascii="Arial Narrow" w:hAnsi="Arial Narrow"/>
          <w:b/>
          <w:sz w:val="18"/>
          <w:u w:val="single"/>
        </w:rPr>
        <w:t>Exposure Threshold</w:t>
      </w:r>
    </w:p>
    <w:p>
      <w:pPr>
        <w:pStyle w:val="Normal"/>
        <w:widowControl/>
        <w:bidi w:val="0"/>
        <w:ind w:hanging="0" w:start="720"/>
        <w:jc w:val="start"/>
        <w:rPr>
          <w:rFonts w:ascii="Arial Narrow" w:hAnsi="Arial Narrow"/>
          <w:b/>
          <w:sz w:val="18"/>
          <w:u w:val="single"/>
        </w:rPr>
      </w:pPr>
      <w:r>
        <w:rPr>
          <w:rFonts w:ascii="Arial Narrow" w:hAnsi="Arial Narrow"/>
          <w:b/>
          <w:sz w:val="18"/>
          <w:u w:val="single"/>
        </w:rPr>
      </w:r>
    </w:p>
    <w:p>
      <w:pPr>
        <w:pStyle w:val="Normal"/>
        <w:widowControl/>
        <w:bidi w:val="0"/>
        <w:jc w:val="start"/>
        <w:rPr>
          <w:b/>
        </w:rPr>
      </w:pPr>
      <w:r>
        <w:rPr/>
        <w:tab/>
        <w:tab/>
        <w:tab/>
      </w:r>
      <w:r>
        <w:rPr>
          <w:b/>
        </w:rPr>
        <w:t>AA- and above</w:t>
      </w:r>
      <w:r>
        <w:rPr/>
        <w:tab/>
        <w:tab/>
      </w:r>
      <w:r>
        <w:rPr>
          <w:b/>
        </w:rPr>
        <w:t>$20,000,000</w:t>
      </w:r>
    </w:p>
    <w:p>
      <w:pPr>
        <w:pStyle w:val="Normal"/>
        <w:widowControl/>
        <w:bidi w:val="0"/>
        <w:jc w:val="start"/>
        <w:rPr>
          <w:b/>
        </w:rPr>
      </w:pPr>
      <w:r>
        <w:rPr/>
        <w:tab/>
        <w:tab/>
        <w:tab/>
      </w:r>
      <w:r>
        <w:rPr>
          <w:b/>
        </w:rPr>
        <w:t>A+</w:t>
      </w:r>
      <w:r>
        <w:rPr/>
        <w:tab/>
        <w:tab/>
        <w:tab/>
      </w:r>
      <w:r>
        <w:rPr>
          <w:b/>
        </w:rPr>
        <w:t>$15,000,000</w:t>
      </w:r>
    </w:p>
    <w:p>
      <w:pPr>
        <w:pStyle w:val="Normal"/>
        <w:widowControl/>
        <w:bidi w:val="0"/>
        <w:jc w:val="start"/>
        <w:rPr>
          <w:b/>
        </w:rPr>
      </w:pPr>
      <w:r>
        <w:rPr/>
        <w:tab/>
        <w:tab/>
        <w:tab/>
      </w:r>
      <w:r>
        <w:rPr>
          <w:b/>
        </w:rPr>
        <w:t>A</w:t>
      </w:r>
      <w:r>
        <w:rPr/>
        <w:tab/>
        <w:tab/>
        <w:tab/>
      </w:r>
      <w:r>
        <w:rPr>
          <w:b/>
        </w:rPr>
        <w:t>$15,000,000</w:t>
      </w:r>
    </w:p>
    <w:p>
      <w:pPr>
        <w:pStyle w:val="Normal"/>
        <w:widowControl/>
        <w:numPr>
          <w:ilvl w:val="0"/>
          <w:numId w:val="1"/>
        </w:numPr>
        <w:tabs>
          <w:tab w:val="clear" w:pos="720"/>
          <w:tab w:val="left" w:pos="4320" w:leader="none"/>
        </w:tabs>
        <w:bidi w:val="0"/>
        <w:ind w:hanging="2160" w:start="4320"/>
        <w:jc w:val="start"/>
        <w:rPr>
          <w:b/>
        </w:rPr>
      </w:pPr>
      <w:r>
        <w:rPr>
          <w:b/>
        </w:rPr>
        <w:t>$15,000,000</w:t>
      </w:r>
    </w:p>
    <w:p>
      <w:pPr>
        <w:pStyle w:val="Normal"/>
        <w:widowControl/>
        <w:bidi w:val="0"/>
        <w:ind w:hanging="0" w:start="2160"/>
        <w:jc w:val="start"/>
        <w:rPr>
          <w:b/>
        </w:rPr>
      </w:pPr>
      <w:r>
        <w:rPr>
          <w:b/>
        </w:rPr>
        <w:t>BBB+</w:t>
      </w:r>
      <w:r>
        <w:rPr/>
        <w:tab/>
        <w:tab/>
        <w:tab/>
      </w:r>
      <w:r>
        <w:rPr>
          <w:b/>
        </w:rPr>
        <w:t>$10,000,000</w:t>
      </w:r>
    </w:p>
    <w:p>
      <w:pPr>
        <w:pStyle w:val="Normal"/>
        <w:widowControl/>
        <w:bidi w:val="0"/>
        <w:ind w:hanging="0" w:start="2160"/>
        <w:jc w:val="start"/>
        <w:rPr>
          <w:b/>
        </w:rPr>
      </w:pPr>
      <w:r>
        <w:rPr>
          <w:b/>
        </w:rPr>
        <w:t>BBB</w:t>
      </w:r>
      <w:r>
        <w:rPr/>
        <w:tab/>
        <w:tab/>
        <w:tab/>
      </w:r>
      <w:r>
        <w:rPr>
          <w:b/>
        </w:rPr>
        <w:t>$10,000,000</w:t>
      </w:r>
    </w:p>
    <w:p>
      <w:pPr>
        <w:pStyle w:val="Normal"/>
        <w:widowControl/>
        <w:bidi w:val="0"/>
        <w:ind w:hanging="0" w:start="2160"/>
        <w:jc w:val="start"/>
        <w:rPr>
          <w:b/>
        </w:rPr>
      </w:pPr>
      <w:r>
        <w:rPr>
          <w:b/>
        </w:rPr>
        <w:t>BBB-</w:t>
      </w:r>
      <w:r>
        <w:rPr/>
        <w:tab/>
        <w:tab/>
        <w:tab/>
      </w:r>
      <w:r>
        <w:rPr>
          <w:b/>
        </w:rPr>
        <w:t>$5,000,000</w:t>
      </w:r>
    </w:p>
    <w:p>
      <w:pPr>
        <w:pStyle w:val="Normal"/>
        <w:widowControl/>
        <w:bidi w:val="0"/>
        <w:ind w:hanging="0" w:start="2160"/>
        <w:jc w:val="start"/>
        <w:rPr>
          <w:b/>
        </w:rPr>
      </w:pPr>
      <w:r>
        <w:rPr>
          <w:b/>
        </w:rPr>
        <w:t>Below BBB-</w:t>
      </w:r>
      <w:r>
        <w:rPr/>
        <w:tab/>
        <w:tab/>
      </w:r>
      <w:r>
        <w:rPr>
          <w:b/>
        </w:rPr>
        <w:t>$0</w:t>
      </w:r>
    </w:p>
    <w:p>
      <w:pPr>
        <w:pStyle w:val="Normal"/>
        <w:widowControl/>
        <w:bidi w:val="0"/>
        <w:jc w:val="start"/>
        <w:rPr>
          <w:b/>
        </w:rPr>
      </w:pPr>
      <w:r>
        <w:rPr>
          <w:b/>
        </w:rPr>
      </w:r>
    </w:p>
    <w:p>
      <w:pPr>
        <w:pStyle w:val="Normal"/>
        <w:widowControl/>
        <w:bidi w:val="0"/>
        <w:jc w:val="start"/>
        <w:rPr>
          <w:rFonts w:ascii="Arial Narrow" w:hAnsi="Arial Narrow"/>
          <w:b/>
          <w:sz w:val="18"/>
        </w:rPr>
      </w:pPr>
      <w:r>
        <w:rPr/>
        <w:tab/>
      </w:r>
      <w:r>
        <w:rPr>
          <w:rFonts w:ascii="Arial Narrow" w:hAnsi="Arial Narrow"/>
          <w:b/>
          <w:i/>
          <w:sz w:val="18"/>
        </w:rPr>
        <w:t>“Collateral Threshold”</w:t>
      </w:r>
      <w:r>
        <w:rPr>
          <w:rFonts w:ascii="Arial Narrow" w:hAnsi="Arial Narrow"/>
          <w:sz w:val="18"/>
        </w:rPr>
        <w:t xml:space="preserve"> </w:t>
      </w:r>
      <w:r>
        <w:rPr>
          <w:rFonts w:ascii="Arial Narrow" w:hAnsi="Arial Narrow"/>
          <w:b/>
          <w:sz w:val="18"/>
        </w:rPr>
        <w:t>is defined as, with respect to Counterparty, $5,000,000.</w:t>
      </w:r>
    </w:p>
    <w:p>
      <w:pPr>
        <w:pStyle w:val="Normal"/>
        <w:widowControl/>
        <w:bidi w:val="0"/>
        <w:jc w:val="start"/>
        <w:rPr>
          <w:rFonts w:ascii="Arial Narrow" w:hAnsi="Arial Narrow"/>
          <w:b/>
          <w:sz w:val="18"/>
        </w:rPr>
      </w:pPr>
      <w:r>
        <w:rPr>
          <w:rFonts w:ascii="Arial Narrow" w:hAnsi="Arial Narrow"/>
          <w:b/>
          <w:sz w:val="18"/>
        </w:rPr>
      </w:r>
    </w:p>
    <w:p>
      <w:pPr>
        <w:pStyle w:val="Normal"/>
        <w:widowControl/>
        <w:bidi w:val="0"/>
        <w:jc w:val="start"/>
        <w:rPr>
          <w:rFonts w:ascii="Arial Narrow" w:hAnsi="Arial Narrow"/>
          <w:b/>
          <w:sz w:val="18"/>
        </w:rPr>
      </w:pPr>
      <w:r>
        <w:rPr>
          <w:rFonts w:ascii="Arial Narrow" w:hAnsi="Arial Narrow"/>
          <w:sz w:val="18"/>
        </w:rPr>
        <w:tab/>
      </w:r>
      <w:r>
        <w:rPr>
          <w:rFonts w:ascii="Arial Narrow" w:hAnsi="Arial Narrow"/>
          <w:b/>
          <w:i/>
          <w:sz w:val="18"/>
        </w:rPr>
        <w:t>“Eligible Collateral”</w:t>
      </w:r>
      <w:r>
        <w:rPr>
          <w:rFonts w:ascii="Arial Narrow" w:hAnsi="Arial Narrow"/>
          <w:sz w:val="18"/>
        </w:rPr>
        <w:t xml:space="preserve"> </w:t>
      </w:r>
      <w:r>
        <w:rPr>
          <w:rFonts w:ascii="Arial Narrow" w:hAnsi="Arial Narrow"/>
          <w:b/>
          <w:sz w:val="18"/>
        </w:rPr>
        <w:t>shall mean (i) cash or (ii) a Letter of Credit from a financial institution acceptable by the Beneficiary Party.</w:t>
      </w:r>
    </w:p>
    <w:p>
      <w:pPr>
        <w:pStyle w:val="Normal"/>
        <w:widowControl/>
        <w:bidi w:val="0"/>
        <w:jc w:val="start"/>
        <w:rPr>
          <w:rFonts w:ascii="Arial Narrow" w:hAnsi="Arial Narrow"/>
          <w:b/>
          <w:sz w:val="18"/>
        </w:rPr>
      </w:pPr>
      <w:r>
        <w:rPr>
          <w:rFonts w:ascii="Arial Narrow" w:hAnsi="Arial Narrow"/>
          <w:b/>
          <w:sz w:val="18"/>
        </w:rPr>
      </w:r>
    </w:p>
    <w:p>
      <w:pPr>
        <w:pStyle w:val="Normal"/>
        <w:widowControl/>
        <w:bidi w:val="0"/>
        <w:ind w:hanging="0" w:start="720"/>
        <w:jc w:val="start"/>
        <w:rPr>
          <w:rFonts w:ascii="Arial Narrow" w:hAnsi="Arial Narrow"/>
          <w:b/>
          <w:sz w:val="18"/>
        </w:rPr>
      </w:pPr>
      <w:r>
        <w:rPr>
          <w:rFonts w:ascii="Arial Narrow" w:hAnsi="Arial Narrow"/>
          <w:b/>
          <w:i/>
          <w:sz w:val="18"/>
        </w:rPr>
        <w:t>“</w:t>
      </w:r>
      <w:r>
        <w:rPr>
          <w:rFonts w:ascii="Arial Narrow" w:hAnsi="Arial Narrow"/>
          <w:b/>
          <w:i/>
          <w:sz w:val="18"/>
        </w:rPr>
        <w:t>Letter of Credit”</w:t>
      </w:r>
      <w:r>
        <w:rPr>
          <w:rFonts w:ascii="Arial Narrow" w:hAnsi="Arial Narrow"/>
          <w:sz w:val="18"/>
        </w:rPr>
        <w:t xml:space="preserve"> </w:t>
      </w:r>
      <w:r>
        <w:rPr>
          <w:rFonts w:ascii="Arial Narrow" w:hAnsi="Arial Narrow"/>
          <w:b/>
          <w:sz w:val="18"/>
        </w:rPr>
        <w:t>means one or more irrevocable, transferable standby letters of credit from a major U.S. commercial bank or a foreign bank with a U.S. branch office, with such bank having a credit rating of at least “A-” from S&amp;P or “A3” from Moody</w:t>
      </w:r>
      <w:r>
        <w:rPr>
          <w:rFonts w:ascii="Arial Narrow" w:hAnsi="Arial Narrow"/>
          <w:sz w:val="18"/>
        </w:rPr>
        <w:t>’</w:t>
      </w:r>
      <w:r>
        <w:rPr>
          <w:rFonts w:ascii="Arial Narrow" w:hAnsi="Arial Narrow"/>
          <w:b/>
          <w:sz w:val="18"/>
        </w:rPr>
        <w:t>s.</w:t>
      </w:r>
    </w:p>
    <w:p>
      <w:pPr>
        <w:pStyle w:val="Normal"/>
        <w:widowControl/>
        <w:bidi w:val="0"/>
        <w:jc w:val="start"/>
        <w:rPr>
          <w:rFonts w:ascii="Arial Narrow" w:hAnsi="Arial Narrow"/>
          <w:b/>
          <w:sz w:val="18"/>
        </w:rPr>
      </w:pPr>
      <w:r>
        <w:rPr>
          <w:rFonts w:ascii="Arial Narrow" w:hAnsi="Arial Narrow"/>
          <w:b/>
          <w:sz w:val="18"/>
        </w:rPr>
      </w:r>
    </w:p>
    <w:p>
      <w:pPr>
        <w:pStyle w:val="Normal"/>
        <w:widowControl/>
        <w:bidi w:val="0"/>
        <w:jc w:val="start"/>
        <w:rPr>
          <w:rFonts w:ascii="Arial Narrow" w:hAnsi="Arial Narrow"/>
          <w:b/>
          <w:sz w:val="18"/>
        </w:rPr>
      </w:pPr>
      <w:r>
        <w:rPr>
          <w:rFonts w:ascii="Arial Narrow" w:hAnsi="Arial Narrow"/>
          <w:sz w:val="18"/>
        </w:rPr>
        <w:tab/>
      </w:r>
      <w:r>
        <w:rPr>
          <w:rFonts w:ascii="Arial Narrow" w:hAnsi="Arial Narrow"/>
          <w:b/>
          <w:i/>
          <w:sz w:val="18"/>
        </w:rPr>
        <w:t>“Rounding Amount”</w:t>
      </w:r>
      <w:r>
        <w:rPr>
          <w:rFonts w:ascii="Arial Narrow" w:hAnsi="Arial Narrow"/>
          <w:sz w:val="18"/>
        </w:rPr>
        <w:t xml:space="preserve"> </w:t>
      </w:r>
      <w:r>
        <w:rPr>
          <w:rFonts w:ascii="Arial Narrow" w:hAnsi="Arial Narrow"/>
          <w:b/>
          <w:sz w:val="18"/>
        </w:rPr>
        <w:t>shall be $100,000.]</w:t>
      </w:r>
    </w:p>
    <w:p>
      <w:pPr>
        <w:pStyle w:val="Normal"/>
        <w:widowControl/>
        <w:bidi w:val="0"/>
        <w:jc w:val="start"/>
        <w:rPr>
          <w:b/>
        </w:rPr>
      </w:pPr>
      <w:r>
        <w:rPr>
          <w:b/>
        </w:rPr>
      </w:r>
      <w:r>
        <w:br w:type="page"/>
      </w:r>
    </w:p>
    <w:p>
      <w:pPr>
        <w:pStyle w:val="Title"/>
        <w:widowControl/>
        <w:bidi w:val="0"/>
        <w:rPr>
          <w:rFonts w:ascii="Arial Narrow" w:hAnsi="Arial Narrow"/>
          <w:sz w:val="18"/>
        </w:rPr>
      </w:pPr>
      <w:r>
        <w:rPr>
          <w:rFonts w:ascii="Arial Narrow" w:hAnsi="Arial Narrow"/>
          <w:sz w:val="18"/>
          <w:u w:val="single"/>
        </w:rPr>
        <w:t>ANNEX C</w:t>
      </w:r>
    </w:p>
    <w:p>
      <w:pPr>
        <w:pStyle w:val="Normal"/>
        <w:widowControl/>
        <w:bidi w:val="0"/>
        <w:jc w:val="center"/>
        <w:rPr>
          <w:rFonts w:ascii="Arial Narrow" w:hAnsi="Arial Narrow"/>
          <w:b/>
          <w:u w:val="single"/>
        </w:rPr>
      </w:pPr>
      <w:r>
        <w:rPr>
          <w:rFonts w:ascii="Arial Narrow" w:hAnsi="Arial Narrow"/>
          <w:b/>
          <w:u w:val="single"/>
        </w:rPr>
      </w:r>
    </w:p>
    <w:p>
      <w:pPr>
        <w:pStyle w:val="Normal"/>
        <w:widowControl/>
        <w:bidi w:val="0"/>
        <w:jc w:val="center"/>
        <w:rPr>
          <w:rFonts w:ascii="Arial Narrow" w:hAnsi="Arial Narrow"/>
          <w:b/>
        </w:rPr>
      </w:pPr>
      <w:r>
        <w:rPr>
          <w:rFonts w:ascii="Arial Narrow" w:hAnsi="Arial Narrow"/>
          <w:b/>
        </w:rPr>
        <w:t>PARENT COMPANY GUARANTY</w:t>
      </w:r>
    </w:p>
    <w:p>
      <w:pPr>
        <w:pStyle w:val="Normal"/>
        <w:widowControl/>
        <w:bidi w:val="0"/>
        <w:jc w:val="center"/>
        <w:rPr>
          <w:rFonts w:ascii="Arial Narrow" w:hAnsi="Arial Narrow"/>
          <w:b/>
        </w:rPr>
      </w:pPr>
      <w:r>
        <w:rPr>
          <w:rFonts w:ascii="Arial Narrow" w:hAnsi="Arial Narrow"/>
          <w:b/>
        </w:rPr>
      </w:r>
    </w:p>
    <w:p>
      <w:pPr>
        <w:pStyle w:val="Normal"/>
        <w:widowControl/>
        <w:bidi w:val="0"/>
        <w:jc w:val="center"/>
        <w:rPr>
          <w:rFonts w:ascii="Arial Narrow" w:hAnsi="Arial Narrow"/>
          <w:b/>
          <w:color w:val="000000"/>
        </w:rPr>
      </w:pPr>
      <w:r>
        <w:rPr>
          <w:rFonts w:ascii="Arial Narrow" w:hAnsi="Arial Narrow"/>
          <w:b/>
          <w:color w:val="000000"/>
        </w:rPr>
        <w:t>[To Come]</w:t>
      </w:r>
    </w:p>
    <w:p>
      <w:pPr>
        <w:pStyle w:val="Normal"/>
        <w:widowControl/>
        <w:bidi w:val="0"/>
        <w:jc w:val="start"/>
        <w:rPr>
          <w:b/>
        </w:rPr>
      </w:pPr>
      <w:r>
        <w:rPr>
          <w:b/>
        </w:rPr>
      </w:r>
    </w:p>
    <w:p>
      <w:pPr>
        <w:pStyle w:val="Normal"/>
        <w:widowControl/>
        <w:bidi w:val="0"/>
        <w:jc w:val="start"/>
        <w:rPr>
          <w:b/>
        </w:rPr>
      </w:pPr>
      <w:r>
        <w:rPr>
          <w:b/>
        </w:rPr>
      </w:r>
      <w:r>
        <w:br w:type="page"/>
      </w:r>
    </w:p>
    <w:p>
      <w:pPr>
        <w:pStyle w:val="Title"/>
        <w:widowControl/>
        <w:bidi w:val="0"/>
        <w:rPr>
          <w:rFonts w:ascii="Arial Narrow" w:hAnsi="Arial Narrow"/>
          <w:sz w:val="18"/>
        </w:rPr>
      </w:pPr>
      <w:r>
        <w:rPr>
          <w:rFonts w:ascii="Arial Narrow" w:hAnsi="Arial Narrow"/>
          <w:sz w:val="18"/>
          <w:u w:val="single"/>
        </w:rPr>
        <w:t>ANNEX D</w:t>
      </w:r>
    </w:p>
    <w:p>
      <w:pPr>
        <w:pStyle w:val="Normal"/>
        <w:widowControl/>
        <w:bidi w:val="0"/>
        <w:jc w:val="center"/>
        <w:rPr>
          <w:rFonts w:ascii="Arial Narrow" w:hAnsi="Arial Narrow"/>
          <w:b/>
          <w:u w:val="single"/>
        </w:rPr>
      </w:pPr>
      <w:r>
        <w:rPr>
          <w:rFonts w:ascii="Arial Narrow" w:hAnsi="Arial Narrow"/>
          <w:b/>
          <w:u w:val="single"/>
        </w:rPr>
      </w:r>
    </w:p>
    <w:p>
      <w:pPr>
        <w:pStyle w:val="Normal"/>
        <w:widowControl/>
        <w:bidi w:val="0"/>
        <w:jc w:val="center"/>
        <w:rPr>
          <w:rFonts w:ascii="Arial Narrow" w:hAnsi="Arial Narrow"/>
          <w:b/>
        </w:rPr>
      </w:pPr>
      <w:r>
        <w:rPr>
          <w:rFonts w:ascii="Arial Narrow" w:hAnsi="Arial Narrow"/>
          <w:b/>
        </w:rPr>
        <w:t>FORM OF LETTER OF CREDIT</w:t>
      </w:r>
    </w:p>
    <w:p>
      <w:pPr>
        <w:pStyle w:val="Normal"/>
        <w:widowControl/>
        <w:bidi w:val="0"/>
        <w:jc w:val="center"/>
        <w:rPr>
          <w:rFonts w:ascii="Arial Narrow" w:hAnsi="Arial Narrow"/>
          <w:b/>
        </w:rPr>
      </w:pPr>
      <w:r>
        <w:rPr>
          <w:rFonts w:ascii="Arial Narrow" w:hAnsi="Arial Narrow"/>
          <w:b/>
        </w:rPr>
      </w:r>
    </w:p>
    <w:p>
      <w:pPr>
        <w:pStyle w:val="Normal"/>
        <w:widowControl/>
        <w:bidi w:val="0"/>
        <w:jc w:val="center"/>
        <w:rPr>
          <w:rFonts w:ascii="Arial Narrow" w:hAnsi="Arial Narrow"/>
          <w:b/>
          <w:color w:val="000000"/>
        </w:rPr>
      </w:pPr>
      <w:r>
        <w:rPr>
          <w:rFonts w:ascii="Arial Narrow" w:hAnsi="Arial Narrow"/>
          <w:b/>
          <w:color w:val="000000"/>
        </w:rPr>
        <w:t>[To Come]</w:t>
      </w:r>
    </w:p>
    <w:p>
      <w:pPr>
        <w:pStyle w:val="Normal"/>
        <w:widowControl/>
        <w:bidi w:val="0"/>
        <w:jc w:val="start"/>
        <w:rPr/>
      </w:pPr>
      <w:r>
        <w:rPr/>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936" w:right="936" w:gutter="0" w:header="432" w:top="720" w:footer="576" w:bottom="72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Arial Narrow" w:hAnsi="Arial Narrow"/>
        <w:sz w:val="16"/>
      </w:rPr>
    </w:pPr>
    <w:r>
      <w:rPr>
        <w:rFonts w:ascii="Arial Narrow" w:hAnsi="Arial Narrow"/>
        <w:sz w:val="16"/>
      </w:rPr>
      <w:fldChar w:fldCharType="begin"/>
    </w:r>
    <w:r>
      <w:rPr>
        <w:sz w:val="16"/>
        <w:rFonts w:ascii="Arial Narrow" w:hAnsi="Arial Narrow"/>
      </w:rPr>
      <w:instrText xml:space="preserve"> FILENAME \p </w:instrText>
    </w:r>
    <w:r>
      <w:rPr>
        <w:sz w:val="16"/>
        <w:rFonts w:ascii="Arial Narrow" w:hAnsi="Arial Narrow"/>
      </w:rPr>
      <w:fldChar w:fldCharType="separate"/>
    </w:r>
    <w:r>
      <w:rPr>
        <w:sz w:val="16"/>
        <w:rFonts w:ascii="Arial Narrow" w:hAnsi="Arial Narrow"/>
      </w:rPr>
      <w:t>/mnt/main-storage/datasets/enron-docs/doc/3.580261.DBCXWDODH1EF3SHMFM2UVJMLF0SYMMFCA.1.DOC</w:t>
    </w:r>
    <w:r>
      <w:rPr>
        <w:sz w:val="16"/>
        <w:rFonts w:ascii="Arial Narrow" w:hAnsi="Arial Narrow"/>
      </w:rPr>
      <w:fldChar w:fldCharType="end"/>
    </w:r>
  </w:p>
  <w:p>
    <w:pPr>
      <w:pStyle w:val="Footer"/>
      <w:widowControl/>
      <w:bidi w:val="0"/>
      <w:jc w:val="center"/>
      <w:rPr>
        <w:rFonts w:ascii="Arial Narrow" w:hAnsi="Arial Narrow"/>
        <w:sz w:val="16"/>
      </w:rPr>
    </w:pPr>
    <w:r>
      <w:rPr>
        <w:rFonts w:ascii="Arial Narrow" w:hAnsi="Arial Narrow"/>
        <w:sz w:val="16"/>
      </w:rPr>
      <w:t xml:space="preserve">Page </w:t>
    </w:r>
    <w:r>
      <w:rPr>
        <w:rStyle w:val="PageNumber"/>
        <w:rFonts w:ascii="Arial Narrow" w:hAnsi="Arial Narrow"/>
        <w:sz w:val="16"/>
        <w:lang w:val="en-CA"/>
      </w:rPr>
      <w:fldChar w:fldCharType="begin"/>
    </w:r>
    <w:r>
      <w:rPr>
        <w:rStyle w:val="PageNumber"/>
        <w:sz w:val="16"/>
        <w:rFonts w:ascii="Arial Narrow" w:hAnsi="Arial Narrow"/>
        <w:lang w:val="en-CA"/>
      </w:rPr>
      <w:instrText xml:space="preserve"> PAGE </w:instrText>
    </w:r>
    <w:r>
      <w:rPr>
        <w:rStyle w:val="PageNumber"/>
        <w:sz w:val="16"/>
        <w:rFonts w:ascii="Arial Narrow" w:hAnsi="Arial Narrow"/>
        <w:lang w:val="en-CA"/>
      </w:rPr>
      <w:fldChar w:fldCharType="separate"/>
    </w:r>
    <w:r>
      <w:rPr>
        <w:rStyle w:val="PageNumber"/>
        <w:sz w:val="16"/>
        <w:rFonts w:ascii="Arial Narrow" w:hAnsi="Arial Narrow"/>
        <w:lang w:val="en-CA"/>
      </w:rPr>
      <w:t>4</w:t>
    </w:r>
    <w:r>
      <w:rPr>
        <w:rStyle w:val="PageNumber"/>
        <w:sz w:val="16"/>
        <w:rFonts w:ascii="Arial Narrow" w:hAnsi="Arial Narrow"/>
        <w:lang w:val="en-CA"/>
      </w:rPr>
      <w:fldChar w:fldCharType="end"/>
    </w:r>
    <w:r>
      <w:rPr>
        <w:rFonts w:ascii="Arial Narrow" w:hAnsi="Arial Narrow"/>
        <w:sz w:val="16"/>
      </w:rPr>
      <w:t xml:space="preserve"> of 4</w:t>
    </w:r>
  </w:p>
  <w:p>
    <w:pPr>
      <w:pStyle w:val="Footer"/>
      <w:widowControl/>
      <w:bidi w:val="0"/>
      <w:jc w:val="center"/>
      <w:rPr>
        <w:rFonts w:ascii="Arial Narrow" w:hAnsi="Arial Narrow"/>
        <w:sz w:val="16"/>
      </w:rPr>
    </w:pPr>
    <w:r>
      <w:rPr>
        <w:rFonts w:ascii="Arial Narrow" w:hAnsi="Arial Narrow"/>
        <w:sz w:val="16"/>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Arial Narrow" w:hAnsi="Arial Narrow"/>
        <w:sz w:val="16"/>
      </w:rPr>
    </w:pPr>
    <w:r>
      <w:rPr>
        <w:rFonts w:ascii="Arial Narrow" w:hAnsi="Arial Narrow"/>
        <w:sz w:val="16"/>
      </w:rPr>
      <w:fldChar w:fldCharType="begin"/>
    </w:r>
    <w:r>
      <w:rPr>
        <w:sz w:val="16"/>
        <w:rFonts w:ascii="Arial Narrow" w:hAnsi="Arial Narrow"/>
      </w:rPr>
      <w:instrText xml:space="preserve"> FILENAME \p </w:instrText>
    </w:r>
    <w:r>
      <w:rPr>
        <w:sz w:val="16"/>
        <w:rFonts w:ascii="Arial Narrow" w:hAnsi="Arial Narrow"/>
      </w:rPr>
      <w:fldChar w:fldCharType="separate"/>
    </w:r>
    <w:r>
      <w:rPr>
        <w:sz w:val="16"/>
        <w:rFonts w:ascii="Arial Narrow" w:hAnsi="Arial Narrow"/>
      </w:rPr>
      <w:t>/mnt/main-storage/datasets/enron-docs/doc/3.580261.DBCXWDODH1EF3SHMFM2UVJMLF0SYMMFCA.1.DOC</w:t>
    </w:r>
    <w:r>
      <w:rPr>
        <w:sz w:val="16"/>
        <w:rFonts w:ascii="Arial Narrow" w:hAnsi="Arial Narrow"/>
      </w:rPr>
      <w:fldChar w:fldCharType="end"/>
    </w:r>
  </w:p>
  <w:p>
    <w:pPr>
      <w:pStyle w:val="Footer"/>
      <w:widowControl/>
      <w:bidi w:val="0"/>
      <w:jc w:val="center"/>
      <w:rPr>
        <w:rFonts w:ascii="Arial Narrow" w:hAnsi="Arial Narrow"/>
        <w:sz w:val="16"/>
      </w:rPr>
    </w:pPr>
    <w:r>
      <w:rPr>
        <w:rFonts w:ascii="Arial Narrow" w:hAnsi="Arial Narrow"/>
        <w:sz w:val="16"/>
      </w:rPr>
      <w:t xml:space="preserve">Page </w:t>
    </w:r>
    <w:r>
      <w:rPr>
        <w:rStyle w:val="PageNumber"/>
        <w:rFonts w:ascii="Arial Narrow" w:hAnsi="Arial Narrow"/>
        <w:sz w:val="16"/>
        <w:lang w:val="en-CA"/>
      </w:rPr>
      <w:fldChar w:fldCharType="begin"/>
    </w:r>
    <w:r>
      <w:rPr>
        <w:rStyle w:val="PageNumber"/>
        <w:sz w:val="16"/>
        <w:rFonts w:ascii="Arial Narrow" w:hAnsi="Arial Narrow"/>
        <w:lang w:val="en-CA"/>
      </w:rPr>
      <w:instrText xml:space="preserve"> PAGE </w:instrText>
    </w:r>
    <w:r>
      <w:rPr>
        <w:rStyle w:val="PageNumber"/>
        <w:sz w:val="16"/>
        <w:rFonts w:ascii="Arial Narrow" w:hAnsi="Arial Narrow"/>
        <w:lang w:val="en-CA"/>
      </w:rPr>
      <w:fldChar w:fldCharType="separate"/>
    </w:r>
    <w:r>
      <w:rPr>
        <w:rStyle w:val="PageNumber"/>
        <w:sz w:val="16"/>
        <w:rFonts w:ascii="Arial Narrow" w:hAnsi="Arial Narrow"/>
        <w:lang w:val="en-CA"/>
      </w:rPr>
      <w:t>1</w:t>
    </w:r>
    <w:r>
      <w:rPr>
        <w:rStyle w:val="PageNumber"/>
        <w:sz w:val="16"/>
        <w:rFonts w:ascii="Arial Narrow" w:hAnsi="Arial Narrow"/>
        <w:lang w:val="en-CA"/>
      </w:rPr>
      <w:fldChar w:fldCharType="end"/>
    </w:r>
    <w:r>
      <w:rPr>
        <w:rFonts w:ascii="Arial Narrow" w:hAnsi="Arial Narrow"/>
        <w:sz w:val="16"/>
      </w:rPr>
      <w:t xml:space="preserve"> of 4</w:t>
    </w:r>
  </w:p>
  <w:p>
    <w:pPr>
      <w:pStyle w:val="Footer"/>
      <w:widowControl/>
      <w:bidi w:val="0"/>
      <w:jc w:val="center"/>
      <w:rPr>
        <w:rFonts w:ascii="Arial Narrow" w:hAnsi="Arial Narrow"/>
        <w:sz w:val="16"/>
      </w:rPr>
    </w:pPr>
    <w:r>
      <w:rPr>
        <w:rFonts w:ascii="Arial Narrow" w:hAnsi="Arial Narrow"/>
        <w:sz w:val="16"/>
      </w:rPr>
      <w:t>Annex A</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Arial Narrow" w:hAnsi="Arial Narrow"/>
        <w:sz w:val="16"/>
      </w:rPr>
    </w:pPr>
    <w:r>
      <w:rPr>
        <w:rFonts w:ascii="Arial Narrow" w:hAnsi="Arial Narrow"/>
        <w:sz w:val="16"/>
      </w:rPr>
      <w:fldChar w:fldCharType="begin"/>
    </w:r>
    <w:r>
      <w:rPr>
        <w:sz w:val="16"/>
        <w:rFonts w:ascii="Arial Narrow" w:hAnsi="Arial Narrow"/>
      </w:rPr>
      <w:instrText xml:space="preserve"> FILENAME \p </w:instrText>
    </w:r>
    <w:r>
      <w:rPr>
        <w:sz w:val="16"/>
        <w:rFonts w:ascii="Arial Narrow" w:hAnsi="Arial Narrow"/>
      </w:rPr>
      <w:fldChar w:fldCharType="separate"/>
    </w:r>
    <w:r>
      <w:rPr>
        <w:sz w:val="16"/>
        <w:rFonts w:ascii="Arial Narrow" w:hAnsi="Arial Narrow"/>
      </w:rPr>
      <w:t>/mnt/main-storage/datasets/enron-docs/doc/3.580261.DBCXWDODH1EF3SHMFM2UVJMLF0SYMMFCA.1.DOC</w:t>
    </w:r>
    <w:r>
      <w:rPr>
        <w:sz w:val="16"/>
        <w:rFonts w:ascii="Arial Narrow" w:hAnsi="Arial Narrow"/>
      </w:rPr>
      <w:fldChar w:fldCharType="end"/>
    </w:r>
  </w:p>
  <w:p>
    <w:pPr>
      <w:pStyle w:val="Footer"/>
      <w:widowControl/>
      <w:bidi w:val="0"/>
      <w:jc w:val="start"/>
      <w:rPr>
        <w:rFonts w:ascii="Times New Roman" w:hAnsi="Times New Roman"/>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Arial Narrow" w:hAnsi="Arial Narrow"/>
        <w:sz w:val="16"/>
      </w:rPr>
    </w:pPr>
    <w:r>
      <w:rPr>
        <w:rFonts w:ascii="Arial Narrow" w:hAnsi="Arial Narrow"/>
        <w:sz w:val="16"/>
      </w:rPr>
      <w:fldChar w:fldCharType="begin"/>
    </w:r>
    <w:r>
      <w:rPr>
        <w:sz w:val="16"/>
        <w:rFonts w:ascii="Arial Narrow" w:hAnsi="Arial Narrow"/>
      </w:rPr>
      <w:instrText xml:space="preserve"> FILENAME \p </w:instrText>
    </w:r>
    <w:r>
      <w:rPr>
        <w:sz w:val="16"/>
        <w:rFonts w:ascii="Arial Narrow" w:hAnsi="Arial Narrow"/>
      </w:rPr>
      <w:fldChar w:fldCharType="separate"/>
    </w:r>
    <w:r>
      <w:rPr>
        <w:sz w:val="16"/>
        <w:rFonts w:ascii="Arial Narrow" w:hAnsi="Arial Narrow"/>
      </w:rPr>
      <w:t>/mnt/main-storage/datasets/enron-docs/doc/3.580261.DBCXWDODH1EF3SHMFM2UVJMLF0SYMMFCA.1.DOC</w:t>
    </w:r>
    <w:r>
      <w:rPr>
        <w:sz w:val="16"/>
        <w:rFonts w:ascii="Arial Narrow" w:hAnsi="Arial Narrow"/>
      </w:rPr>
      <w:fldChar w:fldCharType="end"/>
    </w:r>
  </w:p>
  <w:p>
    <w:pPr>
      <w:pStyle w:val="Footer"/>
      <w:widowControl/>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Arial Narrow" w:hAnsi="Arial Narrow"/>
        <w:b/>
        <w:sz w:val="10"/>
        <w:u w:val="single"/>
      </w:rPr>
    </w:pPr>
    <w:r>
      <w:rPr>
        <w:rFonts w:ascii="Arial Narrow" w:hAnsi="Arial Narrow"/>
        <w:b/>
        <w:sz w:val="10"/>
        <w:u w:val="single"/>
      </w:rPr>
    </w:r>
  </w:p>
  <w:p>
    <w:pPr>
      <w:pStyle w:val="Header"/>
      <w:widowControl/>
      <w:bidi w:val="0"/>
      <w:jc w:val="center"/>
      <w:rPr>
        <w:rFonts w:ascii="Arial Narrow" w:hAnsi="Arial Narrow"/>
        <w:b/>
        <w:sz w:val="20"/>
        <w:u w:val="single"/>
      </w:rPr>
    </w:pPr>
    <w:r>
      <w:rPr>
        <w:rFonts w:ascii="Arial Narrow" w:hAnsi="Arial Narrow"/>
        <w:b/>
        <w:sz w:val="20"/>
        <w:u w:val="single"/>
      </w:rPr>
      <w:t>ANNEX A</w:t>
    </w:r>
  </w:p>
  <w:p>
    <w:pPr>
      <w:pStyle w:val="Header"/>
      <w:widowControl/>
      <w:bidi w:val="0"/>
      <w:jc w:val="center"/>
      <w:rPr>
        <w:rFonts w:ascii="Arial Narrow" w:hAnsi="Arial Narrow"/>
        <w:b/>
        <w:sz w:val="20"/>
      </w:rPr>
    </w:pPr>
    <w:r>
      <w:rPr>
        <w:rFonts w:ascii="Arial Narrow" w:hAnsi="Arial Narrow"/>
        <w:b/>
        <w:sz w:val="20"/>
      </w:rPr>
      <w:tab/>
    </w:r>
  </w:p>
  <w:p>
    <w:pPr>
      <w:pStyle w:val="Header"/>
      <w:widowControl/>
      <w:bidi w:val="0"/>
      <w:jc w:val="center"/>
      <w:rPr>
        <w:rFonts w:ascii="Arial Narrow" w:hAnsi="Arial Narrow"/>
        <w:b/>
        <w:sz w:val="20"/>
      </w:rPr>
    </w:pPr>
    <w:r>
      <w:rPr>
        <w:rFonts w:ascii="Arial Narrow" w:hAnsi="Arial Narrow"/>
        <w:b/>
        <w:sz w:val="20"/>
      </w:rPr>
      <w:t>GENERAL TERMS AND CONDITIONS OF CONFIRMATION</w:t>
    </w:r>
  </w:p>
  <w:p>
    <w:pPr>
      <w:pStyle w:val="Header"/>
      <w:widowControl/>
      <w:bidi w:val="0"/>
      <w:jc w:val="center"/>
      <w:rPr>
        <w:rFonts w:ascii="Arial Narrow" w:hAnsi="Arial Narrow"/>
        <w:b/>
        <w:sz w:val="20"/>
      </w:rPr>
    </w:pPr>
    <w:r>
      <w:rPr>
        <w:rFonts w:ascii="Arial Narrow" w:hAnsi="Arial Narrow"/>
        <w:b/>
        <w:sz w:val="20"/>
      </w:rPr>
    </w:r>
  </w:p>
  <w:p>
    <w:pPr>
      <w:pStyle w:val="Header"/>
      <w:widowControl/>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0"/>
        </w:tabs>
        <w:ind w:start="6480" w:hanging="43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0"/>
      <w:szCs w:val="24"/>
      <w:lang w:val="en-CA" w:eastAsia="zh-CN" w:bidi="hi-IN"/>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180" w:leader="none"/>
        <w:tab w:val="left" w:pos="1170" w:leader="none"/>
      </w:tabs>
      <w:jc w:val="both"/>
    </w:pPr>
    <w:rPr>
      <w:rFonts w:ascii="Arial Narrow" w:hAnsi="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Footer">
    <w:name w:val="footer"/>
    <w:basedOn w:val="Normal"/>
    <w:pPr>
      <w:widowControl w:val="false"/>
      <w:tabs>
        <w:tab w:val="clear" w:pos="720"/>
        <w:tab w:val="center" w:pos="4320" w:leader="none"/>
        <w:tab w:val="right" w:pos="8640" w:leader="none"/>
      </w:tabs>
    </w:pPr>
    <w:rPr>
      <w:sz w:val="26"/>
    </w:rPr>
  </w:style>
  <w:style w:type="paragraph" w:styleId="Title">
    <w:name w:val="Title"/>
    <w:basedOn w:val="Normal"/>
    <w:next w:val="Normal"/>
    <w:qFormat/>
    <w:pPr>
      <w:widowControl w:val="false"/>
      <w:spacing w:before="0" w:after="240"/>
      <w:jc w:val="center"/>
    </w:pPr>
    <w:rPr>
      <w:b/>
      <w:sz w:val="28"/>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4444</Words>
  <Characters>31114</Characters>
  <CharactersWithSpaces>25336</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1999-12-07T21:20:00Z</dcterms:created>
  <dc:creator>mheard</dc:creator>
  <dc:description/>
  <dc:language>en-CA</dc:language>
  <cp:lastModifiedBy/>
  <cp:lastPrinted>1999-12-08T12:09:00Z</cp:lastPrinted>
  <dcterms:modified xsi:type="dcterms:W3CDTF">1999-12-08T12:09:00Z</dcterms:modified>
  <cp:revision>12</cp:revision>
  <dc:subject/>
  <dc:title>This Annex A supplements, forms part of, and is incorporated into the Confirmation to which this Annex A is attached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chaundra woods</vt:lpwstr>
  </property>
</Properties>
</file>