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(Multicurrency -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Blackbird 1 Interest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5(a)(vii) (Bankruptcy) : Principal Subsidiaries</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 xml:space="preserve">The </w:t>
      </w:r>
      <w:r>
        <w:rPr>
          <w:rFonts w:ascii="Times New Roman" w:hAnsi="Times New Roman"/>
          <w:b/>
          <w:sz w:val="24"/>
        </w:rPr>
        <w:t>“Cross Default”</w:t>
      </w:r>
      <w:r>
        <w:rPr>
          <w:rFonts w:ascii="Times New Roman" w:hAnsi="Times New Roman"/>
          <w:sz w:val="24"/>
        </w:rPr>
        <w:t xml:space="preserve"> provisions of Section 5(a)(vi) will not apply.</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itself, but not in the case of any Specified Entity. 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 xml:space="preserve">The Second Method (Full Two-Way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 unremedied 30 days after written notice of such breach is given to Party A by Party B) by Party A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(ii) any of the representations or warranties set out or incorporated by reference in paragraph (b)(2) of Part 5 of this Schedule;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w:t>
      </w:r>
    </w:p>
    <w:p>
      <w:pPr>
        <w:pStyle w:val="Normal"/>
        <w:bidi w:val="0"/>
        <w:spacing w:lineRule="atLeast" w:line="360"/>
        <w:ind w:hanging="0" w:start="1440"/>
        <w:jc w:val="both"/>
        <w:rPr>
          <w:rFonts w:ascii="Times New Roman" w:hAnsi="Times New Roman"/>
          <w:sz w:val="24"/>
        </w:rPr>
      </w:pPr>
      <w:r>
        <w:rPr>
          <w:rFonts w:ascii="Times New Roman" w:hAnsi="Times New Roman"/>
          <w:sz w:val="24"/>
        </w:rPr>
        <w:tab/>
        <w:t>(c)    If the Credit Agreement should for any reason terminate or if Party B should object to any amendment of the Credit Agreement affecting Sections 6.01 (d) or 6.01 (e), such provisions for the purposes of this paragraph (h)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5(d)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t>The provisions of Section 5(a)(iv), (v), (vi) and (vii) will not apply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sectPr>
          <w:type w:val="nextPage"/>
          <w:pgSz w:w="12240" w:h="15840"/>
          <w:pgMar w:left="1440" w:right="1440" w:gutter="0" w:header="0" w:top="1440" w:footer="0" w:bottom="576"/>
          <w:pgNumType w:fmt="decimal"/>
          <w:formProt w:val="false"/>
          <w:textDirection w:val="lrTb"/>
        </w:sectPr>
      </w:pPr>
    </w:p>
    <w:p>
      <w:pPr>
        <w:pStyle w:val="1AutoList1"/>
        <w:bidi w:val="0"/>
        <w:spacing w:lineRule="atLeast" w:line="360"/>
        <w:rPr>
          <w:rFonts w:ascii="Times New Roman" w:hAnsi="Times New Roman"/>
        </w:rPr>
      </w:pPr>
      <w:r>
        <w:rPr>
          <w:rFonts w:ascii="Times New Roman" w:hAnsi="Times New Roman"/>
        </w:rPr>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IRS Forms 1001 or 4224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576"/>
          <w:formProt w:val="false"/>
          <w:textDirection w:val="lrTb"/>
          <w:docGrid w:type="default" w:linePitch="312" w:charSpace="2047"/>
        </w:sectPr>
      </w:pPr>
    </w:p>
    <w:p>
      <w:pPr>
        <w:pStyle w:val="1AutoList1"/>
        <w:bidi w:val="0"/>
        <w:spacing w:lineRule="atLeast" w:line="360"/>
        <w:rPr>
          <w:rFonts w:ascii="Times New Roman" w:hAnsi="Times New Roman"/>
        </w:rPr>
      </w:pPr>
      <w:r>
        <w:rPr>
          <w:rFonts w:ascii="Times New Roman" w:hAnsi="Times New Roman"/>
        </w:rPr>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576"/>
          <w:formProt w:val="false"/>
          <w:textDirection w:val="lrTb"/>
          <w:docGrid w:type="default" w:linePitch="312" w:charSpace="2047"/>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0" w:bottom="576"/>
          <w:formProt w:val="false"/>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Name</w:t>
        <w:tab/>
        <w:tab/>
        <w:tab/>
        <w:t>:</w:t>
        <w:tab/>
        <w:t>Enron Corp.</w:t>
      </w:r>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t>Vice President, Finance and Treasurer</w:t>
      </w:r>
    </w:p>
    <w:p>
      <w:pPr>
        <w:pStyle w:val="Normal"/>
        <w:bidi w:val="0"/>
        <w:spacing w:lineRule="atLeast" w:line="360"/>
        <w:jc w:val="both"/>
        <w:rPr>
          <w:rFonts w:ascii="Times New Roman" w:hAnsi="Times New Roman"/>
          <w:sz w:val="24"/>
        </w:rPr>
      </w:pPr>
      <w:r>
        <w:rPr>
          <w:rFonts w:ascii="Times New Roman" w:hAnsi="Times New Roman"/>
          <w:sz w:val="24"/>
        </w:rPr>
        <w:tab/>
        <w:t>Facsimile No.</w:t>
        <w:tab/>
        <w:tab/>
        <w:t>:</w:t>
        <w:tab/>
        <w:t>(713) 646-3422</w:t>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t>[                                              ]</w:t>
      </w:r>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Not Applicable.</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Credit Support Provider means in relation to Party A:    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Credit Support Provider means in relation to Party B:    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and any other amendments and supplements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 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the Beneficiary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Blackbird 1, L.L.C., a Delaware limited liability company (“Blackbird 1”), to limit its business activities to those activities specified in Section 2.04 of that certain Amended and Restated Limited Liability Company Agreement of Blackbird 1 (the “Blackbird 1 Agreement”) dated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Blackbird 1 not to incur or suffer to exist any Indebtedness (as defined in the Facility Agreement) other than pursuant to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Enron Energy Services Operations, Inc., a Delaware corporation, will remain at all times the sole Managing Member of Blackbird 1.</w:t>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 xml:space="preserve">The covenant of Party A set forth in Section 5.02(b) </w:t>
      </w:r>
      <w:r>
        <w:rPr>
          <w:rFonts w:ascii="Times New Roman" w:hAnsi="Times New Roman"/>
          <w:b/>
          <w:i/>
          <w:sz w:val="24"/>
        </w:rPr>
        <w:t xml:space="preserve">[Note: there is no Tangible Net Worth Covenant in the 1999 Citibank Revolver] </w:t>
      </w:r>
      <w:r>
        <w:rPr>
          <w:rFonts w:ascii="Times New Roman" w:hAnsi="Times New Roman"/>
          <w:sz w:val="24"/>
        </w:rPr>
        <w:t>(as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provided that any reference to the “Majority Banks” shall be deemed to be a reference to Party B.    If the Credit Agreement should for any reason terminate or be amended without the consent of Party B, such provisions shall be incorporated herein as they existed immediately prior to such event.</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 xml:space="preserve">Credit Agreement” </w:t>
      </w:r>
      <w:r>
        <w:rPr>
          <w:rFonts w:ascii="Times New Roman" w:hAnsi="Times New Roman"/>
          <w:sz w:val="24"/>
        </w:rPr>
        <w:t>shall mean that certain Revolving Credit Agreement by and among Enron Corp., Citibank N.A. and certain other banks dated as of August 3, 1999.</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Barclays Bank PLC, as Agent, and the other financial institutions named therein.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Transfer.</w:t>
      </w:r>
      <w:r>
        <w:rPr>
          <w:rFonts w:ascii="Times New Roman" w:hAnsi="Times New Roman"/>
          <w:sz w:val="24"/>
        </w:rPr>
        <w:t>    Section 7 is hereby amended by:    (i) adding in the third line thereof after the word “party,”the words “which consent, in the case of a proposed transfer by Party A, will not be unreasonably withheld or delayed”; and (ii) adding the following at the end thereof: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b/>
        <w:t xml:space="preserve">“For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or set-off rights hereunder or under applicable law.”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Taxes</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(n)</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(o)</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sz w:val="24"/>
        </w:rPr>
        <w:t>[Remainder of page intentionally blank]</w:t>
      </w:r>
    </w:p>
    <w:p>
      <w:pPr>
        <w:sectPr>
          <w:type w:val="continuous"/>
          <w:pgSz w:w="12240" w:h="15840"/>
          <w:pgMar w:left="1440" w:right="1440" w:gutter="0" w:header="0" w:top="1440" w:footer="0" w:bottom="576"/>
          <w:formProt w:val="false"/>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b/>
          <w:sz w:val="24"/>
        </w:rPr>
        <w:t>BLACKBIRD 1 INTEREST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[FORM OF OPINION TO BE AGREED]</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The undersigned, the Assistant Secretary of Enron Corp. (the “Counterparty”), a Delaware corporation organized under the law of    Delaware hereby certifies that: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Blackbird 1 Interest Owner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default" r:id="rId5"/>
          <w:type w:val="nextPage"/>
          <w:pgSz w:w="12240" w:h="15840"/>
          <w:pgMar w:left="1440" w:right="1440" w:gutter="0" w:header="0" w:top="1440" w:footer="816" w:bottom="87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6"/>
          <w:footerReference w:type="default" r:id="rId7"/>
          <w:footerReference w:type="first" r:id="rId8"/>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 xml:space="preserve">Title: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 corporation organized under the law of Oregon, hereby certify that _________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sectPr>
      <w:type w:val="continuous"/>
      <w:pgSz w:w="12240" w:h="15840"/>
      <w:pgMar w:left="1440" w:right="1440" w:gutter="0" w:header="0" w:top="1440" w:footer="1056" w:bottom="1113"/>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Project Blackbird 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Project Blackbird 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