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bookmarkStart w:id="0" w:name="Redline_32_5"/>
      <w:bookmarkEnd w:id="0"/>
      <w:ins w:id="0" w:author="">
        <w:r>
          <w:rPr>
            <w:rFonts w:ascii="Times New Roman" w:hAnsi="Times New Roman"/>
            <w:strike/>
            <w:sz w:val="24"/>
          </w:rPr>
          <w:t>DRAFT OF NOVEMBER 13, 2000</w:t>
        </w:r>
      </w:ins>
    </w:p>
    <w:p>
      <w:pPr>
        <w:pStyle w:val="Normal"/>
        <w:bidi w:val="0"/>
        <w:jc w:val="center"/>
        <w:rPr>
          <w:rFonts w:ascii="Times New Roman" w:hAnsi="Times New Roman"/>
          <w:sz w:val="24"/>
        </w:rPr>
      </w:pPr>
      <w:r>
        <w:rPr>
          <w:rFonts w:ascii="Times New Roman" w:hAnsi="Times New Roman"/>
          <w:b/>
          <w:sz w:val="24"/>
        </w:rPr>
        <w:t xml:space="preserve">EXHIBIT </w:t>
      </w:r>
      <w:ins w:id="1" w:author="">
        <w:r>
          <w:rPr>
            <w:rFonts w:ascii="Times New Roman" w:hAnsi="Times New Roman"/>
            <w:b/>
            <w:strike/>
            <w:sz w:val="24"/>
          </w:rPr>
          <w:t>G-3</w:t>
        </w:r>
      </w:ins>
      <w:r>
        <w:rPr>
          <w:rFonts w:ascii="Times New Roman" w:hAnsi="Times New Roman"/>
          <w:b/>
          <w:sz w:val="24"/>
        </w:rPr>
        <w:t xml:space="preserve"> </w:t>
      </w:r>
      <w:bookmarkStart w:id="1" w:name="Redline_32_1"/>
      <w:bookmarkEnd w:id="1"/>
      <w:ins w:id="2" w:author="">
        <w:r>
          <w:rPr>
            <w:rFonts w:ascii="Times New Roman" w:hAnsi="Times New Roman"/>
            <w:b/>
            <w:sz w:val="24"/>
            <w:u w:val="double"/>
          </w:rPr>
          <w:t>G3</w:t>
        </w:r>
      </w:ins>
      <w:r>
        <w:rPr>
          <w:rFonts w:ascii="Times New Roman" w:hAnsi="Times New Roman"/>
          <w:b/>
          <w:sz w:val="24"/>
        </w:rPr>
        <w:t xml:space="preserve"> TO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SCHEDULE </w:t>
      </w:r>
    </w:p>
    <w:p>
      <w:pPr>
        <w:pStyle w:val="Normal"/>
        <w:bidi w:val="0"/>
        <w:jc w:val="center"/>
        <w:rPr>
          <w:rFonts w:ascii="Times New Roman" w:hAnsi="Times New Roman"/>
          <w:sz w:val="24"/>
        </w:rPr>
      </w:pPr>
      <w:r>
        <w:rPr>
          <w:rFonts w:ascii="Times New Roman" w:hAnsi="Times New Roman"/>
          <w:sz w:val="24"/>
        </w:rPr>
        <w:t xml:space="preserve">to the </w:t>
      </w:r>
    </w:p>
    <w:p>
      <w:pPr>
        <w:pStyle w:val="Normal"/>
        <w:bidi w:val="0"/>
        <w:jc w:val="center"/>
        <w:rPr>
          <w:rFonts w:ascii="Times New Roman" w:hAnsi="Times New Roman"/>
          <w:sz w:val="24"/>
        </w:rPr>
      </w:pPr>
      <w:r>
        <w:rPr>
          <w:rFonts w:ascii="Times New Roman" w:hAnsi="Times New Roman"/>
          <w:sz w:val="24"/>
        </w:rPr>
        <w:t>ISDA Master Agreement</w:t>
      </w:r>
    </w:p>
    <w:p>
      <w:pPr>
        <w:pStyle w:val="Normal"/>
        <w:bidi w:val="0"/>
        <w:jc w:val="center"/>
        <w:rPr>
          <w:rFonts w:ascii="Times New Roman" w:hAnsi="Times New Roman"/>
          <w:sz w:val="24"/>
        </w:rPr>
      </w:pPr>
      <w:r>
        <w:rPr>
          <w:rFonts w:ascii="Times New Roman" w:hAnsi="Times New Roman"/>
          <w:sz w:val="24"/>
        </w:rPr>
        <w:t>(Multicurrency - Cross Border)</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[date]</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between</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Enron Corp. </w:t>
      </w:r>
    </w:p>
    <w:p>
      <w:pPr>
        <w:pStyle w:val="Normal"/>
        <w:bidi w:val="0"/>
        <w:jc w:val="center"/>
        <w:rPr>
          <w:rFonts w:ascii="Times New Roman" w:hAnsi="Times New Roman"/>
          <w:sz w:val="24"/>
        </w:rPr>
      </w:pPr>
      <w:r>
        <w:rPr>
          <w:rFonts w:ascii="Times New Roman" w:hAnsi="Times New Roman"/>
          <w:sz w:val="24"/>
        </w:rPr>
        <w:t>(“Party A”)</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center"/>
        <w:rPr>
          <w:rFonts w:ascii="Times New Roman" w:hAnsi="Times New Roman"/>
          <w:sz w:val="24"/>
        </w:rPr>
      </w:pPr>
      <w:r>
        <w:rPr>
          <w:rFonts w:ascii="Times New Roman" w:hAnsi="Times New Roman"/>
          <w:sz w:val="24"/>
        </w:rPr>
        <w:t>(“Party B”)</w:t>
      </w:r>
    </w:p>
    <w:p>
      <w:pPr>
        <w:pStyle w:val="Normal"/>
        <w:bidi w:val="0"/>
        <w:jc w:val="center"/>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Part 1</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b/>
          <w:sz w:val="24"/>
        </w:rPr>
        <w:t>General Provisions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8-K (or any comparable form), (2) promptly after the filing or sending thereof, and in any event within 75 days after the end of each of the first three fiscal quarters of each fiscal year of Party A, a copy of Party A’s report on Form 10-Q (or any comparable form) for such quarter, which report will include Party A’s quarterly unaudited consolidated financial statements as of the end of and for such quarter, and (3) promptly after the filing or sending thereof, and in any event within 135 days after the end of each fiscal year of Party A, a copy of Party A’s annual report which it sends to its public security holders, and a copy of Party A’s report on Form 10-K (or any comparable form) for such year, which annual report will include Party A’s annual audited consolidated financial statements as of the end of and for such year.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720" w:start="2160"/>
        <w:jc w:val="both"/>
        <w:rPr>
          <w:rFonts w:ascii="Times New Roman" w:hAnsi="Times New Roman"/>
          <w:sz w:val="24"/>
        </w:rPr>
      </w:pPr>
      <w:r>
        <w:rPr>
          <w:rFonts w:ascii="Times New Roman" w:hAnsi="Times New Roman"/>
          <w:sz w:val="24"/>
        </w:rPr>
        <w:t>(C)</w:t>
        <w:tab/>
        <w:t>Its decisions regarding the merits of each Transaction are the results of arms-length negotiations.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(2)      Party A represents and warrants to Party B as follows: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uto" w:line="360"/>
        <w:ind w:hanging="720" w:start="2880"/>
        <w:jc w:val="both"/>
        <w:rPr>
          <w:rFonts w:ascii="Times New Roman" w:hAnsi="Times New Roman"/>
          <w:sz w:val="24"/>
        </w:rPr>
      </w:pPr>
      <w:r>
        <w:rPr>
          <w:rFonts w:ascii="Times New Roman" w:hAnsi="Times New Roman"/>
          <w:sz w:val="24"/>
        </w:rPr>
        <w:t>(ii)</w:t>
        <w:tab/>
        <w:t xml:space="preserve">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bidi w:val="0"/>
        <w:spacing w:lineRule="auto" w:line="360"/>
        <w:ind w:hanging="4320" w:start="64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tab/>
        <w:tab/>
        <w:tab/>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w:t>
      </w:r>
      <w:bookmarkStart w:id="2" w:name="Redline_32_6"/>
      <w:bookmarkEnd w:id="2"/>
      <w:r>
        <w:rPr>
          <w:rFonts w:ascii="Times New Roman" w:hAnsi="Times New Roman"/>
          <w:sz w:val="24"/>
        </w:rPr>
        <w:t xml:space="preserve">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the Chase Manhattan Bank as Co-Administrative Agents and Citbank, N.A., as Paying Agent and certain other banks, dated as of May 18, 2000 as amended prior to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November __, 2000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w:t>
      </w:r>
      <w:bookmarkStart w:id="3" w:name="Redline_32_2"/>
      <w:bookmarkEnd w:id="3"/>
      <w:ins w:id="3" w:author="">
        <w:r>
          <w:rPr>
            <w:rFonts w:ascii="Times New Roman" w:hAnsi="Times New Roman"/>
            <w:b/>
            <w:sz w:val="24"/>
            <w:u w:val="double"/>
          </w:rPr>
          <w:t>.</w:t>
        </w:r>
      </w:ins>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Transaction Costs” means, for any date, the reasonable out of pocket costs and expenses actually incurred</w:t>
      </w:r>
      <w:bookmarkStart w:id="4" w:name="Redline_32_7"/>
      <w:bookmarkEnd w:id="4"/>
      <w:r>
        <w:rPr>
          <w:rFonts w:ascii="Times New Roman" w:hAnsi="Times New Roman"/>
          <w:sz w:val="24"/>
        </w:rPr>
        <w:t xml:space="preserve">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which expressly provides to the contrary for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Non-Reliance.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Non-default Rate”.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2-609 of the New York Uniform Commercial Code and any equivalent rights existing at common law shall not apply to this Agreement or any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B is a true and complete copy of the Credit Agreement as in effect on the date hereof.</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Set-off, etc</w:t>
      </w:r>
      <w:r>
        <w:rPr>
          <w:rFonts w:ascii="Times New Roman" w:hAnsi="Times New Roman"/>
          <w:sz w:val="24"/>
        </w:rPr>
        <w:t>    Notwithstanding Section 6(e) or any other provision of this Agreement, all payments made by Party A under this Agreement shall be paid in full without set-off or counterclaim and not subject to any condition.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Amounts are for any reason not recoverable under a confirmation </w:t>
        <w:tab/>
        <w:t xml:space="preserve">executed pursuant to this Agreement, Party A shall promptly on written demand pay such </w:t>
        <w:tab/>
        <w:t xml:space="preserve">Transaction Costs, Cost of Carry or Increased Amounts to Party B. 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uto"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uto"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uto" w:line="36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uto" w:line="360"/>
        <w:jc w:val="center"/>
        <w:rPr>
          <w:rFonts w:ascii="Times New Roman" w:hAnsi="Times New Roman"/>
          <w:b/>
          <w:sz w:val="24"/>
        </w:rPr>
      </w:pPr>
      <w:r>
        <w:rPr>
          <w:rFonts w:ascii="Times New Roman" w:hAnsi="Times New Roman"/>
          <w:b/>
          <w:sz w:val="24"/>
        </w:rPr>
        <w:t xml:space="preserve">Part 3 </w:t>
      </w:r>
    </w:p>
    <w:p>
      <w:pPr>
        <w:pStyle w:val="Normal"/>
        <w:bidi w:val="0"/>
        <w:spacing w:lineRule="auto" w:line="360"/>
        <w:jc w:val="center"/>
        <w:rPr>
          <w:rFonts w:ascii="Times New Roman" w:hAnsi="Times New Roman"/>
          <w:sz w:val="24"/>
        </w:rPr>
      </w:pPr>
      <w:r>
        <w:rPr>
          <w:rFonts w:ascii="Times New Roman" w:hAnsi="Times New Roman"/>
          <w:b/>
          <w:sz w:val="24"/>
        </w:rPr>
        <w:t>Agreement to Deliver Documents</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uto" w:line="360"/>
        <w:ind w:hanging="2160" w:start="2160"/>
        <w:jc w:val="both"/>
        <w:rPr>
          <w:rFonts w:ascii="Times New Roman" w:hAnsi="Times New Roman"/>
          <w:sz w:val="24"/>
        </w:rPr>
      </w:pPr>
      <w:r>
        <w:rPr>
          <w:rFonts w:ascii="Times New Roman" w:hAnsi="Times New Roman"/>
          <w:sz w:val="24"/>
        </w:rPr>
        <w:tab/>
        <w:t>Party B:</w:t>
        <w:tab/>
        <w:t>None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(b)</w:t>
        <w:tab/>
        <w:t>Other documents to be delivered are:</w:t>
      </w:r>
    </w:p>
    <w:p>
      <w:pPr>
        <w:pStyle w:val="Normal"/>
        <w:bidi w:val="0"/>
        <w:spacing w:lineRule="auto" w:line="36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576" w:bottom="63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tblHeader w:val="true"/>
          <w:cantSplit w:val="true"/>
        </w:trPr>
        <w:tc>
          <w:tcPr>
            <w:tcW w:w="1799" w:type="dxa"/>
            <w:tcBorders/>
            <w:vAlign w:val="bottom"/>
          </w:tcPr>
          <w:p>
            <w:pPr>
              <w:pStyle w:val="Normal"/>
              <w:tabs>
                <w:tab w:val="clear" w:pos="720"/>
              </w:tabs>
              <w:bidi w:val="0"/>
              <w:spacing w:lineRule="auto" w:line="360" w:before="120" w:after="0"/>
              <w:ind w:hanging="0" w:start="0" w:end="0"/>
              <w:jc w:val="start"/>
              <w:rPr>
                <w:rFonts w:ascii="Times New Roman" w:hAnsi="Times New Roman"/>
                <w:b/>
                <w:sz w:val="24"/>
              </w:rPr>
            </w:pPr>
            <w:r>
              <w:rPr>
                <w:rFonts w:ascii="Times New Roman" w:hAnsi="Times New Roman"/>
                <w:b/>
                <w:sz w:val="24"/>
              </w:rPr>
              <w:t>Party required</w:t>
            </w:r>
          </w:p>
          <w:p>
            <w:pPr>
              <w:pStyle w:val="Normal"/>
              <w:tabs>
                <w:tab w:val="clear" w:pos="720"/>
              </w:tabs>
              <w:bidi w:val="0"/>
              <w:spacing w:lineRule="auto" w:line="360" w:before="0" w:after="0"/>
              <w:ind w:hanging="0" w:start="0" w:end="0"/>
              <w:jc w:val="start"/>
              <w:rPr>
                <w:rFonts w:ascii="Times New Roman" w:hAnsi="Times New Roman"/>
                <w:b/>
                <w:sz w:val="24"/>
              </w:rPr>
            </w:pPr>
            <w:r>
              <w:rPr>
                <w:rFonts w:ascii="Times New Roman" w:hAnsi="Times New Roman"/>
                <w:b/>
                <w:sz w:val="24"/>
              </w:rPr>
              <w:t>to deliver</w:t>
            </w:r>
          </w:p>
          <w:p>
            <w:pPr>
              <w:pStyle w:val="Normal"/>
              <w:tabs>
                <w:tab w:val="clear" w:pos="720"/>
              </w:tabs>
              <w:bidi w:val="0"/>
              <w:spacing w:lineRule="auto" w:line="360" w:before="0" w:after="57"/>
              <w:ind w:hanging="0" w:start="0" w:end="0"/>
              <w:jc w:val="start"/>
              <w:rPr/>
            </w:pPr>
            <w:r>
              <w:rPr>
                <w:rFonts w:ascii="Times New Roman" w:hAnsi="Times New Roman"/>
                <w:b/>
                <w:sz w:val="24"/>
              </w:rPr>
              <w:t>document</w:t>
            </w:r>
          </w:p>
        </w:tc>
        <w:tc>
          <w:tcPr>
            <w:tcW w:w="2971"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 xml:space="preserve">Date by which to be delivered </w:t>
            </w:r>
          </w:p>
        </w:tc>
        <w:tc>
          <w:tcPr>
            <w:tcW w:w="1889" w:type="dxa"/>
            <w:tcBorders/>
            <w:vAlign w:val="bottom"/>
          </w:tcPr>
          <w:p>
            <w:pPr>
              <w:pStyle w:val="Normal"/>
              <w:tabs>
                <w:tab w:val="clear" w:pos="720"/>
              </w:tabs>
              <w:bidi w:val="0"/>
              <w:spacing w:lineRule="auto" w:line="360" w:before="120" w:after="57"/>
              <w:ind w:hanging="0" w:start="0" w:end="0"/>
              <w:jc w:val="start"/>
              <w:rPr/>
            </w:pPr>
            <w:r>
              <w:rPr>
                <w:rFonts w:ascii="Times New Roman" w:hAnsi="Times New Roman"/>
                <w:b/>
                <w:sz w:val="24"/>
              </w:rPr>
              <w:t>Covered by Section 3(d) Representation</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Party A</w:t>
            </w:r>
          </w:p>
        </w:tc>
        <w:tc>
          <w:tcPr>
            <w:tcW w:w="2971"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No</w:t>
            </w:r>
          </w:p>
        </w:tc>
      </w:tr>
      <w:tr>
        <w:trPr>
          <w:cantSplit w:val="true"/>
        </w:trPr>
        <w:tc>
          <w:tcPr>
            <w:tcW w:w="1799" w:type="dxa"/>
            <w:tcBorders/>
          </w:tcPr>
          <w:p>
            <w:pPr>
              <w:pStyle w:val="Normal"/>
              <w:tabs>
                <w:tab w:val="clear" w:pos="720"/>
              </w:tabs>
              <w:bidi w:val="0"/>
              <w:spacing w:lineRule="auto" w:line="360" w:before="120" w:after="57"/>
              <w:ind w:hanging="0" w:start="0" w:end="0"/>
              <w:jc w:val="both"/>
              <w:rPr/>
            </w:pPr>
            <w:r>
              <w:rPr>
                <w:rFonts w:ascii="Times New Roman" w:hAnsi="Times New Roman"/>
                <w:sz w:val="24"/>
              </w:rPr>
              <w:t xml:space="preserve">Party A and Party B </w:t>
            </w:r>
          </w:p>
        </w:tc>
        <w:tc>
          <w:tcPr>
            <w:tcW w:w="2971" w:type="dxa"/>
            <w:tcBorders/>
          </w:tcPr>
          <w:p>
            <w:pPr>
              <w:pStyle w:val="Normal"/>
              <w:tabs>
                <w:tab w:val="clear" w:pos="720"/>
              </w:tabs>
              <w:bidi w:val="0"/>
              <w:spacing w:lineRule="auto" w:line="360" w:before="120" w:after="0"/>
              <w:ind w:hanging="0" w:start="0" w:end="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spacing w:lineRule="auto" w:line="360" w:before="0" w:after="57"/>
              <w:ind w:hanging="0" w:start="0" w:end="0"/>
              <w:jc w:val="start"/>
              <w:rPr/>
            </w:pPr>
            <w:r>
              <w:rPr>
                <w:rFonts w:ascii="Times New Roman" w:hAnsi="Times New Roman"/>
                <w:sz w:val="24"/>
              </w:rPr>
              <w:t>Exhibit C</w:t>
            </w:r>
          </w:p>
        </w:tc>
        <w:tc>
          <w:tcPr>
            <w:tcW w:w="1980" w:type="dxa"/>
            <w:tcBorders/>
          </w:tcPr>
          <w:p>
            <w:pPr>
              <w:pStyle w:val="Normal"/>
              <w:tabs>
                <w:tab w:val="clear" w:pos="720"/>
              </w:tabs>
              <w:bidi w:val="0"/>
              <w:spacing w:lineRule="auto" w:line="360" w:before="120" w:after="57"/>
              <w:ind w:hanging="0" w:start="0" w:end="0"/>
              <w:jc w:val="start"/>
              <w:rPr/>
            </w:pPr>
            <w:r>
              <w:rPr>
                <w:rFonts w:ascii="Times New Roman" w:hAnsi="Times New Roman"/>
                <w:sz w:val="24"/>
              </w:rPr>
              <w:t>Execution of Agreement</w:t>
            </w:r>
          </w:p>
        </w:tc>
        <w:tc>
          <w:tcPr>
            <w:tcW w:w="1889" w:type="dxa"/>
            <w:tcBorders/>
          </w:tcPr>
          <w:p>
            <w:pPr>
              <w:pStyle w:val="Normal"/>
              <w:tabs>
                <w:tab w:val="clear" w:pos="720"/>
              </w:tabs>
              <w:bidi w:val="0"/>
              <w:spacing w:lineRule="auto" w:line="360" w:before="120" w:after="57"/>
              <w:ind w:hanging="0" w:start="0" w:end="0"/>
              <w:jc w:val="center"/>
              <w:rPr/>
            </w:pPr>
            <w:r>
              <w:rPr>
                <w:rFonts w:ascii="Times New Roman" w:hAnsi="Times New Roman"/>
                <w:sz w:val="24"/>
              </w:rPr>
              <w:t>Yes</w:t>
            </w:r>
          </w:p>
        </w:tc>
      </w:tr>
    </w:tbl>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4</w:t>
      </w:r>
    </w:p>
    <w:p>
      <w:pPr>
        <w:pStyle w:val="Normal"/>
        <w:keepNext w:val="true"/>
        <w:bidi w:val="0"/>
        <w:spacing w:lineRule="auto" w:line="360"/>
        <w:jc w:val="center"/>
        <w:rPr>
          <w:rFonts w:ascii="Times New Roman" w:hAnsi="Times New Roman"/>
          <w:sz w:val="24"/>
        </w:rPr>
      </w:pPr>
      <w:r>
        <w:rPr>
          <w:rFonts w:ascii="Times New Roman" w:hAnsi="Times New Roman"/>
          <w:b/>
          <w:sz w:val="24"/>
        </w:rPr>
        <w:t>Miscellaneous</w:t>
      </w:r>
    </w:p>
    <w:p>
      <w:pPr>
        <w:pStyle w:val="Normal"/>
        <w:keepNext w:val="true"/>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A:</w:t>
      </w:r>
    </w:p>
    <w:p>
      <w:pPr>
        <w:pStyle w:val="Normal"/>
        <w:bidi w:val="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Address</w:t>
        <w:tab/>
        <w:tab/>
        <w:t>:</w:t>
        <w:tab/>
        <w:t>Enron Corp.</w:t>
      </w:r>
    </w:p>
    <w:p>
      <w:pPr>
        <w:pStyle w:val="Normal"/>
        <w:bidi w:val="0"/>
        <w:spacing w:lineRule="auto" w:line="360"/>
        <w:jc w:val="both"/>
        <w:rPr>
          <w:rFonts w:ascii="Times New Roman" w:hAnsi="Times New Roman"/>
          <w:sz w:val="24"/>
        </w:rPr>
      </w:pPr>
      <w:r>
        <w:rPr>
          <w:rFonts w:ascii="Times New Roman" w:hAnsi="Times New Roman"/>
          <w:sz w:val="24"/>
        </w:rPr>
        <w:tab/>
        <w:tab/>
        <w:tab/>
        <w:tab/>
        <w:tab/>
        <w:t>P. O. Box 4428</w:t>
      </w:r>
    </w:p>
    <w:p>
      <w:pPr>
        <w:pStyle w:val="Normal"/>
        <w:bidi w:val="0"/>
        <w:spacing w:lineRule="auto" w:line="360"/>
        <w:jc w:val="both"/>
        <w:rPr>
          <w:rFonts w:ascii="Times New Roman" w:hAnsi="Times New Roman"/>
          <w:sz w:val="24"/>
        </w:rPr>
      </w:pPr>
      <w:r>
        <w:rPr>
          <w:rFonts w:ascii="Times New Roman" w:hAnsi="Times New Roman"/>
          <w:sz w:val="24"/>
        </w:rPr>
        <w:tab/>
        <w:tab/>
        <w:tab/>
        <w:tab/>
        <w:tab/>
        <w:t>Houston, Texas    77210-4428</w:t>
      </w:r>
    </w:p>
    <w:p>
      <w:pPr>
        <w:pStyle w:val="Normal"/>
        <w:bidi w:val="0"/>
        <w:spacing w:lineRule="auto" w:line="360"/>
        <w:jc w:val="both"/>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uto" w:line="360"/>
        <w:jc w:val="both"/>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uto" w:line="360"/>
        <w:jc w:val="both"/>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uto" w:line="360"/>
        <w:jc w:val="both"/>
        <w:rPr>
          <w:rFonts w:ascii="Times New Roman" w:hAnsi="Times New Roman"/>
          <w:sz w:val="24"/>
        </w:rPr>
      </w:pPr>
      <w:r>
        <w:rPr>
          <w:rFonts w:ascii="Times New Roman" w:hAnsi="Times New Roman"/>
          <w:sz w:val="24"/>
        </w:rPr>
        <w:tab/>
        <w:t>Facsimile No.</w:t>
        <w:tab/>
        <w:tab/>
        <w:t>:</w:t>
        <w:tab/>
        <w:t>(713) 646-5930</w:t>
      </w:r>
    </w:p>
    <w:p>
      <w:pPr>
        <w:pStyle w:val="Normal"/>
        <w:bidi w:val="0"/>
        <w:spacing w:lineRule="auto" w:line="360"/>
        <w:jc w:val="both"/>
        <w:rPr>
          <w:rFonts w:ascii="Times New Roman" w:hAnsi="Times New Roman"/>
          <w:sz w:val="24"/>
        </w:rPr>
      </w:pPr>
      <w:r>
        <w:rPr>
          <w:rFonts w:ascii="Times New Roman" w:hAnsi="Times New Roman"/>
          <w:sz w:val="24"/>
        </w:rPr>
        <w:tab/>
        <w:t>Telephone</w:t>
        <w:tab/>
        <w:tab/>
        <w:t>:</w:t>
        <w:tab/>
        <w:t>(713) 853-5359</w:t>
      </w:r>
    </w:p>
    <w:p>
      <w:pPr>
        <w:pStyle w:val="Normal"/>
        <w:bidi w:val="0"/>
        <w:spacing w:lineRule="auto" w:line="360"/>
        <w:jc w:val="both"/>
        <w:rPr>
          <w:rFonts w:ascii="Times New Roman" w:hAnsi="Times New Roman"/>
          <w:sz w:val="24"/>
        </w:rPr>
      </w:pPr>
      <w:r>
        <w:rPr>
          <w:rFonts w:ascii="Times New Roman" w:hAnsi="Times New Roman"/>
          <w:sz w:val="24"/>
        </w:rPr>
        <w:tab/>
      </w:r>
    </w:p>
    <w:p>
      <w:pPr>
        <w:pStyle w:val="Normal"/>
        <w:bidi w:val="0"/>
        <w:spacing w:lineRule="auto" w:line="360"/>
        <w:jc w:val="both"/>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646-8007, and (ii) Enron North America Corp., Attention: Assistant General Counsel, Trading Group at the above address and facsimile no.    (713) 646-4818.</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Address for notices or communications (other than with respect to payments) to Party B: -</w:t>
      </w:r>
    </w:p>
    <w:p>
      <w:pPr>
        <w:pStyle w:val="Normal"/>
        <w:bidi w:val="0"/>
        <w:spacing w:lineRule="auto" w:line="360"/>
        <w:jc w:val="both"/>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uto" w:line="360"/>
        <w:ind w:hanging="2880" w:start="2880"/>
        <w:jc w:val="both"/>
        <w:rPr>
          <w:rFonts w:ascii="Times New Roman" w:hAnsi="Times New Roman"/>
          <w:sz w:val="24"/>
        </w:rPr>
      </w:pPr>
      <w:r>
        <w:rPr>
          <w:rFonts w:ascii="Times New Roman" w:hAnsi="Times New Roman"/>
          <w:sz w:val="24"/>
        </w:rPr>
        <w:tab/>
        <w:tab/>
        <w:tab/>
        <w:tab/>
        <w:t>Wilmington, Delaware 19890-0001</w:t>
      </w:r>
    </w:p>
    <w:p>
      <w:pPr>
        <w:pStyle w:val="Normal"/>
        <w:bidi w:val="0"/>
        <w:spacing w:lineRule="auto" w:line="360"/>
        <w:jc w:val="both"/>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uto" w:line="360"/>
        <w:jc w:val="both"/>
        <w:rPr>
          <w:rFonts w:ascii="Times New Roman" w:hAnsi="Times New Roman"/>
          <w:sz w:val="24"/>
        </w:rPr>
      </w:pPr>
      <w:r>
        <w:rPr>
          <w:rFonts w:ascii="Times New Roman" w:hAnsi="Times New Roman"/>
          <w:sz w:val="24"/>
        </w:rPr>
        <w:tab/>
        <w:t xml:space="preserve">Facsimile No </w:t>
        <w:tab/>
        <w:t>:</w:t>
        <w:tab/>
        <w:t>(302) 651-8882</w:t>
      </w:r>
    </w:p>
    <w:p>
      <w:pPr>
        <w:pStyle w:val="Normal"/>
        <w:bidi w:val="0"/>
        <w:spacing w:lineRule="auto" w:line="360"/>
        <w:jc w:val="both"/>
        <w:rPr>
          <w:rFonts w:ascii="Times New Roman" w:hAnsi="Times New Roman"/>
          <w:sz w:val="24"/>
        </w:rPr>
      </w:pPr>
      <w:r>
        <w:rPr>
          <w:rFonts w:ascii="Times New Roman" w:hAnsi="Times New Roman"/>
          <w:sz w:val="24"/>
        </w:rPr>
        <w:tab/>
        <w:t>Telephone</w:t>
        <w:tab/>
        <w:t>:</w:t>
        <w:tab/>
        <w:t>(302) 651-1000</w:t>
      </w:r>
    </w:p>
    <w:p>
      <w:pPr>
        <w:pStyle w:val="Normal"/>
        <w:bidi w:val="0"/>
        <w:spacing w:lineRule="auto" w:line="360"/>
        <w:jc w:val="both"/>
        <w:rPr>
          <w:rFonts w:ascii="Times New Roman" w:hAnsi="Times New Roman"/>
          <w:sz w:val="24"/>
        </w:rPr>
      </w:pPr>
      <w:r>
        <w:rPr>
          <w:rFonts w:ascii="Times New Roman" w:hAnsi="Times New Roman"/>
          <w:sz w:val="24"/>
        </w:rPr>
        <w:tab/>
        <w:t>Reference</w:t>
        <w:tab/>
        <w:t>:</w:t>
        <w:tab/>
        <w:t>Hawaii I 125-0 Trust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both"/>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bidi w:val="0"/>
        <w:spacing w:lineRule="auto" w:line="360"/>
        <w:jc w:val="both"/>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tab/>
        <w:t>Party B appoints as its Process Agent</w:t>
        <w:tab/>
        <w:t>:</w:t>
        <w:tab/>
        <w:t>Not Applicable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uto" w:line="360"/>
        <w:jc w:val="both"/>
        <w:rPr>
          <w:rFonts w:ascii="Times New Roman" w:hAnsi="Times New Roman"/>
          <w:sz w:val="24"/>
        </w:rPr>
      </w:pPr>
      <w:r>
        <w:rPr>
          <w:rFonts w:ascii="Times New Roman" w:hAnsi="Times New Roman"/>
          <w:sz w:val="24"/>
        </w:rPr>
        <w:tab/>
        <w:t>Party A is not a Multibranch Party.</w:t>
      </w:r>
    </w:p>
    <w:p>
      <w:pPr>
        <w:pStyle w:val="Normal"/>
        <w:bidi w:val="0"/>
        <w:spacing w:lineRule="auto" w:line="360"/>
        <w:jc w:val="both"/>
        <w:rPr>
          <w:rFonts w:ascii="Times New Roman" w:hAnsi="Times New Roman"/>
          <w:sz w:val="24"/>
        </w:rPr>
      </w:pPr>
      <w:r>
        <w:rPr>
          <w:rFonts w:ascii="Times New Roman" w:hAnsi="Times New Roman"/>
          <w:sz w:val="24"/>
        </w:rPr>
        <w:tab/>
        <w:t>Party B is not a Multibranch Party.</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uto" w:line="36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itlePg/>
          <w:textDirection w:val="lrTb"/>
          <w:docGrid w:type="default" w:linePitch="312" w:charSpace="2047"/>
        </w:sectPr>
      </w:pP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Party B,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uto" w:line="360"/>
        <w:jc w:val="both"/>
        <w:rPr>
          <w:rFonts w:ascii="Times New Roman" w:hAnsi="Times New Roman"/>
          <w:sz w:val="24"/>
        </w:rPr>
      </w:pPr>
      <w:r>
        <w:rPr>
          <w:rFonts w:ascii="Times New Roman" w:hAnsi="Times New Roman"/>
          <w:sz w:val="24"/>
        </w:rPr>
      </w:r>
    </w:p>
    <w:p>
      <w:pPr>
        <w:pStyle w:val="Normal"/>
        <w:keepNext w:val="true"/>
        <w:keepLines/>
        <w:bidi w:val="0"/>
        <w:spacing w:lineRule="auto" w:line="360"/>
        <w:jc w:val="center"/>
        <w:rPr>
          <w:rFonts w:ascii="Times New Roman" w:hAnsi="Times New Roman"/>
          <w:b/>
          <w:sz w:val="24"/>
        </w:rPr>
      </w:pPr>
      <w:r>
        <w:rPr>
          <w:rFonts w:ascii="Times New Roman" w:hAnsi="Times New Roman"/>
          <w:b/>
          <w:sz w:val="24"/>
        </w:rPr>
        <w:t>Part 5</w:t>
      </w:r>
    </w:p>
    <w:p>
      <w:pPr>
        <w:pStyle w:val="Normal"/>
        <w:keepNext w:val="true"/>
        <w:keepLines/>
        <w:bidi w:val="0"/>
        <w:spacing w:lineRule="auto"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The Second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 xml:space="preserve">(a) Any material breach (which, in the case of a breach capable of remedy,    remains unremedied 30 days after written notice of such breach is given to Party A by Party B) by Party A of: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uto" w:line="360"/>
        <w:ind w:hanging="2160" w:start="2160" w:end="2160"/>
        <w:jc w:val="both"/>
        <w:rPr>
          <w:rFonts w:ascii="Times New Roman" w:hAnsi="Times New Roman"/>
          <w:sz w:val="24"/>
        </w:rPr>
      </w:pPr>
      <w:r>
        <w:rPr>
          <w:rFonts w:ascii="Times New Roman" w:hAnsi="Times New Roman"/>
          <w:sz w:val="24"/>
        </w:rPr>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(b)</w:t>
        <w:tab/>
        <w:t>the occurrence with respect to Party A of any of the events specified in Sections 6.01(d) of the Credit Agreement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(c)</w:t>
        <w:tab/>
        <w:t xml:space="preserve">any breach of the covenant incorporated by reference in Section (b)(2)(B) of Part 1 of this Schedule; or </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1440" w:end="720"/>
        <w:jc w:val="both"/>
        <w:rPr>
          <w:rFonts w:ascii="Times New Roman" w:hAnsi="Times New Roman"/>
          <w:sz w:val="24"/>
        </w:rPr>
      </w:pPr>
      <w:r>
        <w:rPr>
          <w:rFonts w:ascii="Times New Roman" w:hAnsi="Times New Roman"/>
          <w:sz w:val="24"/>
        </w:rPr>
        <w:t>(d)</w:t>
        <w:tab/>
        <w:t>any sum outstanding under the Facility Agreement is declared or becomes due and payable under Section 13.2(b) thereof following the occurrence of an Event of Default thereunder.</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ind w:hanging="0" w:start="720"/>
        <w:jc w:val="both"/>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xml:space="preserve">.    An Early Termination Date shall be deemed to occur immediately on the occurrence with respect to Party A of any of the events specified in Section 6.01(e) of the Credit Agreement (subject to the grace period with respect to proceedings specified in such Section 6.01 (e) </w:t>
      </w:r>
      <w:bookmarkStart w:id="5" w:name="Redline_32_8"/>
      <w:bookmarkEnd w:id="5"/>
      <w:ins w:id="4" w:author="">
        <w:r>
          <w:rPr>
            <w:rFonts w:ascii="Times New Roman" w:hAnsi="Times New Roman"/>
            <w:strike/>
            <w:sz w:val="24"/>
          </w:rPr>
          <w:t>[</w:t>
        </w:r>
      </w:ins>
      <w:r>
        <w:rPr>
          <w:rFonts w:ascii="Times New Roman" w:hAnsi="Times New Roman"/>
          <w:sz w:val="24"/>
        </w:rPr>
        <w:t>and provided that such period shall for the purposes hereof be 30 days</w:t>
      </w:r>
      <w:ins w:id="5" w:author="">
        <w:r>
          <w:rPr>
            <w:rFonts w:ascii="Times New Roman" w:hAnsi="Times New Roman"/>
            <w:strike/>
            <w:sz w:val="24"/>
          </w:rPr>
          <w:t>])</w:t>
        </w:r>
      </w:ins>
      <w:bookmarkStart w:id="6" w:name="Redline_32_3"/>
      <w:bookmarkEnd w:id="6"/>
      <w:ins w:id="6" w:author="">
        <w:r>
          <w:rPr>
            <w:rFonts w:ascii="Times New Roman" w:hAnsi="Times New Roman"/>
            <w:b/>
            <w:sz w:val="24"/>
            <w:u w:val="double"/>
          </w:rPr>
          <w:t>)</w:t>
        </w:r>
      </w:ins>
      <w:r>
        <w:rPr>
          <w:rFonts w:ascii="Times New Roman" w:hAnsi="Times New Roman"/>
          <w:sz w:val="24"/>
        </w:rPr>
        <w:t>. 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uto"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both"/>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USD.</w:t>
      </w:r>
    </w:p>
    <w:p>
      <w:pPr>
        <w:pStyle w:val="Normal"/>
        <w:bidi w:val="0"/>
        <w:spacing w:lineRule="auto" w:line="360"/>
        <w:jc w:val="both"/>
        <w:rPr>
          <w:rFonts w:ascii="Times New Roman" w:hAnsi="Times New Roman"/>
          <w:sz w:val="24"/>
        </w:rPr>
      </w:pPr>
      <w:r>
        <w:rPr>
          <w:rFonts w:ascii="Times New Roman" w:hAnsi="Times New Roman"/>
          <w:sz w:val="24"/>
        </w:rPr>
      </w:r>
    </w:p>
    <w:p>
      <w:pPr>
        <w:pStyle w:val="Normal"/>
        <w:bidi w:val="0"/>
        <w:spacing w:lineRule="auto"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576" w:bottom="633"/>
          <w:formProt w:val="false"/>
          <w:titlePg/>
          <w:textDirection w:val="lrTb"/>
          <w:docGrid w:type="default" w:linePitch="312" w:charSpace="2047"/>
        </w:sectPr>
        <w:pStyle w:val="Normal"/>
        <w:bidi w:val="0"/>
        <w:jc w:val="both"/>
        <w:rPr>
          <w:rFonts w:ascii="Times New Roman" w:hAnsi="Times New Roman"/>
          <w:sz w:val="24"/>
        </w:rPr>
      </w:pPr>
      <w:r>
        <w:rPr>
          <w:rFonts w:ascii="Times New Roman" w:hAnsi="Times New Roman"/>
          <w:sz w:val="24"/>
        </w:rPr>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576" w:bottom="63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b/>
          <w:sz w:val="24"/>
        </w:rPr>
        <w:t>HAWAII I 125-0 TRUST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jc w:val="both"/>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tab/>
        <w:tab/>
        <w:tab/>
        <w:tab/>
        <w:tab/>
        <w:tab/>
        <w:tab/>
        <w:t>EXHIBIT B</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both"/>
        <w:rPr>
          <w:rFonts w:ascii="Times New Roman" w:hAnsi="Times New Roman"/>
          <w:sz w:val="24"/>
        </w:rPr>
      </w:pPr>
      <w:r>
        <w:rPr>
          <w:rFonts w:ascii="Times New Roman" w:hAnsi="Times New Roman"/>
          <w:sz w:val="24"/>
        </w:rPr>
        <w:tab/>
        <w:tab/>
        <w:tab/>
        <w:tab/>
        <w:tab/>
        <w:tab/>
        <w:t>THE CREDIT AGREEMENT</w:t>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center"/>
        <w:rPr>
          <w:rFonts w:ascii="Times New Roman" w:hAnsi="Times New Roman"/>
          <w:sz w:val="24"/>
        </w:rPr>
      </w:pPr>
      <w:r>
        <w:rPr>
          <w:rFonts w:ascii="Times New Roman" w:hAnsi="Times New Roman"/>
          <w:sz w:val="24"/>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ab/>
        <w:tab/>
        <w:tab/>
        <w:tab/>
        <w:tab/>
        <w:tab/>
        <w:t>EXHIBIT C</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b/>
          <w:sz w:val="24"/>
        </w:rPr>
        <w:tab/>
        <w:tab/>
        <w:tab/>
        <w:tab/>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t>1.</w:t>
        <w:tab/>
        <w:t>The ISDA Master Agreement dated as of [            }, including the Schedule, Confirmations, and other exhibits, supplements, attachments and annexes thereto and documents incorporated by reference therein (collectively the “Agreement Documentation”), between Hawaii I 125-0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both"/>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right" w:pos="9360" w:leader="none"/>
        </w:tabs>
        <w:bidi w:val="0"/>
        <w:spacing w:lineRule="auto"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576" w:bottom="63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576" w:bottom="63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[date]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576" w:bottom="63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bookmarkStart w:id="7" w:name="Redline_32_9"/>
      <w:bookmarkEnd w:id="7"/>
      <w:ins w:id="7" w:author="">
        <w:r>
          <w:rPr>
            <w:rFonts w:ascii="Times New Roman" w:hAnsi="Times New Roman"/>
            <w:strike/>
            <w:sz w:val="24"/>
          </w:rPr>
          <w:t>268748.1</w:t>
        </w:r>
      </w:ins>
      <w:r>
        <w:rPr>
          <w:rFonts w:ascii="Times New Roman" w:hAnsi="Times New Roman"/>
          <w:sz w:val="24"/>
        </w:rPr>
        <w:t xml:space="preserve"> </w:t>
      </w:r>
      <w:bookmarkStart w:id="8" w:name="Redline_32_4"/>
      <w:bookmarkEnd w:id="8"/>
      <w:ins w:id="8" w:author="">
        <w:r>
          <w:rPr>
            <w:rFonts w:ascii="Times New Roman" w:hAnsi="Times New Roman"/>
            <w:b/>
            <w:sz w:val="24"/>
            <w:u w:val="double"/>
          </w:rPr>
          <w:t>268748.2</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I/Exhibit C to Swap Schedule -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576" w:bottom="63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C:\DOCUME~1\MCFAM\LOCALS~1\TEMP\DAL_268748_1</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C:\DOCUME~1\MCFAM\LOCALS~1\TEMP\DAL_268748_2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5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576" w:bottom="63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start"/>
      <w:rPr>
        <w:sz w:val="24"/>
      </w:rPr>
    </w:pPr>
    <w:r>
      <w:rPr>
        <w:sz w:val="24"/>
      </w:rPr>
    </w:r>
  </w:p>
  <w:p>
    <w:pPr>
      <w:pStyle w:val="Normal"/>
      <w:bidi w:val="0"/>
      <w:spacing w:lineRule="auto" w:line="288"/>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305435" cy="175260"/>
              <wp:effectExtent l="0" t="0" r="0" b="0"/>
              <wp:wrapTopAndBottom/>
              <wp:docPr id="4" name="Frame9"/>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DAL:268748.2</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305435" cy="175260"/>
              <wp:effectExtent l="0" t="0" r="0" b="0"/>
              <wp:wrapTopAndBottom/>
              <wp:docPr id="5" name="Frame10"/>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A -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DAL:268748.2</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6">
              <wp:simplePos x="0" y="0"/>
              <wp:positionH relativeFrom="column">
                <wp:align>center</wp:align>
              </wp:positionH>
              <wp:positionV relativeFrom="margin">
                <wp:posOffset>0</wp:posOffset>
              </wp:positionV>
              <wp:extent cx="329565" cy="175260"/>
              <wp:effectExtent l="0" t="0" r="0" b="0"/>
              <wp:wrapTopAndBottom/>
              <wp:docPr id="1" name="Frame1"/>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16</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DAL:268748.2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2"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88"/>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329565" cy="175260"/>
              <wp:effectExtent l="0" t="0" r="0" b="0"/>
              <wp:wrapTopAndBottom/>
              <wp:docPr id="3" name="Frame5"/>
              <a:graphic xmlns:a="http://schemas.openxmlformats.org/drawingml/2006/main">
                <a:graphicData uri="http://schemas.microsoft.com/office/word/2010/wordprocessingShape">
                  <wps:wsp>
                    <wps:cNvSpPr txBox="1"/>
                    <wps:spPr>
                      <a:xfrm>
                        <a:off x="0" y="0"/>
                        <a:ext cx="3295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wps:txbx>
                    <wps:bodyPr anchor="t" lIns="0" tIns="0" rIns="0" bIns="0">
                      <a:spAutoFit/>
                    </wps:bodyPr>
                  </wps:wsp>
                </a:graphicData>
              </a:graphic>
            </wp:anchor>
          </w:drawing>
        </mc:Choice>
        <mc:Fallback>
          <w:pict>
            <v:rect fillcolor="#FFFFFF" style="position:absolute;rotation:-0;width:25.95pt;height:13.8pt;mso-wrap-distance-left:0pt;mso-wrap-distance-right:0pt;mso-wrap-distance-top:0pt;mso-wrap-distance-bottom:0pt;margin-top:0pt;mso-position-vertical-relative:margin;margin-left:221.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 xml:space="preserve"> -</w:t>
                    </w:r>
                  </w:p>
                </w:txbxContent>
              </v:textbox>
              <w10:wrap type="topAndBottom"/>
            </v:rect>
          </w:pict>
        </mc:Fallback>
      </mc:AlternateContent>
    </w:r>
  </w:p>
  <w:p>
    <w:pPr>
      <w:pStyle w:val="Normal"/>
      <w:bidi w:val="0"/>
      <w:spacing w:lineRule="auto" w:line="288"/>
      <w:jc w:val="both"/>
      <w:rPr>
        <w:rFonts w:ascii="Times New Roman" w:hAnsi="Times New Roman"/>
        <w:b/>
        <w:sz w:val="18"/>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DAL:268748.2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p>
    <w:pPr>
      <w:pStyle w:val="Normal"/>
      <w:bidi w:val="0"/>
      <w:jc w:val="both"/>
      <w:rPr>
        <w:rFonts w:ascii="Times New Roman" w:hAnsi="Times New Roman"/>
        <w:sz w:val="14"/>
      </w:rPr>
    </w:pPr>
    <w:r>
      <w:rPr>
        <w:rFonts w:ascii="Times New Roman" w:hAnsi="Times New Roman"/>
        <w:sz w:val="14"/>
      </w:rPr>
      <w:t>DAL:268748.2</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