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t"/>
        <w:widowControl/>
        <w:bidi w:val="0"/>
        <w:spacing w:before="0" w:after="0"/>
        <w:jc w:val="end"/>
        <w:rPr>
          <w:rFonts w:ascii="Courier New" w:hAnsi="Courier New"/>
        </w:rPr>
      </w:pPr>
      <w:r>
        <w:rPr/>
      </w:r>
    </w:p>
    <w:p>
      <w:pPr>
        <w:pStyle w:val="Normal"/>
        <w:widowControl/>
        <w:bidi w:val="0"/>
        <w:jc w:val="center"/>
        <w:rPr>
          <w:rFonts w:ascii="Times New Roman" w:hAnsi="Times New Roman"/>
        </w:rPr>
      </w:pPr>
      <w:r>
        <w:rPr>
          <w:rFonts w:ascii="Times New Roman" w:hAnsi="Times New Roman"/>
        </w:rPr>
        <w:t>ALLEGHENY ENERGY SUPPLY COMPANY, LLC</w:t>
      </w:r>
    </w:p>
    <w:p>
      <w:pPr>
        <w:pStyle w:val="Normal"/>
        <w:widowControl/>
        <w:bidi w:val="0"/>
        <w:jc w:val="center"/>
        <w:rPr>
          <w:rFonts w:ascii="Times New Roman" w:hAnsi="Times New Roman"/>
        </w:rPr>
      </w:pPr>
      <w:r>
        <w:rPr>
          <w:rFonts w:ascii="Times New Roman" w:hAnsi="Times New Roman"/>
        </w:rPr>
        <w:t>Roseytown Road</w:t>
      </w:r>
    </w:p>
    <w:p>
      <w:pPr>
        <w:pStyle w:val="Normal"/>
        <w:widowControl/>
        <w:bidi w:val="0"/>
        <w:jc w:val="center"/>
        <w:rPr>
          <w:rFonts w:ascii="Times New Roman" w:hAnsi="Times New Roman"/>
        </w:rPr>
      </w:pPr>
      <w:r>
        <w:rPr>
          <w:rFonts w:ascii="Times New Roman" w:hAnsi="Times New Roman"/>
        </w:rPr>
        <w:t>RR12 Box 1000</w:t>
      </w:r>
    </w:p>
    <w:p>
      <w:pPr>
        <w:pStyle w:val="Normal"/>
        <w:widowControl/>
        <w:bidi w:val="0"/>
        <w:jc w:val="center"/>
        <w:rPr>
          <w:rFonts w:ascii="Times New Roman" w:hAnsi="Times New Roman"/>
        </w:rPr>
      </w:pPr>
      <w:r>
        <w:rPr>
          <w:rFonts w:ascii="Times New Roman" w:hAnsi="Times New Roman"/>
        </w:rPr>
        <w:t>Greensburg, Pennsylvania, 15601</w:t>
      </w:r>
    </w:p>
    <w:p>
      <w:pPr>
        <w:pStyle w:val="Normal"/>
        <w:widowControl/>
        <w:bidi w:val="0"/>
        <w:jc w:val="center"/>
        <w:rPr>
          <w:rFonts w:ascii="Times New Roman" w:hAnsi="Times New Roman"/>
        </w:rPr>
      </w:pPr>
      <w:r>
        <w:rPr>
          <w:rFonts w:ascii="Times New Roman" w:hAnsi="Times New Roman"/>
        </w:rPr>
      </w:r>
    </w:p>
    <w:p>
      <w:pPr>
        <w:pStyle w:val="Normal"/>
        <w:widowControl/>
        <w:bidi w:val="0"/>
        <w:jc w:val="center"/>
        <w:rPr>
          <w:rFonts w:ascii="Times New Roman" w:hAnsi="Times New Roman"/>
        </w:rPr>
      </w:pPr>
      <w:r>
        <w:rPr>
          <w:rFonts w:ascii="Times New Roman" w:hAnsi="Times New Roman"/>
        </w:rPr>
      </w:r>
    </w:p>
    <w:p>
      <w:pPr>
        <w:pStyle w:val="Normal"/>
        <w:widowControl/>
        <w:bidi w:val="0"/>
        <w:jc w:val="center"/>
        <w:rPr>
          <w:rFonts w:ascii="Times New Roman" w:hAnsi="Times New Roman"/>
        </w:rPr>
      </w:pPr>
      <w:r>
        <w:rPr>
          <w:rFonts w:ascii="Times New Roman" w:hAnsi="Times New Roman"/>
        </w:rPr>
      </w:r>
    </w:p>
    <w:p>
      <w:pPr>
        <w:pStyle w:val="Normal"/>
        <w:widowControl/>
        <w:bidi w:val="0"/>
        <w:jc w:val="center"/>
        <w:rPr>
          <w:rFonts w:ascii="Times New Roman" w:hAnsi="Times New Roman"/>
        </w:rPr>
      </w:pPr>
      <w:r>
        <w:rPr>
          <w:rFonts w:ascii="Times New Roman" w:hAnsi="Times New Roman"/>
        </w:rPr>
      </w:r>
    </w:p>
    <w:p>
      <w:pPr>
        <w:pStyle w:val="Normal"/>
        <w:widowControl/>
        <w:bidi w:val="0"/>
        <w:jc w:val="end"/>
        <w:rPr>
          <w:rFonts w:ascii="Times New Roman" w:hAnsi="Times New Roman"/>
        </w:rPr>
      </w:pPr>
      <w:r>
        <w:rPr>
          <w:rFonts w:ascii="Times New Roman" w:hAnsi="Times New Roman"/>
        </w:rPr>
        <w:t>March 16, 2001</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ENRON NORTH AMERICA CORP.</w:t>
      </w:r>
    </w:p>
    <w:p>
      <w:pPr>
        <w:pStyle w:val="Normal"/>
        <w:widowControl/>
        <w:bidi w:val="0"/>
        <w:jc w:val="start"/>
        <w:rPr>
          <w:rFonts w:ascii="Times New Roman" w:hAnsi="Times New Roman"/>
        </w:rPr>
      </w:pPr>
      <w:r>
        <w:rPr>
          <w:rFonts w:ascii="Times New Roman" w:hAnsi="Times New Roman"/>
        </w:rPr>
        <w:t>1400 Smith Street</w:t>
      </w:r>
    </w:p>
    <w:p>
      <w:pPr>
        <w:pStyle w:val="Normal"/>
        <w:widowControl/>
        <w:bidi w:val="0"/>
        <w:jc w:val="start"/>
        <w:rPr>
          <w:rFonts w:ascii="Times New Roman" w:hAnsi="Times New Roman"/>
        </w:rPr>
      </w:pPr>
      <w:r>
        <w:rPr>
          <w:rFonts w:ascii="Times New Roman" w:hAnsi="Times New Roman"/>
        </w:rPr>
        <w:t>Houston, TX    77002-7361</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strike/>
        </w:rPr>
        <w:t>Attn: [Shari Stack, Senior Counsel]</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Dear Sirs:</w:t>
      </w:r>
    </w:p>
    <w:p>
      <w:pPr>
        <w:pStyle w:val="Normal"/>
        <w:widowControl/>
        <w:bidi w:val="0"/>
        <w:jc w:val="start"/>
        <w:rPr>
          <w:rFonts w:ascii="Times New Roman" w:hAnsi="Times New Roman"/>
        </w:rPr>
      </w:pPr>
      <w:r>
        <w:rPr>
          <w:rFonts w:ascii="Times New Roman" w:hAnsi="Times New Roman"/>
        </w:rPr>
      </w:r>
    </w:p>
    <w:p>
      <w:pPr>
        <w:pStyle w:val="Normal"/>
        <w:widowControl/>
        <w:bidi w:val="0"/>
        <w:ind w:firstLine="720"/>
        <w:jc w:val="start"/>
        <w:rPr>
          <w:rFonts w:ascii="Times New Roman" w:hAnsi="Times New Roman"/>
        </w:rPr>
      </w:pPr>
      <w:r>
        <w:rPr>
          <w:rFonts w:ascii="Times New Roman" w:hAnsi="Times New Roman"/>
        </w:rPr>
        <w:t>This letter is to confirm the mutual understandings and agreements of Allegheny Energy Supply Company, LLC (“</w:t>
      </w:r>
      <w:r>
        <w:rPr>
          <w:rFonts w:ascii="Times New Roman" w:hAnsi="Times New Roman"/>
          <w:u w:val="single"/>
        </w:rPr>
        <w:t>Supply</w:t>
      </w:r>
      <w:r>
        <w:rPr>
          <w:rFonts w:ascii="Times New Roman" w:hAnsi="Times New Roman"/>
        </w:rPr>
        <w:t>”), Allegheny Energy Global Markets, LLC (“</w:t>
      </w:r>
      <w:r>
        <w:rPr>
          <w:rFonts w:ascii="Times New Roman" w:hAnsi="Times New Roman"/>
          <w:u w:val="single"/>
        </w:rPr>
        <w:t>Global</w:t>
      </w:r>
      <w:r>
        <w:rPr>
          <w:rFonts w:ascii="Times New Roman" w:hAnsi="Times New Roman"/>
        </w:rPr>
        <w:t xml:space="preserve">”), Enron North America </w:t>
      </w:r>
      <w:r>
        <w:rPr>
          <w:rFonts w:ascii="Times New Roman" w:hAnsi="Times New Roman"/>
          <w:b/>
          <w:u w:val="double"/>
        </w:rPr>
        <w:t>Corp.</w:t>
      </w:r>
      <w:r>
        <w:rPr>
          <w:rFonts w:ascii="Times New Roman" w:hAnsi="Times New Roman"/>
        </w:rPr>
        <w:t xml:space="preserve"> (the “</w:t>
      </w:r>
      <w:r>
        <w:rPr>
          <w:rFonts w:ascii="Times New Roman" w:hAnsi="Times New Roman"/>
          <w:u w:val="single"/>
        </w:rPr>
        <w:t>Counterparty</w:t>
      </w:r>
      <w:r>
        <w:rPr>
          <w:rFonts w:ascii="Times New Roman" w:hAnsi="Times New Roman"/>
        </w:rPr>
        <w:t>”) and Enron Corp. (the “</w:t>
      </w:r>
      <w:r>
        <w:rPr>
          <w:rFonts w:ascii="Times New Roman" w:hAnsi="Times New Roman"/>
          <w:u w:val="single"/>
        </w:rPr>
        <w:t>Guarantor</w:t>
      </w:r>
      <w:r>
        <w:rPr>
          <w:rFonts w:ascii="Times New Roman" w:hAnsi="Times New Roman"/>
        </w:rPr>
        <w:t>”) regarding certain terms and conditions applicable to transactions between them which are subject to an ISDA Master Agreement (Multicurrency-Cross Border) (the “ISDA Master Agreement”).</w:t>
      </w:r>
    </w:p>
    <w:p>
      <w:pPr>
        <w:pStyle w:val="Normal"/>
        <w:widowControl/>
        <w:bidi w:val="0"/>
        <w:ind w:firstLine="720"/>
        <w:jc w:val="start"/>
        <w:rPr>
          <w:rFonts w:ascii="Times New Roman" w:hAnsi="Times New Roman"/>
        </w:rPr>
      </w:pPr>
      <w:r>
        <w:rPr>
          <w:rFonts w:ascii="Times New Roman" w:hAnsi="Times New Roman"/>
        </w:rPr>
      </w:r>
    </w:p>
    <w:p>
      <w:pPr>
        <w:pStyle w:val="Normal"/>
        <w:widowControl/>
        <w:bidi w:val="0"/>
        <w:ind w:firstLine="720"/>
        <w:jc w:val="start"/>
        <w:rPr>
          <w:rFonts w:ascii="Times New Roman" w:hAnsi="Times New Roman"/>
        </w:rPr>
      </w:pPr>
      <w:r>
        <w:rPr>
          <w:rFonts w:ascii="Times New Roman" w:hAnsi="Times New Roman"/>
        </w:rPr>
        <w:t>Counterparty acknowledges that Global, a subsidiary of Supply, has acquired the assets of Merrill Lynch Capital Services, Inc. (“</w:t>
      </w:r>
      <w:r>
        <w:rPr>
          <w:rFonts w:ascii="Times New Roman" w:hAnsi="Times New Roman"/>
          <w:u w:val="single"/>
        </w:rPr>
        <w:t>MLCS</w:t>
      </w:r>
      <w:r>
        <w:rPr>
          <w:rFonts w:ascii="Times New Roman" w:hAnsi="Times New Roman"/>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w:t>
      </w:r>
      <w:r>
        <w:rPr>
          <w:rFonts w:ascii="Times New Roman" w:hAnsi="Times New Roman"/>
          <w:strike/>
        </w:rPr>
        <w:t xml:space="preserve">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w:t>
      </w:r>
      <w:r>
        <w:rPr>
          <w:rFonts w:ascii="Times New Roman" w:hAnsi="Times New Roman"/>
        </w:rPr>
        <w:t>    In order to effectuate these arrangements, Supply, Global, Counterparty and Guarantor hereby agree as follows:</w:t>
      </w:r>
    </w:p>
    <w:p>
      <w:pPr>
        <w:pStyle w:val="Normal"/>
        <w:widowControl/>
        <w:bidi w:val="0"/>
        <w:ind w:firstLine="720"/>
        <w:jc w:val="start"/>
        <w:rPr>
          <w:rFonts w:ascii="Times New Roman" w:hAnsi="Times New Roman"/>
        </w:rPr>
      </w:pPr>
      <w:r>
        <w:rPr>
          <w:rFonts w:ascii="Times New Roman" w:hAnsi="Times New Roman"/>
        </w:rPr>
      </w:r>
    </w:p>
    <w:p>
      <w:pPr>
        <w:pStyle w:val="Normal"/>
        <w:widowControl/>
        <w:numPr>
          <w:ilvl w:val="0"/>
          <w:numId w:val="1"/>
        </w:numPr>
        <w:tabs>
          <w:tab w:val="clear" w:pos="720"/>
          <w:tab w:val="left" w:pos="360" w:leader="none"/>
        </w:tabs>
        <w:bidi w:val="0"/>
        <w:jc w:val="start"/>
        <w:rPr>
          <w:rFonts w:ascii="Times New Roman" w:hAnsi="Times New Roman"/>
        </w:rPr>
      </w:pPr>
      <w:r>
        <w:rPr>
          <w:rFonts w:ascii="Times New Roman" w:hAnsi="Times New Roman"/>
        </w:rPr>
        <w:t xml:space="preserve">Supply and Counterparty agree to use all reasonable efforts to negotiate, execute and deliver </w:t>
      </w:r>
      <w:r>
        <w:rPr>
          <w:rFonts w:ascii="Times New Roman" w:hAnsi="Times New Roman"/>
          <w:b/>
          <w:u w:val="double"/>
        </w:rPr>
        <w:t>[by April 6, 2001]</w:t>
      </w:r>
      <w:r>
        <w:rPr>
          <w:rFonts w:ascii="Times New Roman" w:hAnsi="Times New Roman"/>
        </w:rPr>
        <w:t xml:space="preserve"> a form of ISDA Master Agreement on terms similar to those contained in the agreement between MLCS and Enron Risk Management Services Corp. dated December 2, 1992 and attached hereto </w:t>
      </w:r>
      <w:r>
        <w:rPr>
          <w:rFonts w:ascii="Times New Roman" w:hAnsi="Times New Roman"/>
          <w:b/>
          <w:u w:val="double"/>
        </w:rPr>
        <w:t>as Exhibit A</w:t>
      </w:r>
      <w:r>
        <w:rPr>
          <w:rFonts w:ascii="Times New Roman" w:hAnsi="Times New Roman"/>
        </w:rPr>
        <mc:AlternateContent>
          <mc:Choice Requires="wps">
            <w:drawing>
              <wp:anchor behindDoc="0" distT="0" distB="0" distL="0" distR="0"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715" b="5715"/>
                <wp:wrapNone/>
                <wp:docPr id="1" name="Shape1"/>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round/>
                        </a:ln>
                      </wps:spPr>
                      <wps:style>
                        <a:lnRef idx="0"/>
                        <a:fillRef idx="0"/>
                        <a:effectRef idx="0"/>
                        <a:fontRef idx="minor"/>
                      </wps:style>
                      <wps:bodyPr/>
                    </wps:wsp>
                  </a:graphicData>
                </a:graphic>
              </wp:anchor>
            </w:drawing>
          </mc:Choice>
          <mc:Fallback>
            <w:pict/>
          </mc:Fallback>
        </mc:AlternateContent>
      </w:r>
      <w:r>
        <w:rPr>
          <w:rFonts w:ascii="Times New Roman" w:hAnsi="Times New Roman"/>
        </w:rPr>
        <w:t xml:space="preserve">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widowControl/>
        <w:bidi w:val="0"/>
        <w:ind w:hanging="0" w:start="720"/>
        <w:jc w:val="start"/>
        <w:rPr>
          <w:rFonts w:ascii="Times New Roman" w:hAnsi="Times New Roman"/>
        </w:rPr>
      </w:pPr>
      <w:r>
        <w:rPr>
          <w:rFonts w:ascii="Times New Roman" w:hAnsi="Times New Roman"/>
        </w:rPr>
      </w:r>
    </w:p>
    <w:p>
      <w:pPr>
        <w:pStyle w:val="Normal"/>
        <w:widowControl/>
        <w:numPr>
          <w:ilvl w:val="0"/>
          <w:numId w:val="2"/>
        </w:numPr>
        <w:tabs>
          <w:tab w:val="clear" w:pos="720"/>
          <w:tab w:val="left" w:pos="360" w:leader="none"/>
        </w:tabs>
        <w:bidi w:val="0"/>
        <w:jc w:val="start"/>
        <w:rPr>
          <w:rFonts w:ascii="Times New Roman" w:hAnsi="Times New Roman"/>
        </w:rPr>
      </w:pPr>
      <w:r>
        <w:rPr>
          <w:rFonts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widowControl/>
        <w:bidi w:val="0"/>
        <w:ind w:hanging="0" w:start="720"/>
        <w:jc w:val="start"/>
        <w:rPr>
          <w:rFonts w:ascii="Times New Roman" w:hAnsi="Times New Roman"/>
        </w:rPr>
      </w:pPr>
      <w:r>
        <w:rPr>
          <w:rFonts w:ascii="Times New Roman" w:hAnsi="Times New Roman"/>
        </w:rPr>
      </w:r>
    </w:p>
    <w:p>
      <w:pPr>
        <w:pStyle w:val="Normal"/>
        <w:widowControl/>
        <w:bidi w:val="0"/>
        <w:ind w:hanging="0" w:start="720"/>
        <w:jc w:val="start"/>
        <w:rPr>
          <w:rFonts w:ascii="Times New Roman" w:hAnsi="Times New Roman"/>
        </w:rPr>
      </w:pPr>
      <w:r>
        <w:rPr>
          <w:rFonts w:ascii="Times New Roman" w:hAnsi="Times New Roman"/>
          <w:strike/>
        </w:rPr>
        <w:t xml:space="preserve">The parties agree that all actions permitted or required to be taken by Supply under the New Agreement shall be taken by Global as the advisor to Supply with full authority to act on behalf of Supply with respect to the New Agreement in all respects. Without limitation of the foregoing, Supply hereby authorizes and instructs Counterparty to act or refrain from acting under the New Agreement upon the instruction of Global, and to accept notices or other information from and to provide notices to, Global under the New Agreement, all to the same extent and with the same force and effect as if such actions or instructions were taken or given, or such notices were provided to or by Supply directly. </w:t>
      </w:r>
    </w:p>
    <w:p>
      <w:pPr>
        <w:pStyle w:val="Normal"/>
        <w:widowControl/>
        <w:bidi w:val="0"/>
        <w:ind w:hanging="0" w:start="720"/>
        <w:jc w:val="start"/>
        <w:rPr>
          <w:rFonts w:ascii="Times New Roman" w:hAnsi="Times New Roman"/>
        </w:rPr>
      </w:pPr>
      <w:r>
        <w:rPr>
          <w:rFonts w:ascii="Times New Roman" w:hAnsi="Times New Roman"/>
        </w:rPr>
      </w:r>
    </w:p>
    <w:p>
      <w:pPr>
        <w:pStyle w:val="Normal"/>
        <w:widowControl/>
        <w:numPr>
          <w:ilvl w:val="0"/>
          <w:numId w:val="3"/>
        </w:numPr>
        <w:tabs>
          <w:tab w:val="clear" w:pos="720"/>
          <w:tab w:val="left" w:pos="360" w:leader="none"/>
        </w:tabs>
        <w:bidi w:val="0"/>
        <w:jc w:val="start"/>
        <w:rPr>
          <w:rFonts w:ascii="Times New Roman" w:hAnsi="Times New Roman"/>
        </w:rPr>
      </w:pPr>
      <w:r>
        <w:rPr>
          <w:rFonts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widowControl/>
        <w:bidi w:val="0"/>
        <w:jc w:val="start"/>
        <w:rPr>
          <w:rFonts w:ascii="Times New Roman" w:hAnsi="Times New Roman"/>
        </w:rPr>
      </w:pPr>
      <w:r>
        <w:rPr>
          <w:rFonts w:ascii="Times New Roman" w:hAnsi="Times New Roman"/>
        </w:rPr>
      </w:r>
    </w:p>
    <w:p>
      <w:pPr>
        <w:pStyle w:val="Normal"/>
        <w:widowControl/>
        <w:numPr>
          <w:ilvl w:val="0"/>
          <w:numId w:val="4"/>
        </w:numPr>
        <w:tabs>
          <w:tab w:val="clear" w:pos="720"/>
          <w:tab w:val="left" w:pos="2160" w:leader="none"/>
        </w:tabs>
        <w:bidi w:val="0"/>
        <w:ind w:hanging="720" w:start="2160"/>
        <w:jc w:val="start"/>
        <w:rPr>
          <w:rFonts w:ascii="Times New Roman" w:hAnsi="Times New Roman"/>
        </w:rPr>
      </w:pPr>
      <w:r>
        <w:rPr>
          <w:rFonts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5"/>
        </w:numPr>
        <w:tabs>
          <w:tab w:val="clear" w:pos="720"/>
          <w:tab w:val="left" w:pos="2160" w:leader="none"/>
        </w:tabs>
        <w:bidi w:val="0"/>
        <w:ind w:hanging="720" w:start="2160"/>
        <w:jc w:val="start"/>
        <w:rPr>
          <w:rFonts w:ascii="Times New Roman" w:hAnsi="Times New Roman"/>
          <w:b/>
          <w:u w:val="double"/>
        </w:rPr>
      </w:pPr>
      <w:r>
        <w:rPr>
          <w:rFonts w:ascii="Times New Roman" w:hAnsi="Times New Roman"/>
        </w:rPr>
        <w:t xml:space="preserve">In paragraph (a) of Part 1 of the Schedule to the Merrill Agreement (the “Schedule”), the references to “Merrill Lynch &amp; Co., Inc.” and “ML&amp;Co.” are deleted and replaced by the word “None”, and </w:t>
      </w:r>
      <w:r>
        <w:rPr>
          <w:rFonts w:ascii="Times New Roman" w:hAnsi="Times New Roman"/>
          <w:strike/>
        </w:rPr>
        <w:t>the words “and Enron Power Marketing, Inc.” are added after</w:t>
      </w:r>
      <w:r>
        <w:rPr>
          <w:rFonts w:ascii="Times New Roman" w:hAnsi="Times New Roman"/>
        </w:rPr>
        <w:t xml:space="preserve"> the references to Enron Corp. and Enron </w:t>
      </w:r>
      <w:r>
        <w:rPr>
          <w:rFonts w:ascii="Times New Roman" w:hAnsi="Times New Roman"/>
          <w:b/>
          <w:u w:val="double"/>
        </w:rPr>
        <w:t>are deleted and replaced by the word “None”.</w:t>
      </w:r>
    </w:p>
    <w:p>
      <w:pPr>
        <w:pStyle w:val="Normal"/>
        <w:widowControl/>
        <w:bidi w:val="0"/>
        <w:ind w:hanging="0" w:start="1440"/>
        <w:jc w:val="start"/>
        <w:rPr>
          <w:rFonts w:ascii="Times New Roman" w:hAnsi="Times New Roman"/>
          <w:b/>
          <w:u w:val="double"/>
        </w:rPr>
      </w:pPr>
      <w:r>
        <w:rPr>
          <w:rFonts w:ascii="Times New Roman" w:hAnsi="Times New Roman"/>
          <w:b/>
          <w:u w:val="double"/>
        </w:rPr>
      </w:r>
    </w:p>
    <w:p>
      <w:pPr>
        <w:pStyle w:val="Normal"/>
        <w:widowControl/>
        <w:numPr>
          <w:ilvl w:val="0"/>
          <w:numId w:val="6"/>
        </w:numPr>
        <w:tabs>
          <w:tab w:val="clear" w:pos="720"/>
          <w:tab w:val="left" w:pos="2160" w:leader="none"/>
        </w:tabs>
        <w:bidi w:val="0"/>
        <w:ind w:hanging="720" w:start="2160"/>
        <w:jc w:val="start"/>
        <w:rPr>
          <w:rFonts w:ascii="Times New Roman" w:hAnsi="Times New Roman"/>
          <w:b/>
          <w:u w:val="double"/>
        </w:rPr>
      </w:pPr>
      <w:r>
        <w:rPr>
          <w:rFonts w:ascii="Times New Roman" w:hAnsi="Times New Roman"/>
          <w:b/>
          <w:u w:val="double"/>
        </w:rPr>
        <w:t>The definition of “Threshold Amount” in Part 1(c) of the Schedule is deleted and replaced with the following:</w:t>
      </w:r>
      <w:r>
        <w:rPr>
          <w:rFonts w:ascii="Times New Roman" w:hAnsi="Times New Roman"/>
          <w:b/>
        </w:rPr>
        <w:t xml:space="preserve"> </w:t>
      </w:r>
      <w:r>
        <w:rPr>
          <w:rFonts w:ascii="Times New Roman" w:hAnsi="Times New Roman"/>
          <w:b/>
          <w:u w:val="double"/>
        </w:rPr>
        <w:t>“Threshold Amount”</w:t>
      </w:r>
      <w:r>
        <w:rPr>
          <w:rFonts w:ascii="Times New Roman" w:hAnsi="Times New Roman"/>
        </w:rPr>
        <w:t xml:space="preserve"> </w:t>
      </w:r>
      <w:r>
        <w:rPr>
          <w:rFonts w:ascii="Times New Roman" w:hAnsi="Times New Roman"/>
          <w:b/>
          <w:u w:val="double"/>
        </w:rPr>
        <w:t>means:    with respect to Party A, U.S. $100,000,000 (or its equivalent in another currency); with respect to Party A’s Credit Support Provider, U.S. $100,000,000 (or its equivalent in another currency); and with respect to Party B, U.S. $50,000,000 (or its equivalent in another currency).”</w:t>
      </w:r>
    </w:p>
    <w:p>
      <w:pPr>
        <w:pStyle w:val="Normal"/>
        <w:widowControl/>
        <w:bidi w:val="0"/>
        <w:ind w:hanging="0" w:start="1440"/>
        <w:jc w:val="start"/>
        <w:rPr>
          <w:rFonts w:ascii="Times New Roman" w:hAnsi="Times New Roman"/>
          <w:b/>
          <w:sz w:val="22"/>
          <w:u w:val="double"/>
        </w:rPr>
      </w:pPr>
      <w:r>
        <w:rPr>
          <w:rFonts w:ascii="Times New Roman" w:hAnsi="Times New Roman"/>
          <w:b/>
          <w:sz w:val="22"/>
          <w:u w:val="double"/>
        </w:rPr>
      </w:r>
    </w:p>
    <w:p>
      <w:pPr>
        <w:pStyle w:val="Normal"/>
        <w:widowControl/>
        <w:numPr>
          <w:ilvl w:val="0"/>
          <w:numId w:val="7"/>
        </w:numPr>
        <w:tabs>
          <w:tab w:val="clear" w:pos="720"/>
          <w:tab w:val="left" w:pos="2160" w:leader="none"/>
        </w:tabs>
        <w:bidi w:val="0"/>
        <w:ind w:hanging="720" w:start="2160"/>
        <w:jc w:val="start"/>
        <w:rPr>
          <w:rFonts w:ascii="Times New Roman" w:hAnsi="Times New Roman"/>
        </w:rPr>
      </w:pPr>
      <w:r>
        <w:rPr>
          <w:rFonts w:ascii="Times New Roman" w:hAnsi="Times New Roman"/>
          <w:b/>
          <w:u w:val="double"/>
        </w:rPr>
        <w:t>Part I, paragraph (i)(i) is amended to read: “Market Quotation will apply to any Transaction with a Termination Date two years or less from the Early Termination Date; Loss will apply to any other Transaction.”</w:t>
      </w:r>
      <w:r>
        <w:rPr>
          <w:rFonts w:ascii="Times New Roman" w:hAnsi="Times New Roman"/>
          <w:strike/>
        </w:rPr>
        <w:t>.</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8"/>
        </w:numPr>
        <w:tabs>
          <w:tab w:val="clear" w:pos="720"/>
          <w:tab w:val="left" w:pos="2160" w:leader="none"/>
        </w:tabs>
        <w:bidi w:val="0"/>
        <w:ind w:hanging="720" w:start="2160"/>
        <w:jc w:val="start"/>
        <w:rPr>
          <w:rFonts w:ascii="Times New Roman" w:hAnsi="Times New Roman"/>
        </w:rPr>
      </w:pPr>
      <w:r>
        <w:rPr>
          <w:rFonts w:ascii="Times New Roman" w:hAnsi="Times New Roman"/>
        </w:rPr>
        <w:t>The references to ML&amp;Co. in Part 3(b) are replaced by the words “Party A”, and the reference to “Party A” in the row which refers to the Guaranty is deleted.</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9"/>
        </w:numPr>
        <w:tabs>
          <w:tab w:val="clear" w:pos="720"/>
          <w:tab w:val="left" w:pos="2160" w:leader="none"/>
        </w:tabs>
        <w:bidi w:val="0"/>
        <w:ind w:hanging="720" w:start="2160"/>
        <w:jc w:val="start"/>
        <w:rPr>
          <w:rFonts w:ascii="Times New Roman" w:hAnsi="Times New Roman"/>
        </w:rPr>
      </w:pPr>
      <w:r>
        <w:rPr>
          <w:rFonts w:ascii="Times New Roman" w:hAnsi="Times New Roman"/>
        </w:rPr>
        <w:t>The notice information of MLCS as Party A in Part 4(a) shall be replaced with the following (or as otherwise notified to Counterparty by Supply):</w:t>
      </w:r>
    </w:p>
    <w:p>
      <w:pPr>
        <w:pStyle w:val="Normal"/>
        <w:widowControl/>
        <w:bidi w:val="0"/>
        <w:ind w:hanging="0" w:start="2880"/>
        <w:jc w:val="start"/>
        <w:rPr>
          <w:rFonts w:ascii="Times New Roman" w:hAnsi="Times New Roman"/>
        </w:rPr>
      </w:pPr>
      <w:r>
        <w:rPr>
          <w:rFonts w:ascii="Times New Roman" w:hAnsi="Times New Roman"/>
        </w:rPr>
      </w:r>
    </w:p>
    <w:p>
      <w:pPr>
        <w:pStyle w:val="Normal"/>
        <w:widowControl/>
        <w:bidi w:val="0"/>
        <w:ind w:hanging="1440" w:start="3600"/>
        <w:jc w:val="start"/>
        <w:rPr>
          <w:rFonts w:ascii="Times New Roman" w:hAnsi="Times New Roman"/>
        </w:rPr>
      </w:pPr>
      <w:r>
        <w:rPr>
          <w:rFonts w:ascii="Times New Roman" w:hAnsi="Times New Roman"/>
        </w:rPr>
        <w:tab/>
        <w:t>Allegheny Energy Supply Company, LLC</w:t>
      </w:r>
    </w:p>
    <w:p>
      <w:pPr>
        <w:pStyle w:val="Normal"/>
        <w:widowControl/>
        <w:bidi w:val="0"/>
        <w:ind w:hanging="0" w:start="3600"/>
        <w:jc w:val="start"/>
        <w:rPr>
          <w:rFonts w:ascii="Times New Roman" w:hAnsi="Times New Roman"/>
        </w:rPr>
      </w:pPr>
      <w:r>
        <w:rPr>
          <w:rFonts w:ascii="Times New Roman" w:hAnsi="Times New Roman"/>
        </w:rPr>
        <w:t>Roseytown Road</w:t>
      </w:r>
    </w:p>
    <w:p>
      <w:pPr>
        <w:pStyle w:val="Normal"/>
        <w:widowControl/>
        <w:bidi w:val="0"/>
        <w:ind w:hanging="0" w:start="3600"/>
        <w:jc w:val="start"/>
        <w:rPr>
          <w:rFonts w:ascii="Times New Roman" w:hAnsi="Times New Roman"/>
        </w:rPr>
      </w:pPr>
      <w:r>
        <w:rPr>
          <w:rFonts w:ascii="Times New Roman" w:hAnsi="Times New Roman"/>
        </w:rPr>
        <w:t>RR12 Box 1000</w:t>
      </w:r>
    </w:p>
    <w:p>
      <w:pPr>
        <w:pStyle w:val="Normal"/>
        <w:widowControl/>
        <w:bidi w:val="0"/>
        <w:ind w:hanging="0" w:start="3600"/>
        <w:jc w:val="start"/>
        <w:rPr>
          <w:rFonts w:ascii="Times New Roman" w:hAnsi="Times New Roman"/>
        </w:rPr>
      </w:pPr>
      <w:r>
        <w:rPr>
          <w:rFonts w:ascii="Times New Roman" w:hAnsi="Times New Roman"/>
        </w:rPr>
        <w:t>Greensburg, Pennsylvania, 15601</w:t>
      </w:r>
    </w:p>
    <w:p>
      <w:pPr>
        <w:pStyle w:val="Normal"/>
        <w:widowControl/>
        <w:bidi w:val="0"/>
        <w:ind w:hanging="0" w:start="3600"/>
        <w:jc w:val="start"/>
        <w:rPr>
          <w:rFonts w:ascii="Times New Roman" w:hAnsi="Times New Roman"/>
        </w:rPr>
      </w:pPr>
      <w:r>
        <w:rPr>
          <w:rFonts w:ascii="Times New Roman" w:hAnsi="Times New Roman"/>
        </w:rPr>
        <w:t>ATTN: Contract Administration</w:t>
      </w:r>
    </w:p>
    <w:p>
      <w:pPr>
        <w:pStyle w:val="Normal"/>
        <w:widowControl/>
        <w:bidi w:val="0"/>
        <w:ind w:hanging="0" w:start="3600"/>
        <w:jc w:val="start"/>
        <w:rPr>
          <w:rFonts w:ascii="Times New Roman" w:hAnsi="Times New Roman"/>
        </w:rPr>
      </w:pPr>
      <w:r>
        <w:rPr>
          <w:rFonts w:ascii="Times New Roman" w:hAnsi="Times New Roman"/>
        </w:rPr>
        <w:t>Phone: (724) 853-3777</w:t>
      </w:r>
    </w:p>
    <w:p>
      <w:pPr>
        <w:pStyle w:val="Normal"/>
        <w:widowControl/>
        <w:bidi w:val="0"/>
        <w:ind w:hanging="0" w:start="3600"/>
        <w:jc w:val="start"/>
        <w:rPr>
          <w:rFonts w:ascii="Times New Roman" w:hAnsi="Times New Roman"/>
        </w:rPr>
      </w:pPr>
      <w:r>
        <w:rPr>
          <w:rFonts w:ascii="Times New Roman" w:hAnsi="Times New Roman"/>
        </w:rPr>
        <w:t>Fax:</w:t>
        <w:tab/>
        <w:t>(724) 853-3784</w:t>
      </w:r>
    </w:p>
    <w:p>
      <w:pPr>
        <w:pStyle w:val="Normal"/>
        <w:widowControl/>
        <w:bidi w:val="0"/>
        <w:jc w:val="start"/>
        <w:rPr>
          <w:rFonts w:ascii="Times New Roman" w:hAnsi="Times New Roman"/>
        </w:rPr>
      </w:pPr>
      <w:r>
        <w:rPr>
          <w:rFonts w:ascii="Times New Roman" w:hAnsi="Times New Roman"/>
        </w:rPr>
      </w:r>
    </w:p>
    <w:p>
      <w:pPr>
        <w:pStyle w:val="Normal"/>
        <w:widowControl/>
        <w:numPr>
          <w:ilvl w:val="0"/>
          <w:numId w:val="10"/>
        </w:numPr>
        <w:tabs>
          <w:tab w:val="clear" w:pos="720"/>
          <w:tab w:val="left" w:pos="2160" w:leader="none"/>
        </w:tabs>
        <w:bidi w:val="0"/>
        <w:ind w:hanging="720" w:start="2160"/>
        <w:jc w:val="start"/>
        <w:rPr>
          <w:rFonts w:ascii="Times New Roman" w:hAnsi="Times New Roman"/>
        </w:rPr>
      </w:pPr>
      <w:r>
        <w:rPr>
          <w:rFonts w:ascii="Times New Roman" w:hAnsi="Times New Roman"/>
          <w:b/>
          <w:u w:val="double"/>
        </w:rPr>
        <w:t xml:space="preserve">Part 5(2)(A) is amended by inserting the words “or any Affiliate of X” after the words “(in either case, “Y”) to X” in the third line of the indented paragraph and by replacing the parenthetical “(whether or not arising under this Agreement)” with “(whether arising under this Agreement or otherwise)”. </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1"/>
        </w:numPr>
        <w:tabs>
          <w:tab w:val="clear" w:pos="720"/>
          <w:tab w:val="left" w:pos="2160" w:leader="none"/>
        </w:tabs>
        <w:bidi w:val="0"/>
        <w:ind w:hanging="720" w:start="2160"/>
        <w:jc w:val="start"/>
        <w:rPr>
          <w:rFonts w:ascii="Times New Roman" w:hAnsi="Times New Roman"/>
        </w:rPr>
      </w:pPr>
      <w:r>
        <w:rPr>
          <w:rFonts w:ascii="Times New Roman" w:hAnsi="Times New Roman"/>
        </w:rPr>
        <w:t>In Part 4(f) the words “Guarantee of ML &amp; Co. in the form attached hereto as Exhibit A” are replaced with the words “Not Applicable”.</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2"/>
        </w:numPr>
        <w:tabs>
          <w:tab w:val="clear" w:pos="720"/>
          <w:tab w:val="left" w:pos="2160" w:leader="none"/>
        </w:tabs>
        <w:bidi w:val="0"/>
        <w:ind w:hanging="720" w:start="2160"/>
        <w:jc w:val="start"/>
        <w:rPr>
          <w:rFonts w:ascii="Times New Roman" w:hAnsi="Times New Roman"/>
        </w:rPr>
      </w:pPr>
      <w:r>
        <w:rPr>
          <w:rFonts w:ascii="Times New Roman" w:hAnsi="Times New Roman"/>
        </w:rPr>
        <w:t>In Part 4(g) the words “ML &amp; Co.” are replaced with the words “Not Applicable”.</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3"/>
        </w:numPr>
        <w:tabs>
          <w:tab w:val="clear" w:pos="720"/>
          <w:tab w:val="left" w:pos="2160" w:leader="none"/>
        </w:tabs>
        <w:bidi w:val="0"/>
        <w:ind w:hanging="720" w:start="2160"/>
        <w:jc w:val="start"/>
        <w:rPr>
          <w:rFonts w:ascii="Times New Roman" w:hAnsi="Times New Roman"/>
        </w:rPr>
      </w:pPr>
      <w:r>
        <w:rPr>
          <w:rFonts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4"/>
        </w:numPr>
        <w:tabs>
          <w:tab w:val="clear" w:pos="720"/>
          <w:tab w:val="left" w:pos="2160" w:leader="none"/>
        </w:tabs>
        <w:bidi w:val="0"/>
        <w:ind w:hanging="720" w:start="2160"/>
        <w:jc w:val="start"/>
        <w:rPr>
          <w:rFonts w:ascii="Times New Roman" w:hAnsi="Times New Roman"/>
        </w:rPr>
      </w:pPr>
      <w:r>
        <w:rPr>
          <w:rFonts w:ascii="Times New Roman" w:hAnsi="Times New Roman"/>
          <w:b/>
          <w:u w:val="double"/>
        </w:rPr>
        <w:t>A new Part 6 is added to the Schedule in the form attached hereto as Exhibit C.</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5"/>
        </w:numPr>
        <w:tabs>
          <w:tab w:val="clear" w:pos="720"/>
          <w:tab w:val="left" w:pos="2160" w:leader="none"/>
        </w:tabs>
        <w:bidi w:val="0"/>
        <w:ind w:hanging="720" w:start="2160"/>
        <w:jc w:val="start"/>
        <w:rPr>
          <w:rFonts w:ascii="Times New Roman" w:hAnsi="Times New Roman"/>
        </w:rPr>
      </w:pPr>
      <w:r>
        <w:rPr>
          <w:rFonts w:ascii="Times New Roman" w:hAnsi="Times New Roman"/>
        </w:rPr>
        <w:t>Exhibit A is deleted in its entirety.</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6"/>
        </w:numPr>
        <w:tabs>
          <w:tab w:val="clear" w:pos="720"/>
          <w:tab w:val="left" w:pos="2160" w:leader="none"/>
        </w:tabs>
        <w:bidi w:val="0"/>
        <w:ind w:hanging="720" w:start="2160"/>
        <w:jc w:val="start"/>
        <w:rPr>
          <w:rFonts w:ascii="Times New Roman" w:hAnsi="Times New Roman"/>
        </w:rPr>
      </w:pPr>
      <w:r>
        <w:rPr>
          <w:rFonts w:ascii="Times New Roman" w:hAnsi="Times New Roman"/>
          <w:strike/>
        </w:rPr>
        <w:t>In Exhibit B, the preamble is revised to replace the words “a Delaware Corporation” immediately before the parenthetical (“Counterparty”) with the words “a Delaware limited liability company”.In Exhibit B, the notice information of MLCS as Counterparty in section 8 shall be replaced with the following:Allegheny Energy Supply Company, LLCRoseytown RoadRR12 Box 1000Greensburg, Pennsylvania, 15601ATTN: Contract AdministrationPhone: (724) 853-3777Fax: (724) 853-3784</w:t>
      </w:r>
      <w:r>
        <w:rPr>
          <w:rFonts w:ascii="Times New Roman" w:hAnsi="Times New Roman"/>
        </w:rPr>
        <w:t xml:space="preserve"> </w:t>
      </w:r>
      <w:r>
        <w:rPr>
          <w:rFonts w:ascii="Times New Roman" w:hAnsi="Times New Roman"/>
          <w:b/>
          <w:u w:val="double"/>
        </w:rPr>
        <w:t>Exhibit B is deleted in its entirety and shall be replaced by a Guaranty of Enron Corp. substantially in the form attached hereto as Exhibit B with such changes as Supply and Enron Corp. in good faith agree; provided, however, that if Enron Corp. fails to deliver    the Guaranty by March 23, 2001, it shall be an Event of Default with respect to Counterparty under the New Agreement.</w:t>
      </w:r>
    </w:p>
    <w:p>
      <w:pPr>
        <w:pStyle w:val="Normal"/>
        <w:widowControl/>
        <w:bidi w:val="0"/>
        <w:ind w:hanging="0" w:start="3600"/>
        <w:jc w:val="start"/>
        <w:rPr>
          <w:rFonts w:ascii="Times New Roman" w:hAnsi="Times New Roman"/>
        </w:rPr>
      </w:pPr>
      <w:r>
        <w:rPr>
          <w:rFonts w:ascii="Times New Roman" w:hAnsi="Times New Roman"/>
        </w:rPr>
      </w:r>
    </w:p>
    <w:p>
      <w:pPr>
        <w:pStyle w:val="Normal"/>
        <w:widowControl/>
        <w:numPr>
          <w:ilvl w:val="0"/>
          <w:numId w:val="17"/>
        </w:numPr>
        <w:tabs>
          <w:tab w:val="clear" w:pos="720"/>
          <w:tab w:val="left" w:pos="2160" w:leader="none"/>
        </w:tabs>
        <w:bidi w:val="0"/>
        <w:ind w:hanging="720" w:start="2160"/>
        <w:jc w:val="start"/>
        <w:rPr>
          <w:rFonts w:ascii="Times New Roman" w:hAnsi="Times New Roman"/>
        </w:rPr>
      </w:pPr>
      <w:r>
        <w:rPr>
          <w:rFonts w:ascii="Times New Roman" w:hAnsi="Times New Roman"/>
        </w:rPr>
        <w:t>In Annex A, the definition of “Exposure Threshold” is deleted and replaced with the following:</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bidi w:val="0"/>
        <w:ind w:hanging="0" w:start="2160"/>
        <w:jc w:val="start"/>
        <w:rPr>
          <w:rFonts w:ascii="Times New Roman" w:hAnsi="Times New Roman"/>
        </w:rPr>
      </w:pPr>
      <w:r>
        <w:rPr>
          <w:rFonts w:ascii="Times New Roman" w:hAnsi="Times New Roman"/>
        </w:rPr>
        <w:t>“</w:t>
      </w:r>
      <w:r>
        <w:rPr>
          <w:rFonts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w:t>
      </w:r>
      <w:r>
        <w:rPr>
          <w:rFonts w:ascii="Times New Roman" w:hAnsi="Times New Roman"/>
          <w:strike/>
        </w:rPr>
        <w:t>, Inc</w:t>
      </w:r>
      <w:r>
        <w:rPr>
          <w:rFonts w:ascii="Times New Roman" w:hAnsi="Times New Roman"/>
        </w:rPr>
        <w:t xml:space="preserve"> </w:t>
      </w:r>
      <w:r>
        <w:rPr>
          <w:rFonts w:ascii="Times New Roman" w:hAnsi="Times New Roman"/>
          <w:b/>
          <w:u w:val="double"/>
        </w:rPr>
        <w:t>Corp</w:t>
      </w:r>
      <w:r>
        <w:rPr>
          <w:rFonts w:ascii="Times New Roman" w:hAnsi="Times New Roman"/>
        </w:rPr>
        <w:t xml:space="preserve">., shall be the Credit Rating then assigned to Enron Corp. and, in the case of Counterparty, shall be Counterparty’s Credit Rating, provided that if a party shall have different ratings, the lower rating shall determine the Exposure Threshold; or (b) zero if </w:t>
      </w:r>
      <w:r>
        <w:rPr>
          <w:rFonts w:ascii="Times New Roman" w:hAnsi="Times New Roman"/>
          <w:b/>
          <w:u w:val="double"/>
        </w:rPr>
        <w:t>on the relevant date of determination (i) the entity referred to in clause (a) above does not have a Credit Rating from either S&amp;P or Moody’s or (ii)</w:t>
      </w:r>
      <w:r>
        <w:rPr>
          <w:rFonts w:ascii="Times New Roman" w:hAnsi="Times New Roman"/>
        </w:rPr>
        <w:t xml:space="preserve"> an Event of Default or a </w:t>
      </w:r>
      <w:r>
        <w:rPr>
          <w:rFonts w:ascii="Times New Roman" w:hAnsi="Times New Roman"/>
          <w:strike/>
        </w:rPr>
        <w:t>Termination</w:t>
      </w:r>
      <w:r>
        <w:rPr>
          <w:rFonts w:ascii="Times New Roman" w:hAnsi="Times New Roman"/>
        </w:rPr>
        <w:t xml:space="preserve"> </w:t>
      </w:r>
      <w:r>
        <w:rPr>
          <w:rFonts w:ascii="Times New Roman" w:hAnsi="Times New Roman"/>
          <w:b/>
          <w:u w:val="double"/>
        </w:rPr>
        <w:t>Potential</w:t>
      </w:r>
      <w:r>
        <w:rPr>
          <w:rFonts w:ascii="Times New Roman" w:hAnsi="Times New Roman"/>
        </w:rPr>
        <w:t xml:space="preserve"> Event </w:t>
      </w:r>
      <w:r>
        <w:rPr>
          <w:rFonts w:ascii="Times New Roman" w:hAnsi="Times New Roman"/>
          <w:b/>
          <w:u w:val="double"/>
        </w:rPr>
        <w:t>of Default</w:t>
      </w:r>
      <w:r>
        <w:rPr>
          <w:rFonts w:ascii="Times New Roman" w:hAnsi="Times New Roman"/>
        </w:rPr>
        <w:t xml:space="preserve"> (or event that would constitute an Event of Default or </w:t>
      </w:r>
      <w:r>
        <w:rPr>
          <w:rFonts w:ascii="Times New Roman" w:hAnsi="Times New Roman"/>
          <w:strike/>
        </w:rPr>
        <w:t>Termination</w:t>
      </w:r>
      <w:r>
        <w:rPr>
          <w:rFonts w:ascii="Times New Roman" w:hAnsi="Times New Roman"/>
        </w:rPr>
        <w:t xml:space="preserve"> </w:t>
      </w:r>
      <w:r>
        <w:rPr>
          <w:rFonts w:ascii="Times New Roman" w:hAnsi="Times New Roman"/>
          <w:b/>
          <w:u w:val="double"/>
        </w:rPr>
        <w:t>Potential</w:t>
      </w:r>
      <w:r>
        <w:rPr>
          <w:rFonts w:ascii="Times New Roman" w:hAnsi="Times New Roman"/>
        </w:rPr>
        <w:t xml:space="preserve"> Event </w:t>
      </w:r>
      <w:r>
        <w:rPr>
          <w:rFonts w:ascii="Times New Roman" w:hAnsi="Times New Roman"/>
          <w:b/>
          <w:u w:val="double"/>
        </w:rPr>
        <w:t>of Default</w:t>
      </w:r>
      <w:r>
        <w:rPr>
          <w:rFonts w:ascii="Times New Roman" w:hAnsi="Times New Roman"/>
        </w:rPr>
        <w:t xml:space="preserve"> with the lapse of time or giving of notice or both) with respect to such party has occurred that is still continuing.</w:t>
      </w:r>
    </w:p>
    <w:p>
      <w:pPr>
        <w:pStyle w:val="Normal"/>
        <w:keepNext w:val="true"/>
        <w:widowControl/>
        <w:bidi w:val="0"/>
        <w:ind w:hanging="720" w:start="216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519"/>
        <w:gridCol w:w="2139"/>
        <w:gridCol w:w="1829"/>
        <w:gridCol w:w="1900"/>
      </w:tblGrid>
      <w:tr>
        <w:trPr/>
        <w:tc>
          <w:tcPr>
            <w:tcW w:w="2519" w:type="dxa"/>
            <w:tcBorders/>
          </w:tcPr>
          <w:p>
            <w:pPr>
              <w:pStyle w:val="Normal"/>
              <w:keepNext w:val="true"/>
              <w:widowControl/>
              <w:tabs>
                <w:tab w:val="clear" w:pos="720"/>
              </w:tabs>
              <w:bidi w:val="0"/>
              <w:jc w:val="start"/>
              <w:rPr/>
            </w:pPr>
            <w:r>
              <w:rPr>
                <w:rFonts w:ascii="Times New Roman" w:hAnsi="Times New Roman"/>
                <w:b/>
                <w:caps/>
                <w:sz w:val="20"/>
                <w:u w:val="double"/>
              </w:rPr>
              <w:t>ENRON’S THRESHOLD</w:t>
            </w:r>
          </w:p>
        </w:tc>
        <w:tc>
          <w:tcPr>
            <w:tcW w:w="2139" w:type="dxa"/>
            <w:tcBorders/>
          </w:tcPr>
          <w:p>
            <w:pPr>
              <w:pStyle w:val="Normal"/>
              <w:keepNext w:val="true"/>
              <w:widowControl/>
              <w:tabs>
                <w:tab w:val="clear" w:pos="720"/>
              </w:tabs>
              <w:bidi w:val="0"/>
              <w:jc w:val="start"/>
              <w:rPr/>
            </w:pPr>
            <w:r>
              <w:rPr>
                <w:rFonts w:ascii="Times New Roman" w:hAnsi="Times New Roman"/>
                <w:b/>
                <w:caps/>
                <w:sz w:val="20"/>
                <w:u w:val="double"/>
              </w:rPr>
              <w:t>Counterparty’s THRESHOLD</w:t>
            </w:r>
          </w:p>
        </w:tc>
        <w:tc>
          <w:tcPr>
            <w:tcW w:w="1829" w:type="dxa"/>
            <w:tcBorders/>
          </w:tcPr>
          <w:p>
            <w:pPr>
              <w:pStyle w:val="BodyTextIndent2"/>
              <w:keepNext w:val="true"/>
              <w:bidi w:val="0"/>
              <w:ind w:hanging="0"/>
              <w:jc w:val="start"/>
              <w:rPr>
                <w:rFonts w:ascii="Times New Roman" w:hAnsi="Times New Roman"/>
                <w:b/>
                <w:sz w:val="20"/>
                <w:u w:val="double"/>
              </w:rPr>
            </w:pPr>
            <w:r>
              <w:rPr>
                <w:rFonts w:ascii="Times New Roman" w:hAnsi="Times New Roman"/>
                <w:b/>
                <w:sz w:val="20"/>
                <w:u w:val="double"/>
              </w:rPr>
              <w:t>S&amp;P CREDIT RATING</w:t>
            </w:r>
          </w:p>
          <w:p>
            <w:pPr>
              <w:pStyle w:val="Normal"/>
              <w:keepNext w:val="true"/>
              <w:widowControl/>
              <w:tabs>
                <w:tab w:val="clear" w:pos="720"/>
              </w:tabs>
              <w:bidi w:val="0"/>
              <w:ind w:hanging="0" w:start="-18"/>
              <w:jc w:val="start"/>
              <w:rPr>
                <w:rFonts w:ascii="Times New Roman" w:hAnsi="Times New Roman"/>
                <w:b/>
                <w:sz w:val="20"/>
                <w:u w:val="double"/>
              </w:rPr>
            </w:pPr>
            <w:r>
              <w:rPr>
                <w:rFonts w:ascii="Times New Roman" w:hAnsi="Times New Roman"/>
                <w:b/>
                <w:sz w:val="20"/>
                <w:u w:val="double"/>
              </w:rPr>
            </w:r>
          </w:p>
        </w:tc>
        <w:tc>
          <w:tcPr>
            <w:tcW w:w="1900" w:type="dxa"/>
            <w:tcBorders/>
          </w:tcPr>
          <w:p>
            <w:pPr>
              <w:pStyle w:val="Normal"/>
              <w:keepNext w:val="true"/>
              <w:widowControl/>
              <w:tabs>
                <w:tab w:val="clear" w:pos="720"/>
              </w:tabs>
              <w:bidi w:val="0"/>
              <w:jc w:val="start"/>
              <w:rPr>
                <w:rFonts w:ascii="Times New Roman" w:hAnsi="Times New Roman"/>
                <w:b/>
                <w:sz w:val="20"/>
                <w:u w:val="double"/>
              </w:rPr>
            </w:pPr>
            <w:r>
              <w:rPr>
                <w:rFonts w:ascii="Times New Roman" w:hAnsi="Times New Roman"/>
                <w:b/>
                <w:sz w:val="20"/>
                <w:u w:val="double"/>
              </w:rPr>
              <w:t>MOODY'S CREDIT RATING</w:t>
            </w:r>
          </w:p>
          <w:p>
            <w:pPr>
              <w:pStyle w:val="Normal"/>
              <w:keepNext w:val="true"/>
              <w:widowControl/>
              <w:tabs>
                <w:tab w:val="clear" w:pos="720"/>
              </w:tabs>
              <w:bidi w:val="0"/>
              <w:jc w:val="start"/>
              <w:rPr>
                <w:rFonts w:ascii="Times New Roman" w:hAnsi="Times New Roman"/>
                <w:b/>
                <w:sz w:val="20"/>
                <w:u w:val="double"/>
              </w:rPr>
            </w:pPr>
            <w:r>
              <w:rPr>
                <w:rFonts w:ascii="Times New Roman" w:hAnsi="Times New Roman"/>
                <w:b/>
                <w:sz w:val="20"/>
                <w:u w:val="double"/>
              </w:rPr>
            </w:r>
          </w:p>
        </w:tc>
      </w:tr>
      <w:tr>
        <w:trPr/>
        <w:tc>
          <w:tcPr>
            <w:tcW w:w="2519" w:type="dxa"/>
            <w:tcBorders/>
          </w:tcPr>
          <w:p>
            <w:pPr>
              <w:pStyle w:val="Normal"/>
              <w:keepNext w:val="true"/>
              <w:widowControl/>
              <w:tabs>
                <w:tab w:val="clear" w:pos="720"/>
              </w:tabs>
              <w:bidi w:val="0"/>
              <w:jc w:val="start"/>
              <w:rPr/>
            </w:pPr>
            <w:r>
              <w:rPr>
                <w:rFonts w:ascii="Times New Roman" w:hAnsi="Times New Roman"/>
                <w:b/>
                <w:sz w:val="22"/>
                <w:u w:val="double"/>
              </w:rPr>
              <w:t>U.S. $25,000,000</w:t>
            </w:r>
          </w:p>
        </w:tc>
        <w:tc>
          <w:tcPr>
            <w:tcW w:w="2139" w:type="dxa"/>
            <w:tcBorders/>
          </w:tcPr>
          <w:p>
            <w:pPr>
              <w:pStyle w:val="Normal"/>
              <w:keepNext w:val="true"/>
              <w:widowControl/>
              <w:tabs>
                <w:tab w:val="clear" w:pos="720"/>
              </w:tabs>
              <w:bidi w:val="0"/>
              <w:ind w:hanging="0" w:start="-18"/>
              <w:jc w:val="start"/>
              <w:rPr/>
            </w:pPr>
            <w:r>
              <w:rPr>
                <w:rFonts w:ascii="Times New Roman" w:hAnsi="Times New Roman"/>
                <w:b/>
                <w:sz w:val="22"/>
                <w:u w:val="double"/>
              </w:rPr>
              <w:t>U.S. $15,000,000</w:t>
            </w:r>
          </w:p>
        </w:tc>
        <w:tc>
          <w:tcPr>
            <w:tcW w:w="1829" w:type="dxa"/>
            <w:tcBorders/>
          </w:tcPr>
          <w:p>
            <w:pPr>
              <w:pStyle w:val="Normal"/>
              <w:keepNext w:val="true"/>
              <w:widowControl/>
              <w:tabs>
                <w:tab w:val="clear" w:pos="720"/>
              </w:tabs>
              <w:bidi w:val="0"/>
              <w:ind w:hanging="0" w:start="-18"/>
              <w:jc w:val="start"/>
              <w:rPr/>
            </w:pPr>
            <w:r>
              <w:rPr>
                <w:rFonts w:ascii="Times New Roman" w:hAnsi="Times New Roman"/>
                <w:b/>
                <w:sz w:val="22"/>
                <w:u w:val="double"/>
              </w:rPr>
              <w:t>BBB+ (or above)</w:t>
            </w:r>
          </w:p>
        </w:tc>
        <w:tc>
          <w:tcPr>
            <w:tcW w:w="1900" w:type="dxa"/>
            <w:tcBorders/>
          </w:tcPr>
          <w:p>
            <w:pPr>
              <w:pStyle w:val="Normal"/>
              <w:keepNext w:val="true"/>
              <w:widowControl/>
              <w:tabs>
                <w:tab w:val="clear" w:pos="720"/>
              </w:tabs>
              <w:bidi w:val="0"/>
              <w:jc w:val="start"/>
              <w:rPr/>
            </w:pPr>
            <w:r>
              <w:rPr>
                <w:rFonts w:ascii="Times New Roman" w:hAnsi="Times New Roman"/>
                <w:b/>
                <w:sz w:val="22"/>
                <w:u w:val="double"/>
              </w:rPr>
              <w:t>Baa1 (or above)</w:t>
            </w:r>
          </w:p>
        </w:tc>
      </w:tr>
      <w:tr>
        <w:trPr/>
        <w:tc>
          <w:tcPr>
            <w:tcW w:w="2519" w:type="dxa"/>
            <w:tcBorders/>
          </w:tcPr>
          <w:p>
            <w:pPr>
              <w:pStyle w:val="Normal"/>
              <w:keepNext w:val="true"/>
              <w:widowControl/>
              <w:bidi w:val="0"/>
              <w:jc w:val="start"/>
              <w:rPr/>
            </w:pPr>
            <w:r>
              <w:rPr>
                <w:rFonts w:ascii="Times New Roman" w:hAnsi="Times New Roman"/>
                <w:b/>
                <w:sz w:val="22"/>
                <w:u w:val="double"/>
              </w:rPr>
              <w:t>U.S. $20,000,000</w:t>
            </w:r>
          </w:p>
        </w:tc>
        <w:tc>
          <w:tcPr>
            <w:tcW w:w="2139" w:type="dxa"/>
            <w:tcBorders/>
          </w:tcPr>
          <w:p>
            <w:pPr>
              <w:pStyle w:val="Normal"/>
              <w:keepNext w:val="true"/>
              <w:widowControl/>
              <w:bidi w:val="0"/>
              <w:ind w:hanging="0" w:start="-18"/>
              <w:jc w:val="start"/>
              <w:rPr/>
            </w:pPr>
            <w:r>
              <w:rPr>
                <w:rFonts w:ascii="Times New Roman" w:hAnsi="Times New Roman"/>
                <w:b/>
                <w:sz w:val="22"/>
                <w:u w:val="double"/>
              </w:rPr>
              <w:t>U.S. $10,000,000</w:t>
            </w:r>
          </w:p>
        </w:tc>
        <w:tc>
          <w:tcPr>
            <w:tcW w:w="1829" w:type="dxa"/>
            <w:tcBorders/>
          </w:tcPr>
          <w:p>
            <w:pPr>
              <w:pStyle w:val="Normal"/>
              <w:keepNext w:val="true"/>
              <w:widowControl/>
              <w:bidi w:val="0"/>
              <w:ind w:hanging="0" w:start="-18"/>
              <w:jc w:val="start"/>
              <w:rPr/>
            </w:pPr>
            <w:r>
              <w:rPr>
                <w:rFonts w:ascii="Times New Roman" w:hAnsi="Times New Roman"/>
                <w:b/>
                <w:sz w:val="22"/>
                <w:u w:val="double"/>
              </w:rPr>
              <w:t>BBB</w:t>
            </w:r>
          </w:p>
        </w:tc>
        <w:tc>
          <w:tcPr>
            <w:tcW w:w="1900" w:type="dxa"/>
            <w:tcBorders/>
          </w:tcPr>
          <w:p>
            <w:pPr>
              <w:pStyle w:val="Normal"/>
              <w:keepNext w:val="true"/>
              <w:widowControl/>
              <w:bidi w:val="0"/>
              <w:jc w:val="start"/>
              <w:rPr/>
            </w:pPr>
            <w:r>
              <w:rPr>
                <w:rFonts w:ascii="Times New Roman" w:hAnsi="Times New Roman"/>
                <w:b/>
                <w:sz w:val="22"/>
                <w:u w:val="double"/>
              </w:rPr>
              <w:t>Baa2</w:t>
            </w:r>
          </w:p>
        </w:tc>
      </w:tr>
      <w:tr>
        <w:trPr/>
        <w:tc>
          <w:tcPr>
            <w:tcW w:w="2519" w:type="dxa"/>
            <w:tcBorders/>
          </w:tcPr>
          <w:p>
            <w:pPr>
              <w:pStyle w:val="Normal"/>
              <w:keepNext w:val="true"/>
              <w:widowControl/>
              <w:bidi w:val="0"/>
              <w:jc w:val="start"/>
              <w:rPr/>
            </w:pPr>
            <w:r>
              <w:rPr>
                <w:rFonts w:ascii="Times New Roman" w:hAnsi="Times New Roman"/>
                <w:b/>
                <w:sz w:val="22"/>
                <w:u w:val="double"/>
              </w:rPr>
              <w:t>U.S. $10,000,000</w:t>
            </w:r>
          </w:p>
        </w:tc>
        <w:tc>
          <w:tcPr>
            <w:tcW w:w="2139" w:type="dxa"/>
            <w:tcBorders/>
          </w:tcPr>
          <w:p>
            <w:pPr>
              <w:pStyle w:val="Normal"/>
              <w:keepNext w:val="true"/>
              <w:widowControl/>
              <w:bidi w:val="0"/>
              <w:ind w:hanging="0" w:start="-18"/>
              <w:jc w:val="start"/>
              <w:rPr/>
            </w:pPr>
            <w:r>
              <w:rPr>
                <w:rFonts w:ascii="Times New Roman" w:hAnsi="Times New Roman"/>
                <w:b/>
                <w:sz w:val="22"/>
                <w:u w:val="double"/>
              </w:rPr>
              <w:t>U.S. $5,000,000</w:t>
            </w:r>
          </w:p>
        </w:tc>
        <w:tc>
          <w:tcPr>
            <w:tcW w:w="1829" w:type="dxa"/>
            <w:tcBorders/>
          </w:tcPr>
          <w:p>
            <w:pPr>
              <w:pStyle w:val="Normal"/>
              <w:keepNext w:val="true"/>
              <w:widowControl/>
              <w:bidi w:val="0"/>
              <w:ind w:hanging="0" w:start="-18"/>
              <w:jc w:val="start"/>
              <w:rPr/>
            </w:pPr>
            <w:r>
              <w:rPr>
                <w:rFonts w:ascii="Times New Roman" w:hAnsi="Times New Roman"/>
                <w:b/>
                <w:sz w:val="22"/>
                <w:u w:val="double"/>
              </w:rPr>
              <w:t>BBB-</w:t>
            </w:r>
          </w:p>
        </w:tc>
        <w:tc>
          <w:tcPr>
            <w:tcW w:w="1900" w:type="dxa"/>
            <w:tcBorders/>
          </w:tcPr>
          <w:p>
            <w:pPr>
              <w:pStyle w:val="Normal"/>
              <w:keepNext w:val="true"/>
              <w:widowControl/>
              <w:bidi w:val="0"/>
              <w:jc w:val="start"/>
              <w:rPr/>
            </w:pPr>
            <w:r>
              <w:rPr>
                <w:rFonts w:ascii="Times New Roman" w:hAnsi="Times New Roman"/>
                <w:b/>
                <w:sz w:val="22"/>
                <w:u w:val="double"/>
              </w:rPr>
              <w:t>Baa3</w:t>
            </w:r>
          </w:p>
        </w:tc>
      </w:tr>
      <w:tr>
        <w:trPr/>
        <w:tc>
          <w:tcPr>
            <w:tcW w:w="2519" w:type="dxa"/>
            <w:tcBorders/>
          </w:tcPr>
          <w:p>
            <w:pPr>
              <w:pStyle w:val="Normal"/>
              <w:keepNext w:val="true"/>
              <w:widowControl/>
              <w:tabs>
                <w:tab w:val="clear" w:pos="720"/>
              </w:tabs>
              <w:bidi w:val="0"/>
              <w:jc w:val="start"/>
              <w:rPr/>
            </w:pPr>
            <w:r>
              <w:rPr>
                <w:rFonts w:ascii="Times New Roman" w:hAnsi="Times New Roman"/>
                <w:b/>
                <w:sz w:val="22"/>
                <w:u w:val="double"/>
              </w:rPr>
              <w:t xml:space="preserve">U.S.    </w:t>
            </w:r>
          </w:p>
        </w:tc>
        <w:tc>
          <w:tcPr>
            <w:tcW w:w="2139" w:type="dxa"/>
            <w:tcBorders/>
          </w:tcPr>
          <w:p>
            <w:pPr>
              <w:pStyle w:val="Normal"/>
              <w:keepNext w:val="true"/>
              <w:widowControl/>
              <w:tabs>
                <w:tab w:val="clear" w:pos="720"/>
              </w:tabs>
              <w:bidi w:val="0"/>
              <w:ind w:hanging="0" w:start="-18"/>
              <w:jc w:val="start"/>
              <w:rPr/>
            </w:pPr>
            <w:r>
              <w:rPr>
                <w:rFonts w:ascii="Times New Roman" w:hAnsi="Times New Roman"/>
                <w:b/>
                <w:sz w:val="22"/>
                <w:u w:val="double"/>
              </w:rPr>
              <w:t xml:space="preserve">U.S. </w:t>
            </w:r>
          </w:p>
        </w:tc>
        <w:tc>
          <w:tcPr>
            <w:tcW w:w="1829" w:type="dxa"/>
            <w:tcBorders/>
          </w:tcPr>
          <w:p>
            <w:pPr>
              <w:pStyle w:val="Normal"/>
              <w:keepNext w:val="true"/>
              <w:widowControl/>
              <w:tabs>
                <w:tab w:val="clear" w:pos="720"/>
              </w:tabs>
              <w:bidi w:val="0"/>
              <w:ind w:hanging="0" w:start="-18"/>
              <w:jc w:val="start"/>
              <w:rPr/>
            </w:pPr>
            <w:r>
              <w:rPr>
                <w:rFonts w:ascii="Times New Roman" w:hAnsi="Times New Roman"/>
                <w:b/>
                <w:sz w:val="22"/>
                <w:u w:val="double"/>
              </w:rPr>
              <w:t>Below BBB-</w:t>
            </w:r>
          </w:p>
        </w:tc>
        <w:tc>
          <w:tcPr>
            <w:tcW w:w="1900" w:type="dxa"/>
            <w:tcBorders/>
          </w:tcPr>
          <w:p>
            <w:pPr>
              <w:pStyle w:val="Normal"/>
              <w:keepNext w:val="true"/>
              <w:widowControl/>
              <w:tabs>
                <w:tab w:val="clear" w:pos="720"/>
              </w:tabs>
              <w:bidi w:val="0"/>
              <w:jc w:val="start"/>
              <w:rPr/>
            </w:pPr>
            <w:r>
              <w:rPr>
                <w:rFonts w:ascii="Times New Roman" w:hAnsi="Times New Roman"/>
                <w:b/>
                <w:sz w:val="22"/>
                <w:u w:val="double"/>
              </w:rPr>
              <w:t>Below Baa3</w:t>
            </w:r>
          </w:p>
        </w:tc>
      </w:tr>
    </w:tbl>
    <w:p>
      <w:pPr>
        <w:pStyle w:val="Normal"/>
        <w:keepNext w:val="true"/>
        <w:widowControl/>
        <w:bidi w:val="0"/>
        <w:ind w:hanging="720" w:start="2160"/>
        <w:jc w:val="both"/>
        <w:rPr>
          <w:b/>
          <w:sz w:val="22"/>
          <w:u w:val="double"/>
        </w:rPr>
      </w:pPr>
      <w:r>
        <w:rPr>
          <w:b/>
          <w:sz w:val="22"/>
          <w:u w:val="double"/>
        </w:rPr>
      </w:r>
    </w:p>
    <w:p>
      <w:pPr>
        <w:pStyle w:val="Normal"/>
        <w:widowControl/>
        <w:bidi w:val="0"/>
        <w:ind w:hanging="0" w:start="2160"/>
        <w:jc w:val="start"/>
        <w:rPr>
          <w:rFonts w:ascii="Times New Roman" w:hAnsi="Times New Roman"/>
          <w:b/>
          <w:u w:val="double"/>
        </w:rPr>
      </w:pPr>
      <w:r>
        <w:rPr>
          <w:rFonts w:ascii="Times New Roman" w:hAnsi="Times New Roman"/>
          <w:b/>
          <w:u w:val="double"/>
        </w:rPr>
      </w:r>
    </w:p>
    <w:p>
      <w:pPr>
        <w:pStyle w:val="Normal"/>
        <w:widowControl/>
        <w:numPr>
          <w:ilvl w:val="0"/>
          <w:numId w:val="18"/>
        </w:numPr>
        <w:tabs>
          <w:tab w:val="clear" w:pos="720"/>
          <w:tab w:val="left" w:pos="2160" w:leader="none"/>
        </w:tabs>
        <w:bidi w:val="0"/>
        <w:ind w:hanging="720" w:start="2160"/>
        <w:jc w:val="start"/>
        <w:rPr>
          <w:rFonts w:ascii="Times New Roman" w:hAnsi="Times New Roman"/>
        </w:rPr>
      </w:pPr>
      <w:r>
        <w:rPr>
          <w:rFonts w:ascii="Times New Roman" w:hAnsi="Times New Roman"/>
          <w:b/>
          <w:u w:val="double"/>
        </w:rPr>
        <w:t>Paragraph (b)(i) of Section II of Annex A is amended by deleting the words “plus</w:t>
      </w:r>
      <w:r>
        <w:rPr>
          <w:rFonts w:ascii="Times New Roman" w:hAnsi="Times New Roman"/>
        </w:rPr>
        <w:t xml:space="preserve"> </w:t>
      </w:r>
      <w:r>
        <w:rPr>
          <w:rFonts w:ascii="Times New Roman" w:hAnsi="Times New Roman"/>
          <w:b/>
          <w:u w:val="double"/>
        </w:rPr>
        <w:t>if the party having the greater Net Exposure is rated below BBB- or Baa3, $5,000,000”.</w:t>
      </w:r>
      <w:r>
        <w:rPr>
          <w:rFonts w:ascii="Times New Roman" w:hAnsi="Times New Roman"/>
        </w:rPr>
        <w:t xml:space="preserve"> </w:t>
      </w:r>
      <w:r>
        <w:rPr>
          <w:rFonts w:ascii="Times New Roman" w:hAnsi="Times New Roman"/>
          <w:strike/>
        </w:rPr>
        <w:t xml:space="preserve">CREDIT RATING ENRON COUNTERPARTY Baa1/BBB+ or higher $25 million $15 million Baa2/BBB $20 million $10 million Baa3/BBB- $10 million $5 million Ba1/BB+ or lower -0- -0- </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19"/>
        </w:numPr>
        <w:tabs>
          <w:tab w:val="clear" w:pos="720"/>
          <w:tab w:val="left" w:pos="2160" w:leader="none"/>
        </w:tabs>
        <w:bidi w:val="0"/>
        <w:ind w:hanging="720" w:start="2160"/>
        <w:jc w:val="start"/>
        <w:rPr>
          <w:rFonts w:ascii="Times New Roman" w:hAnsi="Times New Roman"/>
        </w:rPr>
      </w:pPr>
      <w:r>
        <w:rPr>
          <w:rFonts w:ascii="Times New Roman" w:hAnsi="Times New Roman"/>
        </w:rPr>
        <w:t xml:space="preserve">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w:t>
      </w:r>
      <w:r>
        <w:rPr>
          <w:rFonts w:ascii="Times New Roman" w:hAnsi="Times New Roman"/>
          <w:strike/>
        </w:rPr>
        <w:t>or greater than</w:t>
      </w:r>
      <w:r>
        <w:rPr>
          <w:rFonts w:ascii="Times New Roman" w:hAnsi="Times New Roman"/>
        </w:rPr>
        <w:t xml:space="preserve"> $5,000,000 as an “independent amount” in addition to any Collateral Requirements it may be required to satisfy hereunder.”</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20"/>
        </w:numPr>
        <w:tabs>
          <w:tab w:val="clear" w:pos="720"/>
          <w:tab w:val="left" w:pos="2160" w:leader="none"/>
        </w:tabs>
        <w:bidi w:val="0"/>
        <w:ind w:hanging="720" w:start="2160"/>
        <w:jc w:val="start"/>
        <w:rPr>
          <w:rFonts w:ascii="Times New Roman" w:hAnsi="Times New Roman"/>
        </w:rPr>
      </w:pPr>
      <w:r>
        <w:rPr>
          <w:rFonts w:ascii="Times New Roman" w:hAnsi="Times New Roman"/>
        </w:rPr>
        <w:t>Section 3, paragraph (a) of Annex A is amended to replace the reference to $100,000 with $250,000.</w:t>
      </w:r>
    </w:p>
    <w:p>
      <w:pPr>
        <w:pStyle w:val="Normal"/>
        <w:widowControl/>
        <w:bidi w:val="0"/>
        <w:ind w:hanging="0" w:start="1440"/>
        <w:jc w:val="start"/>
        <w:rPr>
          <w:rFonts w:ascii="Times New Roman" w:hAnsi="Times New Roman"/>
        </w:rPr>
      </w:pPr>
      <w:r>
        <w:rPr>
          <w:rFonts w:ascii="Times New Roman" w:hAnsi="Times New Roman"/>
        </w:rPr>
      </w:r>
    </w:p>
    <w:p>
      <w:pPr>
        <w:pStyle w:val="Normal"/>
        <w:widowControl/>
        <w:numPr>
          <w:ilvl w:val="0"/>
          <w:numId w:val="21"/>
        </w:numPr>
        <w:tabs>
          <w:tab w:val="clear" w:pos="720"/>
          <w:tab w:val="left" w:pos="2160" w:leader="none"/>
        </w:tabs>
        <w:bidi w:val="0"/>
        <w:ind w:hanging="720" w:start="2160"/>
        <w:jc w:val="start"/>
        <w:rPr>
          <w:rFonts w:ascii="Times New Roman" w:hAnsi="Times New Roman"/>
        </w:rPr>
      </w:pPr>
      <w:r>
        <w:rPr>
          <w:rFonts w:ascii="Times New Roman" w:hAnsi="Times New Roman"/>
        </w:rPr>
        <w:t>Notwithstanding anything to the contrary in the Merrill Agreement, the New Agreement is entered into and is effective as of the date hereof.</w:t>
      </w:r>
    </w:p>
    <w:p>
      <w:pPr>
        <w:pStyle w:val="Normal"/>
        <w:widowControl/>
        <w:bidi w:val="0"/>
        <w:ind w:hanging="0" w:start="720"/>
        <w:jc w:val="start"/>
        <w:rPr>
          <w:rFonts w:ascii="Times New Roman" w:hAnsi="Times New Roman"/>
        </w:rPr>
      </w:pPr>
      <w:r>
        <w:rPr>
          <w:rFonts w:ascii="Times New Roman" w:hAnsi="Times New Roman"/>
        </w:rPr>
      </w:r>
    </w:p>
    <w:p>
      <w:pPr>
        <w:pStyle w:val="BodyText5LAs5"/>
        <w:widowControl/>
        <w:bidi w:val="0"/>
        <w:spacing w:before="0" w:after="0"/>
        <w:jc w:val="start"/>
        <w:rPr>
          <w:rFonts w:ascii="Courier New" w:hAnsi="Courier New"/>
        </w:rPr>
      </w:pPr>
      <w:r>
        <w:rPr/>
        <w:t>This letter, together with the attached Merrill Agreement, as modified herein, evidences a complete and binding agreement between Supply and Counterparty.</w:t>
      </w:r>
    </w:p>
    <w:p>
      <w:pPr>
        <w:pStyle w:val="BodyText5LAs5"/>
        <w:widowControl/>
        <w:bidi w:val="0"/>
        <w:spacing w:before="0" w:after="0"/>
        <w:jc w:val="start"/>
        <w:rPr>
          <w:rFonts w:ascii="Courier New" w:hAnsi="Courier New"/>
        </w:rPr>
      </w:pPr>
      <w:r>
        <w:rPr/>
      </w:r>
    </w:p>
    <w:p>
      <w:pPr>
        <w:pStyle w:val="BodyText5LAs5"/>
        <w:widowControl/>
        <w:bidi w:val="0"/>
        <w:spacing w:before="0" w:after="0"/>
        <w:jc w:val="start"/>
        <w:rPr>
          <w:rFonts w:ascii="Courier New" w:hAnsi="Courier New"/>
        </w:rPr>
      </w:pPr>
      <w:r>
        <w:rPr/>
        <w:t>This letter shall be governed by and construed in accordance with the laws of the State of New York</w:t>
      </w:r>
      <w:r>
        <w:rPr>
          <w:strike/>
        </w:rPr>
        <w:t>, without reference to the choice of law principles thereof</w:t>
      </w:r>
      <w:r>
        <w:rPr/>
        <w:t xml:space="preserve"> </w:t>
      </w:r>
      <w:r>
        <w:rPr>
          <w:b/>
          <w:u w:val="double"/>
        </w:rPr>
        <w:t>applicable to agreements made and to be performed entirely within such State</w:t>
      </w:r>
      <w:r>
        <w:rPr/>
        <w:t xml:space="preserve">. </w:t>
      </w:r>
    </w:p>
    <w:p>
      <w:pPr>
        <w:pStyle w:val="Normal"/>
        <w:widowControl/>
        <w:bidi w:val="0"/>
        <w:ind w:hanging="0" w:start="720"/>
        <w:jc w:val="center"/>
        <w:rPr>
          <w:rFonts w:ascii="Times New Roman" w:hAnsi="Times New Roman"/>
        </w:rPr>
      </w:pPr>
      <w:r>
        <w:rPr>
          <w:rFonts w:ascii="Times New Roman" w:hAnsi="Times New Roman"/>
        </w:rPr>
      </w:r>
      <w:r>
        <w:br w:type="page"/>
      </w:r>
    </w:p>
    <w:p>
      <w:pPr>
        <w:pStyle w:val="Normal"/>
        <w:widowControl/>
        <w:bidi w:val="0"/>
        <w:ind w:firstLine="720"/>
        <w:jc w:val="start"/>
        <w:rPr>
          <w:rFonts w:ascii="Times New Roman" w:hAnsi="Times New Roman"/>
        </w:rPr>
      </w:pPr>
      <w:r>
        <w:rPr>
          <w:rFonts w:ascii="Times New Roman" w:hAnsi="Times New Roman"/>
        </w:rPr>
        <w:t>Please acknowledge your acceptance of and agreement with the foregoing by returning a signed copy of this letter to the undersigned.</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ab/>
        <w:tab/>
        <w:tab/>
        <w:tab/>
        <w:tab/>
      </w:r>
    </w:p>
    <w:p>
      <w:pPr>
        <w:pStyle w:val="Normal"/>
        <w:widowControl/>
        <w:bidi w:val="0"/>
        <w:ind w:firstLine="720" w:start="5040"/>
        <w:jc w:val="start"/>
        <w:rPr>
          <w:rFonts w:ascii="Times New Roman" w:hAnsi="Times New Roman"/>
          <w:b/>
        </w:rPr>
      </w:pPr>
      <w:r>
        <w:rPr>
          <w:rFonts w:ascii="Times New Roman" w:hAnsi="Times New Roman"/>
          <w:b/>
        </w:rPr>
        <w:t xml:space="preserve">ALLEGHENY ENERGY </w:t>
      </w:r>
    </w:p>
    <w:p>
      <w:pPr>
        <w:pStyle w:val="Normal"/>
        <w:widowControl/>
        <w:bidi w:val="0"/>
        <w:ind w:firstLine="720" w:start="5040"/>
        <w:jc w:val="start"/>
        <w:rPr>
          <w:rFonts w:ascii="Times New Roman" w:hAnsi="Times New Roman"/>
          <w:b/>
        </w:rPr>
      </w:pPr>
      <w:r>
        <w:rPr>
          <w:rFonts w:ascii="Times New Roman" w:hAnsi="Times New Roman"/>
          <w:b/>
        </w:rPr>
        <w:t>SUPPLY COMPANY, LLC</w:t>
      </w:r>
    </w:p>
    <w:p>
      <w:pPr>
        <w:pStyle w:val="Normal"/>
        <w:widowControl/>
        <w:bidi w:val="0"/>
        <w:jc w:val="start"/>
        <w:rPr>
          <w:rFonts w:ascii="Times New Roman" w:hAnsi="Times New Roman"/>
          <w:b/>
        </w:rPr>
      </w:pPr>
      <w:r>
        <w:rPr>
          <w:rFonts w:ascii="Times New Roman" w:hAnsi="Times New Roman"/>
          <w:b/>
        </w:rPr>
      </w:r>
    </w:p>
    <w:p>
      <w:pPr>
        <w:pStyle w:val="Normal"/>
        <w:widowControl/>
        <w:bidi w:val="0"/>
        <w:jc w:val="start"/>
        <w:rPr>
          <w:rFonts w:ascii="Times New Roman" w:hAnsi="Times New Roman"/>
        </w:rPr>
      </w:pPr>
      <w:r>
        <w:rPr>
          <w:rFonts w:ascii="Times New Roman" w:hAnsi="Times New Roman"/>
        </w:rPr>
      </w:r>
    </w:p>
    <w:p>
      <w:pPr>
        <w:pStyle w:val="Normal"/>
        <w:widowControl/>
        <w:bidi w:val="0"/>
        <w:ind w:firstLine="720" w:start="2160"/>
        <w:jc w:val="start"/>
        <w:rPr>
          <w:rFonts w:ascii="Times New Roman" w:hAnsi="Times New Roman"/>
        </w:rPr>
      </w:pPr>
      <w:r>
        <w:rPr>
          <w:rFonts w:ascii="Times New Roman" w:hAnsi="Times New Roman"/>
        </w:rPr>
        <w:tab/>
        <w:tab/>
        <w:tab/>
        <w:tab/>
        <w:t>By:_____________________</w:t>
      </w:r>
    </w:p>
    <w:p>
      <w:pPr>
        <w:pStyle w:val="Normal"/>
        <w:widowControl/>
        <w:bidi w:val="0"/>
        <w:jc w:val="start"/>
        <w:rPr>
          <w:rFonts w:ascii="Times New Roman" w:hAnsi="Times New Roman"/>
        </w:rPr>
      </w:pPr>
      <w:r>
        <w:rPr>
          <w:rFonts w:ascii="Times New Roman" w:hAnsi="Times New Roman"/>
        </w:rPr>
        <w:tab/>
        <w:tab/>
        <w:tab/>
        <w:tab/>
        <w:tab/>
        <w:tab/>
        <w:tab/>
        <w:tab/>
        <w:t>          Name:</w:t>
      </w:r>
    </w:p>
    <w:p>
      <w:pPr>
        <w:pStyle w:val="Normal"/>
        <w:widowControl/>
        <w:bidi w:val="0"/>
        <w:jc w:val="start"/>
        <w:rPr>
          <w:rFonts w:ascii="Times New Roman" w:hAnsi="Times New Roman"/>
        </w:rPr>
      </w:pPr>
      <w:r>
        <w:rPr>
          <w:rFonts w:ascii="Times New Roman" w:hAnsi="Times New Roman"/>
        </w:rPr>
        <w:tab/>
        <w:tab/>
        <w:tab/>
        <w:tab/>
        <w:t xml:space="preserve">          </w:t>
        <w:tab/>
        <w:tab/>
        <w:tab/>
        <w:tab/>
        <w:t>          Title:</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ab/>
        <w:tab/>
        <w:tab/>
        <w:tab/>
        <w:tab/>
      </w:r>
    </w:p>
    <w:p>
      <w:pPr>
        <w:pStyle w:val="Normal"/>
        <w:widowControl/>
        <w:bidi w:val="0"/>
        <w:ind w:hanging="0" w:start="5760"/>
        <w:jc w:val="start"/>
        <w:rPr>
          <w:rFonts w:ascii="Times New Roman" w:hAnsi="Times New Roman"/>
          <w:b/>
        </w:rPr>
      </w:pPr>
      <w:r>
        <w:rPr>
          <w:rFonts w:ascii="Times New Roman" w:hAnsi="Times New Roman"/>
          <w:b/>
        </w:rPr>
        <w:t>ALLEGHENY ENERGY GLOBAL MARKETS, LLC</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ind w:firstLine="720" w:start="2160"/>
        <w:jc w:val="start"/>
        <w:rPr>
          <w:rFonts w:ascii="Times New Roman" w:hAnsi="Times New Roman"/>
        </w:rPr>
      </w:pPr>
      <w:r>
        <w:rPr>
          <w:rFonts w:ascii="Times New Roman" w:hAnsi="Times New Roman"/>
        </w:rPr>
        <w:tab/>
        <w:tab/>
        <w:tab/>
        <w:tab/>
        <w:t>By:_____________________</w:t>
      </w:r>
    </w:p>
    <w:p>
      <w:pPr>
        <w:pStyle w:val="Normal"/>
        <w:widowControl/>
        <w:bidi w:val="0"/>
        <w:jc w:val="start"/>
        <w:rPr>
          <w:rFonts w:ascii="Times New Roman" w:hAnsi="Times New Roman"/>
        </w:rPr>
      </w:pPr>
      <w:r>
        <w:rPr>
          <w:rFonts w:ascii="Times New Roman" w:hAnsi="Times New Roman"/>
        </w:rPr>
        <w:tab/>
        <w:tab/>
        <w:tab/>
        <w:tab/>
        <w:tab/>
        <w:tab/>
        <w:tab/>
        <w:tab/>
        <w:t>          Name:</w:t>
      </w:r>
    </w:p>
    <w:p>
      <w:pPr>
        <w:pStyle w:val="Normal"/>
        <w:widowControl/>
        <w:bidi w:val="0"/>
        <w:jc w:val="start"/>
        <w:rPr>
          <w:rFonts w:ascii="Times New Roman" w:hAnsi="Times New Roman"/>
        </w:rPr>
      </w:pPr>
      <w:r>
        <w:rPr>
          <w:rFonts w:ascii="Times New Roman" w:hAnsi="Times New Roman"/>
        </w:rPr>
        <w:tab/>
        <w:tab/>
        <w:tab/>
        <w:tab/>
        <w:t xml:space="preserve">          </w:t>
        <w:tab/>
        <w:tab/>
        <w:tab/>
        <w:tab/>
        <w:t>          Title:</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Accepted and agreed as of the date first above written:</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b/>
        </w:rPr>
      </w:pPr>
      <w:r>
        <w:rPr>
          <w:rFonts w:ascii="Times New Roman" w:hAnsi="Times New Roman"/>
          <w:b/>
        </w:rPr>
        <w:t>ENRON NORTH AMERICA CORP.</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By:___________________</w:t>
      </w:r>
    </w:p>
    <w:p>
      <w:pPr>
        <w:pStyle w:val="Normal"/>
        <w:widowControl/>
        <w:bidi w:val="0"/>
        <w:jc w:val="start"/>
        <w:rPr>
          <w:rFonts w:ascii="Times New Roman" w:hAnsi="Times New Roman"/>
        </w:rPr>
      </w:pPr>
      <w:r>
        <w:rPr>
          <w:rFonts w:ascii="Times New Roman" w:hAnsi="Times New Roman"/>
        </w:rPr>
        <w:t xml:space="preserve">          </w:t>
      </w:r>
      <w:r>
        <w:rPr>
          <w:rFonts w:ascii="Times New Roman" w:hAnsi="Times New Roman"/>
        </w:rPr>
        <w:t>Name:</w:t>
      </w:r>
    </w:p>
    <w:p>
      <w:pPr>
        <w:pStyle w:val="Normal"/>
        <w:widowControl/>
        <w:bidi w:val="0"/>
        <w:jc w:val="start"/>
        <w:rPr>
          <w:rFonts w:ascii="Times New Roman" w:hAnsi="Times New Roman"/>
        </w:rPr>
      </w:pPr>
      <w:r>
        <w:rPr>
          <w:rFonts w:ascii="Times New Roman" w:hAnsi="Times New Roman"/>
        </w:rPr>
        <w:t xml:space="preserve">          </w:t>
      </w:r>
      <w:r>
        <w:rPr>
          <w:rFonts w:ascii="Times New Roman" w:hAnsi="Times New Roman"/>
        </w:rPr>
        <w:t>Title:</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720" w:bottom="965"/>
          <w:pgNumType w:fmt="decimal"/>
          <w:formProt w:val="false"/>
          <w:titlePg/>
          <w:textDirection w:val="lrTb"/>
          <w:docGrid w:type="default" w:linePitch="100" w:charSpace="0"/>
        </w:sectPr>
        <w:pStyle w:val="Normal"/>
        <w:widowControl/>
        <w:bidi w:val="0"/>
        <w:jc w:val="start"/>
        <w:rPr>
          <w:rFonts w:ascii="Times New Roman" w:hAnsi="Times New Roman"/>
        </w:rPr>
      </w:pPr>
      <w:r>
        <w:rPr>
          <w:rFonts w:ascii="Times New Roman" w:hAnsi="Times New Roman"/>
        </w:rPr>
      </w:r>
    </w:p>
    <w:p>
      <w:pPr>
        <w:pStyle w:val="Normal"/>
        <w:widowControl/>
        <w:bidi w:val="0"/>
        <w:spacing w:before="480" w:after="0"/>
        <w:jc w:val="end"/>
        <w:rPr>
          <w:rFonts w:ascii="Times New Roman" w:hAnsi="Times New Roman"/>
          <w:u w:val="single"/>
        </w:rPr>
      </w:pPr>
      <w:r>
        <w:rPr>
          <w:rFonts w:ascii="Times New Roman" w:hAnsi="Times New Roman"/>
          <w:strike/>
          <w:u w:val="single"/>
        </w:rPr>
        <w:t>ENRON CORP.</w:t>
      </w:r>
      <w:r>
        <w:rPr>
          <w:rFonts w:ascii="Times New Roman" w:hAnsi="Times New Roman"/>
          <w:u w:val="single"/>
        </w:rPr>
        <w:t xml:space="preserve"> </w:t>
      </w:r>
      <w:r>
        <w:rPr>
          <w:rFonts w:ascii="Times New Roman" w:hAnsi="Times New Roman"/>
          <w:b/>
          <w:u w:val="double"/>
        </w:rPr>
        <w:t>Exhibit C</w:t>
      </w:r>
    </w:p>
    <w:p>
      <w:pPr>
        <w:pStyle w:val="Normal"/>
        <w:widowControl/>
        <w:bidi w:val="0"/>
        <w:spacing w:before="480" w:after="0"/>
        <w:jc w:val="both"/>
        <w:rPr>
          <w:rFonts w:ascii="Times New Roman" w:hAnsi="Times New Roman"/>
          <w:b/>
          <w:sz w:val="22"/>
        </w:rPr>
      </w:pPr>
      <w:r>
        <w:rPr>
          <w:rFonts w:ascii="Times New Roman" w:hAnsi="Times New Roman"/>
          <w:b/>
          <w:strike/>
          <w:sz w:val="22"/>
        </w:rPr>
        <w:t>By:___________________</w:t>
      </w:r>
      <w:r>
        <w:rPr>
          <w:rFonts w:ascii="Times New Roman" w:hAnsi="Times New Roman"/>
          <w:b/>
          <w:sz w:val="22"/>
          <w:u w:val="double"/>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jc w:val="both"/>
        <w:rPr>
          <w:rFonts w:ascii="Times New Roman" w:hAnsi="Times New Roman"/>
          <w:sz w:val="22"/>
        </w:rPr>
      </w:pPr>
      <w:r>
        <w:rPr>
          <w:rFonts w:ascii="Times New Roman" w:hAnsi="Times New Roman"/>
          <w:strike/>
          <w:sz w:val="22"/>
        </w:rPr>
        <w:t>Name:</w:t>
      </w:r>
      <w:r>
        <w:rPr>
          <w:rFonts w:ascii="Times New Roman" w:hAnsi="Times New Roman"/>
          <w:b/>
          <w:sz w:val="22"/>
          <w:u w:val="double"/>
        </w:rPr>
        <w:t>(a)</w:t>
      </w:r>
      <w:r>
        <w:rPr>
          <w:rFonts w:ascii="Times New Roman" w:hAnsi="Times New Roman"/>
          <w:sz w:val="22"/>
        </w:rPr>
        <w:tab/>
      </w:r>
      <w:r>
        <w:rPr>
          <w:rFonts w:ascii="Times New Roman" w:hAnsi="Times New Roman"/>
          <w:b/>
          <w:sz w:val="22"/>
          <w:u w:val="double"/>
        </w:rPr>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jc w:val="both"/>
        <w:rPr>
          <w:rFonts w:ascii="Times New Roman" w:hAnsi="Times New Roman"/>
          <w:sz w:val="22"/>
        </w:rPr>
      </w:pPr>
      <w:r>
        <w:rPr>
          <w:rFonts w:ascii="Times New Roman" w:hAnsi="Times New Roman"/>
          <w:sz w:val="22"/>
        </w:rPr>
      </w:r>
    </w:p>
    <w:p>
      <w:pPr>
        <w:pStyle w:val="Normal"/>
        <w:widowControl/>
        <w:bidi w:val="0"/>
        <w:ind w:firstLine="720"/>
        <w:jc w:val="both"/>
        <w:rPr>
          <w:rFonts w:ascii="Times New Roman" w:hAnsi="Times New Roman"/>
          <w:b/>
          <w:sz w:val="22"/>
          <w:u w:val="double"/>
        </w:rPr>
      </w:pPr>
      <w:r>
        <w:rPr>
          <w:rFonts w:ascii="Times New Roman" w:hAnsi="Times New Roman"/>
          <w:strike/>
          <w:sz w:val="22"/>
        </w:rPr>
        <w:t>Title:</w:t>
      </w:r>
      <w:r>
        <w:rPr>
          <w:rFonts w:ascii="Times New Roman" w:hAnsi="Times New Roman"/>
          <w:b/>
          <w:sz w:val="22"/>
          <w:u w:val="double"/>
        </w:rPr>
        <w:t>(b)</w:t>
      </w:r>
      <w:r>
        <w:rPr>
          <w:rFonts w:ascii="Times New Roman" w:hAnsi="Times New Roman"/>
          <w:sz w:val="22"/>
        </w:rPr>
        <w:tab/>
      </w:r>
      <w:r>
        <w:rPr>
          <w:rFonts w:ascii="Times New Roman" w:hAnsi="Times New Roman"/>
          <w:b/>
          <w:sz w:val="22"/>
          <w:u w:val="double"/>
        </w:rPr>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t>(c)</w:t>
      </w:r>
      <w:r>
        <w:rPr>
          <w:rFonts w:ascii="Times New Roman" w:hAnsi="Times New Roman"/>
          <w:sz w:val="22"/>
        </w:rPr>
        <w:tab/>
      </w:r>
      <w:r>
        <w:rPr>
          <w:rFonts w:ascii="Times New Roman" w:hAnsi="Times New Roman"/>
          <w:b/>
          <w:sz w:val="22"/>
          <w:u w:val="double"/>
        </w:rPr>
        <w:t>Section 7.4(c)(viii) of the Commodity Definitions is hereby amended by the addition of the following at the end thereof:</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start="720"/>
        <w:jc w:val="both"/>
        <w:rPr>
          <w:rFonts w:ascii="Times New Roman" w:hAnsi="Times New Roman"/>
          <w:b/>
          <w:sz w:val="22"/>
          <w:u w:val="double"/>
        </w:rPr>
      </w:pPr>
      <w:r>
        <w:rPr>
          <w:rFonts w:ascii="Times New Roman" w:hAnsi="Times New Roman"/>
          <w:b/>
          <w:sz w:val="22"/>
          <w:u w:val="double"/>
        </w:rPr>
        <w:t>“</w:t>
      </w:r>
      <w:r>
        <w:rPr>
          <w:rFonts w:ascii="Times New Roman" w:hAnsi="Times New Roman"/>
          <w:b/>
          <w:sz w:val="22"/>
          <w:u w:val="double"/>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t>(d)</w:t>
      </w:r>
      <w:r>
        <w:rPr>
          <w:rFonts w:ascii="Times New Roman" w:hAnsi="Times New Roman"/>
          <w:sz w:val="22"/>
        </w:rPr>
        <w:tab/>
      </w:r>
      <w:r>
        <w:rPr>
          <w:rFonts w:ascii="Times New Roman" w:hAnsi="Times New Roman"/>
          <w:b/>
          <w:sz w:val="22"/>
          <w:u w:val="double"/>
        </w:rPr>
        <w:t>Section 7.5(e) of the Commodity Definitions is hereby deleted.</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t>(e)</w:t>
      </w:r>
      <w:r>
        <w:rPr>
          <w:rFonts w:ascii="Times New Roman" w:hAnsi="Times New Roman"/>
          <w:sz w:val="22"/>
        </w:rPr>
        <w:tab/>
      </w:r>
      <w:r>
        <w:rPr>
          <w:rFonts w:ascii="Times New Roman" w:hAnsi="Times New Roman"/>
          <w:b/>
          <w:sz w:val="22"/>
          <w:u w:val="double"/>
        </w:rPr>
        <w:t>“Additional Market Disruption Events” shall apply only if so specified in the relevant Confirmation.</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BodyTextIndent2"/>
        <w:widowControl/>
        <w:tabs>
          <w:tab w:val="clear" w:pos="1350"/>
        </w:tabs>
        <w:bidi w:val="0"/>
        <w:rPr>
          <w:rFonts w:ascii="Times New Roman" w:hAnsi="Times New Roman"/>
          <w:b/>
          <w:u w:val="double"/>
        </w:rPr>
      </w:pPr>
      <w:r>
        <w:rPr>
          <w:rFonts w:ascii="Times New Roman" w:hAnsi="Times New Roman"/>
          <w:b/>
          <w:u w:val="double"/>
        </w:rPr>
        <w:t>(f)</w:t>
      </w:r>
      <w:r>
        <w:rPr>
          <w:rFonts w:ascii="Times New Roman" w:hAnsi="Times New Roman"/>
        </w:rPr>
        <w:tab/>
      </w:r>
      <w:r>
        <w:rPr>
          <w:rFonts w:ascii="Times New Roman" w:hAnsi="Times New Roman"/>
          <w:b/>
          <w:u w:val="double"/>
        </w:rPr>
        <w:t>The following “Disruption Fallbacks” specified in Section 7.5(c) of the Commodity Definitions shall apply, in the following order, except as otherwise specified in the relevant Confirmation:</w:t>
      </w:r>
    </w:p>
    <w:p>
      <w:pPr>
        <w:pStyle w:val="Normal"/>
        <w:widowControl/>
        <w:bidi w:val="0"/>
        <w:jc w:val="both"/>
        <w:rPr>
          <w:rFonts w:ascii="Times New Roman" w:hAnsi="Times New Roman"/>
          <w:b/>
          <w:sz w:val="22"/>
          <w:u w:val="double"/>
        </w:rPr>
      </w:pPr>
      <w:r>
        <w:rPr>
          <w:rFonts w:ascii="Times New Roman" w:hAnsi="Times New Roman"/>
          <w:b/>
          <w:sz w:val="22"/>
          <w:u w:val="double"/>
        </w:rPr>
      </w:r>
    </w:p>
    <w:p>
      <w:pPr>
        <w:pStyle w:val="BlockText"/>
        <w:widowControl/>
        <w:bidi w:val="0"/>
        <w:ind w:hanging="720" w:start="1440" w:end="720"/>
        <w:rPr>
          <w:rFonts w:ascii="Courier New" w:hAnsi="Courier New"/>
          <w:b/>
          <w:u w:val="double"/>
        </w:rPr>
      </w:pPr>
      <w:r>
        <w:rPr>
          <w:b/>
          <w:u w:val="double"/>
        </w:rPr>
        <w:t>(i)</w:t>
      </w:r>
      <w:r>
        <w:rPr/>
        <w:tab/>
      </w:r>
      <w:r>
        <w:rPr>
          <w:b/>
          <w:u w:val="double"/>
        </w:rPr>
        <w:t>“Postponement”, with three (3) Commodity Business Days as the Maximum Days of Disruption;</w:t>
      </w:r>
    </w:p>
    <w:p>
      <w:pPr>
        <w:pStyle w:val="Normal"/>
        <w:widowControl/>
        <w:bidi w:val="0"/>
        <w:ind w:hanging="720" w:start="1440" w:end="720"/>
        <w:jc w:val="both"/>
        <w:rPr>
          <w:rFonts w:ascii="Times New Roman" w:hAnsi="Times New Roman"/>
          <w:b/>
          <w:sz w:val="22"/>
          <w:u w:val="double"/>
        </w:rPr>
      </w:pPr>
      <w:r>
        <w:rPr>
          <w:rFonts w:ascii="Times New Roman" w:hAnsi="Times New Roman"/>
          <w:b/>
          <w:sz w:val="22"/>
          <w:u w:val="double"/>
        </w:rPr>
      </w:r>
    </w:p>
    <w:p>
      <w:pPr>
        <w:pStyle w:val="BlockText"/>
        <w:widowControl/>
        <w:bidi w:val="0"/>
        <w:ind w:hanging="720" w:start="1440" w:end="720"/>
        <w:rPr>
          <w:rFonts w:ascii="Courier New" w:hAnsi="Courier New"/>
          <w:b/>
          <w:u w:val="double"/>
        </w:rPr>
      </w:pPr>
      <w:r>
        <w:rPr>
          <w:b/>
          <w:u w:val="double"/>
        </w:rPr>
        <w:t>(ii)</w:t>
      </w:r>
      <w:r>
        <w:rPr/>
        <w:tab/>
      </w:r>
      <w:r>
        <w:rPr>
          <w:b/>
          <w:u w:val="double"/>
        </w:rPr>
        <w:t>“Fallback Reference Price” (if the relevant parties have specified an alternate Commodity Reference Price in the Confirmation);</w:t>
      </w:r>
    </w:p>
    <w:p>
      <w:pPr>
        <w:pStyle w:val="Normal"/>
        <w:widowControl/>
        <w:bidi w:val="0"/>
        <w:ind w:hanging="720" w:start="1440" w:end="720"/>
        <w:jc w:val="both"/>
        <w:rPr>
          <w:rFonts w:ascii="Times New Roman" w:hAnsi="Times New Roman"/>
          <w:b/>
          <w:sz w:val="22"/>
          <w:u w:val="double"/>
        </w:rPr>
      </w:pPr>
      <w:r>
        <w:rPr>
          <w:rFonts w:ascii="Times New Roman" w:hAnsi="Times New Roman"/>
          <w:b/>
          <w:sz w:val="22"/>
          <w:u w:val="double"/>
        </w:rPr>
      </w:r>
    </w:p>
    <w:p>
      <w:pPr>
        <w:pStyle w:val="BlockText"/>
        <w:widowControl/>
        <w:bidi w:val="0"/>
        <w:ind w:hanging="720" w:start="1440" w:end="720"/>
        <w:rPr>
          <w:rFonts w:ascii="Courier New" w:hAnsi="Courier New"/>
          <w:b/>
          <w:u w:val="double"/>
        </w:rPr>
      </w:pPr>
      <w:r>
        <w:rPr>
          <w:b/>
          <w:u w:val="double"/>
        </w:rPr>
        <w:t>(iii)</w:t>
      </w:r>
      <w:r>
        <w:rPr/>
        <w:tab/>
      </w:r>
      <w:r>
        <w:rPr>
          <w:b/>
          <w:u w:val="double"/>
        </w:rPr>
        <w:t>“Negotiated Fallback” (provided that the reference in Section 7.5(c)(iv) to “fifth Business Day” shall be amended to be “twelfth Business Day”); and</w:t>
      </w:r>
    </w:p>
    <w:p>
      <w:pPr>
        <w:pStyle w:val="Normal"/>
        <w:widowControl/>
        <w:bidi w:val="0"/>
        <w:ind w:hanging="720" w:start="1440" w:end="720"/>
        <w:jc w:val="both"/>
        <w:rPr>
          <w:rFonts w:ascii="Times New Roman" w:hAnsi="Times New Roman"/>
          <w:b/>
          <w:sz w:val="22"/>
          <w:u w:val="double"/>
        </w:rPr>
      </w:pPr>
      <w:r>
        <w:rPr>
          <w:rFonts w:ascii="Times New Roman" w:hAnsi="Times New Roman"/>
          <w:b/>
          <w:sz w:val="22"/>
          <w:u w:val="double"/>
        </w:rPr>
      </w:r>
    </w:p>
    <w:p>
      <w:pPr>
        <w:pStyle w:val="Normal"/>
        <w:widowControl/>
        <w:bidi w:val="0"/>
        <w:ind w:hanging="720" w:start="1440"/>
        <w:jc w:val="both"/>
        <w:rPr>
          <w:rFonts w:ascii="Times New Roman" w:hAnsi="Times New Roman"/>
          <w:b/>
          <w:sz w:val="22"/>
          <w:u w:val="double"/>
        </w:rPr>
      </w:pPr>
      <w:r>
        <w:rPr>
          <w:rFonts w:ascii="Times New Roman" w:hAnsi="Times New Roman"/>
          <w:b/>
          <w:sz w:val="22"/>
          <w:u w:val="double"/>
        </w:rPr>
        <w:t>(iv)</w:t>
      </w:r>
      <w:r>
        <w:rPr>
          <w:rFonts w:ascii="Times New Roman" w:hAnsi="Times New Roman"/>
          <w:sz w:val="22"/>
        </w:rPr>
        <w:tab/>
      </w:r>
      <w:r>
        <w:rPr>
          <w:rFonts w:ascii="Times New Roman" w:hAnsi="Times New Roman"/>
          <w:b/>
          <w:sz w:val="22"/>
          <w:u w:val="double"/>
        </w:rPr>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t>(g)</w:t>
      </w:r>
      <w:r>
        <w:rPr>
          <w:rFonts w:ascii="Times New Roman" w:hAnsi="Times New Roman"/>
          <w:sz w:val="22"/>
        </w:rPr>
        <w:tab/>
      </w:r>
      <w:r>
        <w:rPr>
          <w:rFonts w:ascii="Times New Roman" w:hAnsi="Times New Roman"/>
          <w:b/>
          <w:sz w:val="22"/>
          <w:u w:val="double"/>
        </w:rPr>
        <w:t>For purposes of any Transaction in which paper or pulp is the relevant Commodity, the phrase "within 30 calendar days" in line 5 of Section 7.3 of the Commodity Definitions shall be replaced by the phrase "within 40 calendar days."</w:t>
      </w:r>
    </w:p>
    <w:p>
      <w:pPr>
        <w:pStyle w:val="Normal"/>
        <w:widowControl/>
        <w:bidi w:val="0"/>
        <w:ind w:firstLine="720"/>
        <w:jc w:val="both"/>
        <w:rPr>
          <w:rFonts w:ascii="Times New Roman" w:hAnsi="Times New Roman"/>
          <w:b/>
          <w:sz w:val="22"/>
          <w:u w:val="double"/>
        </w:rPr>
      </w:pPr>
      <w:r>
        <w:rPr>
          <w:rFonts w:ascii="Times New Roman" w:hAnsi="Times New Roman"/>
          <w:b/>
          <w:sz w:val="22"/>
          <w:u w:val="double"/>
        </w:rPr>
      </w:r>
    </w:p>
    <w:p>
      <w:pPr>
        <w:pStyle w:val="Normal"/>
        <w:widowControl/>
        <w:bidi w:val="0"/>
        <w:ind w:firstLine="720"/>
        <w:jc w:val="both"/>
        <w:rPr>
          <w:rFonts w:ascii="Times New Roman" w:hAnsi="Times New Roman"/>
          <w:sz w:val="22"/>
        </w:rPr>
      </w:pPr>
      <w:r>
        <w:rPr>
          <w:rFonts w:ascii="Times New Roman" w:hAnsi="Times New Roman"/>
          <w:b/>
          <w:sz w:val="22"/>
          <w:u w:val="double"/>
        </w:rPr>
        <w:t>(h)</w:t>
      </w:r>
      <w:r>
        <w:rPr>
          <w:rFonts w:ascii="Times New Roman" w:hAnsi="Times New Roman"/>
          <w:sz w:val="22"/>
        </w:rPr>
        <w:tab/>
      </w:r>
      <w:r>
        <w:rPr>
          <w:rFonts w:ascii="Times New Roman" w:hAnsi="Times New Roman"/>
          <w:b/>
          <w:sz w:val="22"/>
          <w:u w:val="double"/>
        </w:rPr>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bidi w:val="0"/>
        <w:jc w:val="both"/>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 COMPARISON OF HEADERS ------------------</w:t>
      </w:r>
    </w:p>
    <w:p>
      <w:pPr>
        <w:pStyle w:val="Normal"/>
        <w:widowControl/>
        <w:bidi w:val="0"/>
        <w:jc w:val="start"/>
        <w:rPr>
          <w:rFonts w:ascii="Times New Roman" w:hAnsi="Times New Roman"/>
          <w:b/>
          <w:u w:val="double"/>
        </w:rPr>
      </w:pPr>
      <w:r>
        <w:rPr>
          <w:rFonts w:ascii="Times New Roman" w:hAnsi="Times New Roman"/>
          <w:b/>
          <w:u w:val="double"/>
        </w:rPr>
      </w:r>
    </w:p>
    <w:p>
      <w:pPr>
        <w:pStyle w:val="Normal"/>
        <w:widowControl/>
        <w:bidi w:val="0"/>
        <w:jc w:val="start"/>
        <w:rPr>
          <w:rFonts w:ascii="Times New Roman" w:hAnsi="Times New Roman"/>
          <w:b/>
          <w:u w:val="double"/>
        </w:rPr>
      </w:pPr>
      <w:r>
        <w:rPr>
          <w:rFonts w:ascii="Times New Roman" w:hAnsi="Times New Roman"/>
          <w:b/>
          <w:u w:val="double"/>
        </w:rPr>
        <w:t>-HEADER 1-</w:t>
      </w:r>
    </w:p>
    <w:p>
      <w:pPr>
        <w:pStyle w:val="Normal"/>
        <w:widowControl/>
        <w:bidi w:val="0"/>
        <w:jc w:val="start"/>
        <w:rPr>
          <w:rFonts w:ascii="Times New Roman" w:hAnsi="Times New Roman"/>
        </w:rPr>
      </w:pPr>
      <w:r>
        <w:rPr>
          <w:rFonts w:ascii="Times New Roman" w:hAnsi="Times New Roman"/>
          <w:b/>
          <w:u w:val="double"/>
        </w:rPr>
        <w:t>S&amp;C Draft of March 15, 2001</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 COMPARISON OF FOOTERS ------------------</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-FOOTER 1-</w:t>
      </w:r>
    </w:p>
    <w:p>
      <w:pPr>
        <w:pStyle w:val="Normal"/>
        <w:widowControl/>
        <w:bidi w:val="0"/>
        <w:jc w:val="start"/>
        <w:rPr>
          <w:rFonts w:ascii="Times New Roman" w:hAnsi="Times New Roman"/>
          <w:b/>
          <w:u w:val="double"/>
        </w:rPr>
      </w:pPr>
      <w:r>
        <w:rPr>
          <w:rFonts w:ascii="Times New Roman" w:hAnsi="Times New Roman"/>
          <w:b/>
          <w:u w:val="double"/>
        </w:rPr>
        <w:t>1</w:t>
      </w:r>
    </w:p>
    <w:p>
      <w:pPr>
        <w:pStyle w:val="Normal"/>
        <w:widowControl/>
        <w:bidi w:val="0"/>
        <w:jc w:val="start"/>
        <w:rPr>
          <w:rFonts w:ascii="Times New Roman" w:hAnsi="Times New Roman"/>
          <w:b/>
          <w:u w:val="double"/>
        </w:rPr>
      </w:pPr>
      <w:r>
        <w:rPr>
          <w:rFonts w:ascii="Times New Roman" w:hAnsi="Times New Roman"/>
          <w:b/>
          <w:u w:val="double"/>
        </w:rPr>
      </w:r>
    </w:p>
    <w:p>
      <w:pPr>
        <w:pStyle w:val="Normal"/>
        <w:widowControl/>
        <w:bidi w:val="0"/>
        <w:jc w:val="start"/>
        <w:rPr>
          <w:rFonts w:ascii="Times New Roman" w:hAnsi="Times New Roman"/>
          <w:b/>
          <w:u w:val="double"/>
        </w:rPr>
      </w:pPr>
      <w:r>
        <w:rPr>
          <w:rFonts w:ascii="Times New Roman" w:hAnsi="Times New Roman"/>
          <w:b/>
          <w:u w:val="double"/>
        </w:rPr>
      </w:r>
    </w:p>
    <w:p>
      <w:pPr>
        <w:pStyle w:val="Normal"/>
        <w:widowControl/>
        <w:bidi w:val="0"/>
        <w:jc w:val="start"/>
        <w:rPr>
          <w:rFonts w:ascii="Times New Roman" w:hAnsi="Times New Roman"/>
          <w:b/>
          <w:u w:val="double"/>
        </w:rPr>
      </w:pPr>
      <w:r>
        <w:rPr>
          <w:rFonts w:ascii="Times New Roman" w:hAnsi="Times New Roman"/>
          <w:b/>
          <w:u w:val="double"/>
        </w:rPr>
        <w:t>-FOOTER 2-</w:t>
      </w:r>
    </w:p>
    <w:p>
      <w:pPr>
        <w:pStyle w:val="Normal"/>
        <w:widowControl/>
        <w:bidi w:val="0"/>
        <w:jc w:val="start"/>
        <w:rPr>
          <w:rFonts w:ascii="Times New Roman" w:hAnsi="Times New Roman"/>
          <w:b/>
          <w:u w:val="double"/>
        </w:rPr>
      </w:pPr>
      <w:r>
        <w:rPr>
          <w:rFonts w:ascii="Times New Roman" w:hAnsi="Times New Roman"/>
          <w:b/>
          <w:u w:val="double"/>
        </w:rPr>
        <w:t>4</w:t>
      </w:r>
    </w:p>
    <w:p>
      <w:pPr>
        <w:pStyle w:val="Normal"/>
        <w:widowControl/>
        <w:bidi w:val="0"/>
        <w:jc w:val="start"/>
        <w:rPr>
          <w:rFonts w:ascii="Times New Roman" w:hAnsi="Times New Roman"/>
        </w:rPr>
      </w:pPr>
      <w:r>
        <w:rPr>
          <w:rFonts w:ascii="Times New Roman" w:hAnsi="Times New Roman"/>
          <w:b/>
          <w:u w:val="double"/>
        </w:rPr>
        <w:t>NY12533:133258.1</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 xml:space="preserve">This redlined draft, generated by CompareRite (TM) - The Instant Redliner, shows the differences between - </w:t>
      </w:r>
    </w:p>
    <w:p>
      <w:pPr>
        <w:pStyle w:val="Normal"/>
        <w:widowControl/>
        <w:bidi w:val="0"/>
        <w:jc w:val="start"/>
        <w:rPr>
          <w:rFonts w:ascii="Times New Roman" w:hAnsi="Times New Roman"/>
        </w:rPr>
      </w:pPr>
      <w:r>
        <w:rPr>
          <w:rFonts w:ascii="Times New Roman" w:hAnsi="Times New Roman"/>
        </w:rPr>
        <w:t>original document      : G:\DOCS\NY12533\TEIGLAND\2%TM01!.DOC</w:t>
      </w:r>
    </w:p>
    <w:p>
      <w:pPr>
        <w:pStyle w:val="Normal"/>
        <w:widowControl/>
        <w:bidi w:val="0"/>
        <w:jc w:val="start"/>
        <w:rPr>
          <w:rFonts w:ascii="Times New Roman" w:hAnsi="Times New Roman"/>
        </w:rPr>
      </w:pPr>
      <w:r>
        <w:rPr>
          <w:rFonts w:ascii="Times New Roman" w:hAnsi="Times New Roman"/>
        </w:rPr>
        <w:t>and revised document: G:\DOCS\NY12533\TEIGLAND\2%TM02!.DOC</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CompareRite found      24 change(s) in the text</w:t>
      </w:r>
    </w:p>
    <w:p>
      <w:pPr>
        <w:pStyle w:val="Normal"/>
        <w:widowControl/>
        <w:bidi w:val="0"/>
        <w:jc w:val="start"/>
        <w:rPr>
          <w:rFonts w:ascii="Times New Roman" w:hAnsi="Times New Roman"/>
        </w:rPr>
      </w:pPr>
      <w:r>
        <w:rPr>
          <w:rFonts w:ascii="Times New Roman" w:hAnsi="Times New Roman"/>
        </w:rPr>
        <w:t>CompareRite found        2 change(s) in the notes</w:t>
      </w:r>
    </w:p>
    <w:p>
      <w:pPr>
        <w:pStyle w:val="Normal"/>
        <w:widowControl/>
        <w:bidi w:val="0"/>
        <w:jc w:val="start"/>
        <w:rPr>
          <w:rFonts w:ascii="Times New Roman" w:hAnsi="Times New Roman"/>
        </w:rPr>
      </w:pPr>
      <w:r>
        <w:rPr>
          <w:rFonts w:ascii="Times New Roman" w:hAnsi="Times New Roman"/>
        </w:rPr>
      </w:r>
    </w:p>
    <w:p>
      <w:pPr>
        <w:pStyle w:val="Normal"/>
        <w:widowControl/>
        <w:bidi w:val="0"/>
        <w:jc w:val="start"/>
        <w:rPr>
          <w:rFonts w:ascii="Times New Roman" w:hAnsi="Times New Roman"/>
        </w:rPr>
      </w:pPr>
      <w:r>
        <w:rPr>
          <w:rFonts w:ascii="Times New Roman" w:hAnsi="Times New Roman"/>
        </w:rPr>
        <w:t xml:space="preserve">Deletions appear as Overstrike text </w:t>
      </w:r>
    </w:p>
    <w:p>
      <w:pPr>
        <w:pStyle w:val="Normal"/>
        <w:widowControl/>
        <w:bidi w:val="0"/>
        <w:jc w:val="start"/>
        <w:rPr>
          <w:rFonts w:ascii="Times New Roman" w:hAnsi="Times New Roman"/>
        </w:rPr>
      </w:pPr>
      <w:r>
        <w:rPr>
          <w:rFonts w:ascii="Times New Roman" w:hAnsi="Times New Roman"/>
        </w:rPr>
        <w:t xml:space="preserve">Additions appear as Bold+Dbl Underline text </w:t>
      </w:r>
    </w:p>
    <w:sectPr>
      <w:headerReference w:type="default" r:id="rId8"/>
      <w:headerReference w:type="first" r:id="rId9"/>
      <w:footerReference w:type="default" r:id="rId10"/>
      <w:footerReference w:type="first" r:id="rId11"/>
      <w:type w:val="nextPage"/>
      <w:pgSz w:w="12240" w:h="15840"/>
      <w:pgMar w:left="2160" w:right="1440" w:gutter="0" w:header="720" w:top="1915" w:footer="720" w:bottom="965"/>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20"/>
      </w:rPr>
    </w:pPr>
    <w:r>
      <w:rPr>
        <w:rFonts w:ascii="Times New Roman" w:hAnsi="Times New Roman"/>
        <w:sz w:val="20"/>
      </w:rPr>
      <w:t>NY12533:133258.1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2720"/>
              <wp:effectExtent l="0" t="0" r="0" b="0"/>
              <wp:wrapTopAndBottom/>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6</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6</w:t>
                    </w:r>
                    <w:r>
                      <w:rPr>
                        <w:rStyle w:val="PageNumber"/>
                        <w:sz w:val="24"/>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20"/>
      </w:rPr>
    </w:pPr>
    <w:r>
      <w:rPr>
        <w:rFonts w:ascii="Times New Roman" w:hAnsi="Times New Roman"/>
        <w:sz w:val="20"/>
      </w:rPr>
      <w:t>NY12533:133258.1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92075" cy="172720"/>
              <wp:effectExtent l="0" t="0" r="0" b="0"/>
              <wp:wrapTopAndBottom/>
              <wp:docPr id="3" name="Frame3"/>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20"/>
      </w:rPr>
    </w:pPr>
    <w:r>
      <w:rPr>
        <w:rFonts w:ascii="Times New Roman" w:hAnsi="Times New Roman"/>
        <w:sz w:val="20"/>
      </w:rPr>
      <w:t>NY12533:133258.1</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TopAndBottom/>
              <wp:docPr id="4"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9</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9</w:t>
                    </w:r>
                    <w:r>
                      <w:rPr>
                        <w:rStyle w:val="PageNumber"/>
                        <w:sz w:val="24"/>
                        <w:lang w:val="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20"/>
      </w:rPr>
    </w:pPr>
    <w:r>
      <w:rPr>
        <w:rFonts w:ascii="Times New Roman" w:hAnsi="Times New Roman"/>
        <w:sz w:val="20"/>
      </w:rPr>
      <w:t>NY12533:133258.1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92075" cy="172720"/>
              <wp:effectExtent l="0" t="0" r="0" b="0"/>
              <wp:wrapTopAndBottom/>
              <wp:docPr id="5" name="Frame4"/>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widowControl/>
                      <w:pBdr/>
                      <w:bidi w:val="0"/>
                      <w:jc w:val="start"/>
                      <w:rPr>
                        <w:rStyle w:val="PageNumber"/>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Fonts w:ascii="Times New Roman" w:hAnsi="Times New Roman"/>
      </w:rPr>
      <w:t>S&amp;C Draft of March 15, 2001</w:t>
    </w:r>
  </w:p>
  <w:p>
    <w:pPr>
      <w:pStyle w:val="Header"/>
      <w:widowContro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Fonts w:ascii="Times New Roman" w:hAnsi="Times New Roman"/>
      </w:rPr>
      <w:t>S&amp;C Draft of March 15, 2001</w:t>
    </w:r>
  </w:p>
  <w:p>
    <w:pPr>
      <w:pStyle w:val="Header"/>
      <w:widowControl/>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6"/>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7"/>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8"/>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9"/>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0"/>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3"/>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4"/>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5"/>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6"/>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7"/>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8"/>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Courier New" w:hAnsi="Courier New" w:eastAsia="Courier New" w:cs="Courier"/>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Courier" w:hAnsi="Courier"/>
      <w:b/>
      <w:kern w:val="2"/>
      <w:sz w:val="28"/>
    </w:rPr>
  </w:style>
  <w:style w:type="paragraph" w:styleId="Heading2">
    <w:name w:val="heading 2"/>
    <w:basedOn w:val="Normal"/>
    <w:next w:val="Normal"/>
    <w:qFormat/>
    <w:pPr>
      <w:keepNext w:val="true"/>
      <w:widowControl w:val="false"/>
      <w:spacing w:before="240" w:after="60"/>
    </w:pPr>
    <w:rPr>
      <w:rFonts w:ascii="Courier New" w:hAnsi="Courier New"/>
      <w:b/>
      <w:i/>
    </w:rPr>
  </w:style>
  <w:style w:type="paragraph" w:styleId="Heading3">
    <w:name w:val="heading 3"/>
    <w:basedOn w:val="Normal"/>
    <w:next w:val="Normal"/>
    <w:qFormat/>
    <w:pPr>
      <w:keepNext w:val="true"/>
      <w:widowControl w:val="false"/>
      <w:spacing w:before="240" w:after="60"/>
    </w:pPr>
    <w:rPr>
      <w:rFonts w:ascii="Courier New" w:hAnsi="Courier New"/>
      <w:b/>
    </w:rPr>
  </w:style>
  <w:style w:type="paragraph" w:styleId="Heading4">
    <w:name w:val="heading 4"/>
    <w:basedOn w:val="Normal"/>
    <w:next w:val="Normal"/>
    <w:qFormat/>
    <w:pPr>
      <w:keepNext w:val="true"/>
      <w:widowControl w:val="false"/>
      <w:spacing w:before="240" w:after="60"/>
    </w:pPr>
    <w:rPr>
      <w:rFonts w:ascii="Courier New" w:hAnsi="Courier New"/>
      <w:u w:val="single"/>
    </w:rPr>
  </w:style>
  <w:style w:type="paragraph" w:styleId="Heading5">
    <w:name w:val="heading 5"/>
    <w:basedOn w:val="Normal"/>
    <w:next w:val="Normal"/>
    <w:qFormat/>
    <w:pPr>
      <w:widowControl w:val="false"/>
      <w:spacing w:before="240" w:after="60"/>
    </w:pPr>
    <w:rPr>
      <w:rFonts w:ascii="Courier New" w:hAnsi="Courier New"/>
      <w:sz w:val="22"/>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spacing w:before="120" w:after="120"/>
    </w:pPr>
    <w:rPr>
      <w:b/>
      <w:caps/>
      <w:sz w:val="20"/>
    </w:rPr>
  </w:style>
  <w:style w:type="paragraph" w:styleId="TOC2">
    <w:name w:val="toc 2"/>
    <w:basedOn w:val="Normal"/>
    <w:next w:val="Normal"/>
    <w:autoRedefine/>
    <w:pPr>
      <w:widowControl w:val="false"/>
      <w:ind w:hanging="0" w:start="240"/>
    </w:pPr>
    <w:rPr>
      <w:smallCaps/>
      <w:sz w:val="20"/>
    </w:rPr>
  </w:style>
  <w:style w:type="paragraph" w:styleId="TOC3">
    <w:name w:val="toc 3"/>
    <w:basedOn w:val="Normal"/>
    <w:next w:val="Normal"/>
    <w:autoRedefine/>
    <w:pPr>
      <w:widowControl w:val="false"/>
      <w:ind w:hanging="0" w:start="480"/>
    </w:pPr>
    <w:rPr>
      <w:i/>
      <w:sz w:val="20"/>
    </w:rPr>
  </w:style>
  <w:style w:type="paragraph" w:styleId="TOC4">
    <w:name w:val="toc 4"/>
    <w:basedOn w:val="Normal"/>
    <w:next w:val="Normal"/>
    <w:autoRedefine/>
    <w:pPr>
      <w:widowControl w:val="false"/>
      <w:ind w:hanging="0" w:start="720"/>
    </w:pPr>
    <w:rPr>
      <w:sz w:val="18"/>
    </w:rPr>
  </w:style>
  <w:style w:type="paragraph" w:styleId="TOC5">
    <w:name w:val="toc 5"/>
    <w:basedOn w:val="Normal"/>
    <w:next w:val="Normal"/>
    <w:autoRedefine/>
    <w:pPr>
      <w:widowControl w:val="false"/>
      <w:ind w:hanging="0" w:start="960"/>
    </w:pPr>
    <w:rPr>
      <w:sz w:val="18"/>
    </w:rPr>
  </w:style>
  <w:style w:type="paragraph" w:styleId="TOC6">
    <w:name w:val="toc 6"/>
    <w:basedOn w:val="Normal"/>
    <w:next w:val="Normal"/>
    <w:autoRedefine/>
    <w:pPr>
      <w:widowControl w:val="false"/>
      <w:ind w:hanging="0" w:start="1200"/>
    </w:pPr>
    <w:rPr>
      <w:sz w:val="18"/>
    </w:rPr>
  </w:style>
  <w:style w:type="paragraph" w:styleId="TOC7">
    <w:name w:val="toc 7"/>
    <w:basedOn w:val="Normal"/>
    <w:next w:val="Normal"/>
    <w:autoRedefine/>
    <w:pPr>
      <w:widowControl w:val="false"/>
      <w:ind w:hanging="0" w:start="1440"/>
    </w:pPr>
    <w:rPr>
      <w:sz w:val="18"/>
    </w:rPr>
  </w:style>
  <w:style w:type="paragraph" w:styleId="TOC8">
    <w:name w:val="toc 8"/>
    <w:basedOn w:val="Normal"/>
    <w:next w:val="Normal"/>
    <w:autoRedefine/>
    <w:pPr>
      <w:widowControl w:val="false"/>
      <w:ind w:hanging="0" w:start="1680"/>
    </w:pPr>
    <w:rPr>
      <w:sz w:val="18"/>
    </w:rPr>
  </w:style>
  <w:style w:type="paragraph" w:styleId="TOC9">
    <w:name w:val="toc 9"/>
    <w:basedOn w:val="Normal"/>
    <w:next w:val="Normal"/>
    <w:autoRedefine/>
    <w:pPr>
      <w:widowControl w:val="false"/>
      <w:ind w:hanging="0" w:start="1920"/>
    </w:pPr>
    <w:rPr>
      <w:sz w:val="18"/>
    </w:rPr>
  </w:style>
  <w:style w:type="paragraph" w:styleId="FootnoteText">
    <w:name w:val="footnote text"/>
    <w:basedOn w:val="Normal"/>
    <w:pPr>
      <w:widowControl w:val="false"/>
      <w:spacing w:before="240" w:after="0"/>
    </w:pPr>
    <w:rPr>
      <w:rFonts w:ascii="Courier New" w:hAnsi="Courier New"/>
    </w:rPr>
  </w:style>
  <w:style w:type="paragraph" w:styleId="BodyText5LAs5">
    <w:name w:val="!Body Text .5(LA),s5"/>
    <w:basedOn w:val="Normal"/>
    <w:qFormat/>
    <w:pPr>
      <w:widowControl w:val="false"/>
      <w:spacing w:before="0" w:after="240"/>
      <w:ind w:firstLine="720"/>
    </w:pPr>
    <w:rPr/>
  </w:style>
  <w:style w:type="paragraph" w:styleId="Titlet">
    <w:name w:val="!Title,t"/>
    <w:basedOn w:val="Normal"/>
    <w:qFormat/>
    <w:pPr>
      <w:keepNext w:val="true"/>
      <w:keepLines/>
      <w:widowControl w:val="false"/>
      <w:spacing w:before="120" w:after="240"/>
      <w:jc w:val="center"/>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rPr>
  </w:style>
  <w:style w:type="paragraph" w:styleId="Footer">
    <w:name w:val="footer"/>
    <w:basedOn w:val="Normal"/>
    <w:pPr>
      <w:widowControl w:val="false"/>
      <w:tabs>
        <w:tab w:val="clear" w:pos="720"/>
        <w:tab w:val="center" w:pos="4320" w:leader="none"/>
        <w:tab w:val="right" w:pos="8640" w:leader="none"/>
      </w:tabs>
    </w:pPr>
    <w:rPr>
      <w:rFonts w:ascii="Courier New" w:hAnsi="Courier New"/>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BlockText">
    <w:name w:val="Block Text"/>
    <w:basedOn w:val="Normal"/>
    <w:qFormat/>
    <w:pPr>
      <w:widowControl w:val="false"/>
      <w:ind w:firstLine="720" w:start="720" w:end="720"/>
      <w:jc w:val="both"/>
    </w:pPr>
    <w:rPr>
      <w:sz w:val="22"/>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2202</Words>
  <Characters>15417</Characters>
  <CharactersWithSpaces>12554</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2001-03-15T22:57:00Z</dcterms:created>
  <dc:creator>For Help Call PC Support, x 4277</dc:creator>
  <dc:description/>
  <dc:language>en-CA</dc:language>
  <cp:lastModifiedBy/>
  <dcterms:modified xsi:type="dcterms:W3CDTF">2001-03-15T22:57:00Z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