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7.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bookmarkStart w:id="0" w:name="Redline_32_5"/>
      <w:bookmarkEnd w:id="0"/>
      <w:ins w:id="0" w:author="">
        <w:r>
          <w:rPr>
            <w:rFonts w:ascii="Times New Roman" w:hAnsi="Times New Roman"/>
            <w:strike/>
            <w:sz w:val="24"/>
          </w:rPr>
          <w:t>DRAFT OF NOVEMBER 11, 2000</w:t>
        </w:r>
      </w:ins>
    </w:p>
    <w:p>
      <w:pPr>
        <w:pStyle w:val="Normal"/>
        <w:bidi w:val="0"/>
        <w:jc w:val="center"/>
        <w:rPr>
          <w:rFonts w:ascii="Times New Roman" w:hAnsi="Times New Roman"/>
          <w:sz w:val="24"/>
        </w:rPr>
      </w:pPr>
      <w:r>
        <w:rPr>
          <w:rFonts w:ascii="Times New Roman" w:hAnsi="Times New Roman"/>
          <w:b/>
          <w:sz w:val="24"/>
        </w:rPr>
        <w:t>EXHIBIT G-2 TO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w:t>
      </w:r>
      <w:r>
        <w:rPr>
          <w:rFonts w:ascii="Times New Roman" w:hAnsi="Times New Roman"/>
          <w:b/>
          <w:sz w:val="24"/>
        </w:rPr>
        <w:t>date]</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[Name of Permitted Swap Party]</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(D)</w:t>
        <w:tab/>
        <w:t>Its decisions regarding the merits of each Transaction are the results of arms-</w:t>
        <w:tab/>
        <w:tab/>
        <w:tab/>
        <w:t>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(2)</w:t>
        <w:tab/>
        <w:t>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(iv)</w:t>
        <w:tab/>
        <w:t xml:space="preserve">As of the date hereof (provided that this warranty shall not be deemed </w:t>
        <w:tab/>
        <w:tab/>
        <w:tab/>
        <w:tab/>
        <w:t xml:space="preserve">to be repeated with respect to any subsequent date) it is a Permitted </w:t>
        <w:tab/>
        <w:tab/>
        <w:tab/>
        <w:tab/>
        <w:t xml:space="preserve">Swap Party (as defined in the Facility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w:t>
      </w:r>
      <w:bookmarkStart w:id="1" w:name="Redline_32_6"/>
      <w:bookmarkEnd w:id="1"/>
      <w:r>
        <w:rPr>
          <w:rFonts w:ascii="Times New Roman" w:hAnsi="Times New Roman"/>
          <w:sz w:val="24"/>
        </w:rPr>
        <w:t xml:space="preserve">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Facility Agreement” shall mean that certain Facility Agreement dated November </w:t>
      </w:r>
      <w:bookmarkStart w:id="2" w:name="Redline_32_7"/>
      <w:bookmarkEnd w:id="2"/>
      <w:ins w:id="1" w:author="">
        <w:r>
          <w:rPr>
            <w:rFonts w:ascii="Times New Roman" w:hAnsi="Times New Roman"/>
            <w:strike/>
            <w:sz w:val="24"/>
          </w:rPr>
          <w:t>–</w:t>
        </w:r>
      </w:ins>
      <w:r>
        <w:rPr>
          <w:rFonts w:ascii="Times New Roman" w:hAnsi="Times New Roman"/>
          <w:sz w:val="24"/>
        </w:rPr>
        <w:t xml:space="preserve"> </w:t>
      </w:r>
      <w:bookmarkStart w:id="3" w:name="Redline_32_1"/>
      <w:bookmarkEnd w:id="3"/>
      <w:ins w:id="2" w:author="">
        <w:r>
          <w:rPr>
            <w:rFonts w:ascii="Times New Roman" w:hAnsi="Times New Roman"/>
            <w:b/>
            <w:sz w:val="24"/>
            <w:u w:val="double"/>
          </w:rPr>
          <w:t>17</w:t>
        </w:r>
      </w:ins>
      <w:r>
        <w:rPr>
          <w:rFonts w:ascii="Times New Roman" w:hAnsi="Times New Roman"/>
          <w:sz w:val="24"/>
        </w:rPr>
        <w:t>, 2000 executed by Party B as the issuer of the Notes, Canadian Imperial Bank of Commerce, as Agent (the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 xml:space="preserve">“Increased Amounts”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requirements set forth in the definition of “Calculation Agent”</w:t>
      </w:r>
      <w:ins w:id="3" w:author="">
        <w:r>
          <w:rPr>
            <w:rFonts w:ascii="Times New Roman" w:hAnsi="Times New Roman"/>
            <w:b/>
            <w:sz w:val="24"/>
            <w:u w:val="double"/>
          </w:rPr>
          <w:t>.</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 xml:space="preserve">“Transaction Costs” means, for any date, the reasonable out of pocket costs and expenses </w:t>
        <w:tab/>
        <w:t xml:space="preserve">actually incurred with by the Agent or the Calculation Agent arising out of the collection and/or enforcement </w:t>
        <w:tab/>
        <w:t xml:space="preserve">and/or similar action in respect of the Facility Agreement, calculated in accordance with the </w:t>
        <w:tab/>
        <w:t>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Set-off, etc</w:t>
      </w:r>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(m)</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 xml:space="preserve">Party A is a [                        ] organized under the laws of </w:t>
      </w:r>
      <w:r>
        <w:rPr>
          <w:rFonts w:ascii="Times New Roman" w:hAnsi="Times New Roman"/>
          <w:b/>
          <w:sz w:val="24"/>
        </w:rPr>
        <w:t>[_______]</w:t>
      </w:r>
      <w:r>
        <w:rPr>
          <w:rFonts w:ascii="Times New Roman" w:hAnsi="Times New Roman"/>
          <w:sz w:val="24"/>
        </w:rPr>
        <w: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Exhibit C</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r>
      <w:r>
        <w:rPr>
          <w:rFonts w:ascii="Times New Roman" w:hAnsi="Times New Roman"/>
          <w:b/>
          <w:sz w:val="24"/>
        </w:rPr>
        <w:t>[Name]</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r>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The obligations of Party A will be guaranteed by Enron Corp. pursuant to the Enron Guaranty (as defined in the Facility Agreement).</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p>
    <w:p>
      <w:pPr>
        <w:pStyle w:val="Normal"/>
        <w:keepLines/>
        <w:bidi w:val="0"/>
        <w:spacing w:lineRule="auto" w:line="360"/>
        <w:ind w:hanging="0" w:start="720"/>
        <w:jc w:val="both"/>
        <w:rPr>
          <w:rFonts w:ascii="Times New Roman" w:hAnsi="Times New Roman"/>
          <w:sz w:val="24"/>
        </w:rPr>
      </w:pPr>
      <w:r>
        <w:rPr>
          <w:rFonts w:ascii="Times New Roman" w:hAnsi="Times New Roman"/>
          <w:sz w:val="24"/>
        </w:rPr>
        <w:t>(i)</w:t>
        <w:tab/>
        <w:t>in relation to Party A, Enron Corp.</w:t>
      </w:r>
    </w:p>
    <w:p>
      <w:pPr>
        <w:pStyle w:val="Normal"/>
        <w:bidi w:val="0"/>
        <w:spacing w:lineRule="auto" w:line="360"/>
        <w:jc w:val="both"/>
        <w:rPr>
          <w:rFonts w:ascii="Times New Roman" w:hAnsi="Times New Roman"/>
          <w:sz w:val="24"/>
        </w:rPr>
      </w:pPr>
      <w:r>
        <w:rPr>
          <w:rFonts w:ascii="Times New Roman" w:hAnsi="Times New Roman"/>
          <w:sz w:val="24"/>
        </w:rPr>
        <w:tab/>
        <w:t>(ii)</w:t>
        <w:tab/>
        <w:t>in relation to Party B, 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bookmarkStart w:id="4" w:name="Redline_32_2"/>
      <w:bookmarkEnd w:id="4"/>
      <w:ins w:id="4" w:author="">
        <w:r>
          <w:rPr>
            <w:rFonts w:ascii="Times New Roman" w:hAnsi="Times New Roman"/>
            <w:b/>
            <w:sz w:val="24"/>
            <w:u w:val="double"/>
          </w:rPr>
          <w:t>    Nothing in this Agreement precludes either party from bringing Proceedings in any jurisdiction, nor will the bringing of Proceedings in any one or more jurisdictions preclude the bringing of Proceedings in any other jurisdiction.</w:t>
        </w:r>
      </w:ins>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xml:space="preserve">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w:t>
      </w:r>
      <w:bookmarkStart w:id="5" w:name="Redline_32_8"/>
      <w:bookmarkEnd w:id="5"/>
      <w:ins w:id="5" w:author="">
        <w:r>
          <w:rPr>
            <w:rFonts w:ascii="Times New Roman" w:hAnsi="Times New Roman"/>
            <w:strike/>
            <w:sz w:val="24"/>
          </w:rPr>
          <w:t>the Trust</w:t>
        </w:r>
      </w:ins>
      <w:r>
        <w:rPr>
          <w:rFonts w:ascii="Times New Roman" w:hAnsi="Times New Roman"/>
          <w:sz w:val="24"/>
        </w:rPr>
        <w:t xml:space="preserve"> </w:t>
      </w:r>
      <w:bookmarkStart w:id="6" w:name="Redline_32_3"/>
      <w:bookmarkEnd w:id="6"/>
      <w:ins w:id="6" w:author="">
        <w:r>
          <w:rPr>
            <w:rFonts w:ascii="Times New Roman" w:hAnsi="Times New Roman"/>
            <w:b/>
            <w:sz w:val="24"/>
            <w:u w:val="double"/>
          </w:rPr>
          <w:t>Party B</w:t>
        </w:r>
      </w:ins>
      <w:r>
        <w:rPr>
          <w:rFonts w:ascii="Times New Roman" w:hAnsi="Times New Roman"/>
          <w:sz w:val="24"/>
        </w:rPr>
        <w:t xml:space="preserve"> is made and intended not as personal representations, undertakings and agreements by Wilmington but is made and intended for the purpose of binding only </w:t>
      </w:r>
      <w:ins w:id="7" w:author="">
        <w:r>
          <w:rPr>
            <w:rFonts w:ascii="Times New Roman" w:hAnsi="Times New Roman"/>
            <w:strike/>
            <w:sz w:val="24"/>
          </w:rPr>
          <w:t>the Trust</w:t>
        </w:r>
      </w:ins>
      <w:r>
        <w:rPr>
          <w:rFonts w:ascii="Times New Roman" w:hAnsi="Times New Roman"/>
          <w:sz w:val="24"/>
        </w:rPr>
        <w:t xml:space="preserve"> </w:t>
      </w:r>
      <w:ins w:id="8" w:author="">
        <w:r>
          <w:rPr>
            <w:rFonts w:ascii="Times New Roman" w:hAnsi="Times New Roman"/>
            <w:b/>
            <w:sz w:val="24"/>
            <w:u w:val="double"/>
          </w:rPr>
          <w:t>Party B</w:t>
        </w:r>
      </w:ins>
      <w:r>
        <w:rPr>
          <w:rFonts w:ascii="Times New Roman" w:hAnsi="Times New Roman"/>
          <w:sz w:val="24"/>
        </w:rPr>
        <w:t xml:space="preserve"> and (c) under no circumstances shall Wilmington be personally liable for the payment of any indebtedness or expenses of </w:t>
      </w:r>
      <w:ins w:id="9" w:author="">
        <w:r>
          <w:rPr>
            <w:rFonts w:ascii="Times New Roman" w:hAnsi="Times New Roman"/>
            <w:strike/>
            <w:sz w:val="24"/>
          </w:rPr>
          <w:t>the Trust</w:t>
        </w:r>
      </w:ins>
      <w:r>
        <w:rPr>
          <w:rFonts w:ascii="Times New Roman" w:hAnsi="Times New Roman"/>
          <w:sz w:val="24"/>
        </w:rPr>
        <w:t xml:space="preserve"> </w:t>
      </w:r>
      <w:ins w:id="10" w:author="">
        <w:r>
          <w:rPr>
            <w:rFonts w:ascii="Times New Roman" w:hAnsi="Times New Roman"/>
            <w:b/>
            <w:sz w:val="24"/>
            <w:u w:val="double"/>
          </w:rPr>
          <w:t>Party B</w:t>
        </w:r>
      </w:ins>
      <w:r>
        <w:rPr>
          <w:rFonts w:ascii="Times New Roman" w:hAnsi="Times New Roman"/>
          <w:sz w:val="24"/>
        </w:rPr>
        <w:t xml:space="preserve"> or be liable for the breach or failure of any obligation, representation, warranty or covenant made or undertaken by </w:t>
      </w:r>
      <w:ins w:id="11" w:author="">
        <w:r>
          <w:rPr>
            <w:rFonts w:ascii="Times New Roman" w:hAnsi="Times New Roman"/>
            <w:strike/>
            <w:sz w:val="24"/>
          </w:rPr>
          <w:t>the Trust</w:t>
        </w:r>
      </w:ins>
      <w:r>
        <w:rPr>
          <w:rFonts w:ascii="Times New Roman" w:hAnsi="Times New Roman"/>
          <w:sz w:val="24"/>
        </w:rPr>
        <w:t xml:space="preserve"> </w:t>
      </w:r>
      <w:ins w:id="12" w:author="">
        <w:r>
          <w:rPr>
            <w:rFonts w:ascii="Times New Roman" w:hAnsi="Times New Roman"/>
            <w:b/>
            <w:sz w:val="24"/>
            <w:u w:val="double"/>
          </w:rPr>
          <w:t>Party B</w:t>
        </w:r>
      </w:ins>
      <w:r>
        <w:rPr>
          <w:rFonts w:ascii="Times New Roman" w:hAnsi="Times New Roman"/>
          <w:sz w:val="24"/>
        </w:rPr>
        <w:t xml:space="preserve"> under this Schedule.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ins w:id="13" w:author="">
        <w:r>
          <w:rPr>
            <w:rFonts w:ascii="Times New Roman" w:hAnsi="Times New Roman"/>
            <w:strike/>
            <w:sz w:val="24"/>
          </w:rPr>
          <w:t>Nothing in this Agreement precludes either party from bringing Proceedings in any jurisdiction, nor will the bringing of Proceedings in any one or more jurisdictions preclude the bringing of Proceedings in any other jurisdiction.</w:t>
        </w:r>
      </w:ins>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t xml:space="preserve">(a) </w:t>
        <w:tab/>
        <w:t>The provisions of Section 5(a), (iv), (v), (vi) and (vii) will not apply to Party A or to Party B.</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A’s Credit Support Provider.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to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p>
    <w:p>
      <w:pPr>
        <w:pStyle w:val="Normal"/>
        <w:bidi w:val="0"/>
        <w:spacing w:lineRule="auto" w:line="360"/>
        <w:ind w:hanging="0" w:start="720"/>
        <w:jc w:val="both"/>
        <w:rPr>
          <w:rFonts w:ascii="Times New Roman" w:hAnsi="Times New Roman"/>
          <w:sz w:val="24"/>
        </w:rPr>
      </w:pPr>
      <w:r>
        <w:rPr>
          <w:rFonts w:ascii="Times New Roman" w:hAnsi="Times New Roman"/>
          <w:sz w:val="24"/>
        </w:rPr>
        <w:t xml:space="preserve"> </w:t>
      </w: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shall mean the occurrence of a Guarantor Event of Default (as such term is defined in the Enron Guaranty).</w:t>
      </w:r>
    </w:p>
    <w:p>
      <w:pPr>
        <w:pStyle w:val="Normal"/>
        <w:bidi w:val="0"/>
        <w:spacing w:lineRule="auto" w:line="360"/>
        <w:jc w:val="both"/>
        <w:rPr>
          <w:rFonts w:ascii="Times New Roman" w:hAnsi="Times New Roman"/>
          <w:sz w:val="24"/>
        </w:rPr>
      </w:pPr>
      <w:r>
        <w:rPr>
          <w:rFonts w:ascii="Times New Roman" w:hAnsi="Times New Roman"/>
          <w:sz w:val="24"/>
        </w:rPr>
        <w:tab/>
        <w:t xml:space="preserve">For the purpose of the foregoing Additional Termination Event, the Affected Party shall be </w:t>
        <w:tab/>
        <w:t>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An Early Termination Date shall be deemed to occur immediately on the occurrence with respect to Party A’s Credit Support Provider of a Guarantor Bankruptcy Event of Default (as defined in the Enron Guaranty).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(as defined in the Enron Guaranty),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 xml:space="preserve">(i) </w:t>
        <w:tab/>
        <w:t xml:space="preserve">The </w:t>
      </w:r>
      <w:r>
        <w:rPr>
          <w:rFonts w:ascii="Times New Roman" w:hAnsi="Times New Roman"/>
          <w:b/>
          <w:sz w:val="24"/>
        </w:rPr>
        <w:t>“Contract Currency”</w:t>
      </w:r>
      <w:r>
        <w:rPr>
          <w:rFonts w:ascii="Times New Roman" w:hAnsi="Times New Roman"/>
          <w:sz w:val="24"/>
        </w:rPr>
        <w:t xml:space="preserve"> shall be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(j)</w:t>
        <w:tab/>
      </w:r>
      <w:r>
        <w:rPr>
          <w:rFonts w:ascii="Times New Roman" w:hAnsi="Times New Roman"/>
          <w:b/>
          <w:sz w:val="24"/>
        </w:rPr>
        <w:t>Assignment</w:t>
      </w:r>
      <w:r>
        <w:rPr>
          <w:rFonts w:ascii="Times New Roman" w:hAnsi="Times New Roman"/>
          <w:sz w:val="24"/>
        </w:rPr>
        <w:t xml:space="preserve"> Notwithstanding the provisions of Section 7, Party A may (and on the written request of Enron Corp., shall) assign its rights and obligations hereunder to Enron Corp. on the terms of an Assignment and Assumption Agreement in substantially the form set out in    Exhibit C. Enron Corp. is an intended third party beneficiary of this paragraph (j).    By its countersigning of this Schedule, Enron Corp. agrees promptly to deliver written notice of such assignment and a fully executed original of the related Assignment and Assumption Agreement, together with the    legal opinion referred to in Section 1.03 of the Assignment and Assumption Agreement, to the Agent.</w:t>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spacing w:lineRule="auto" w:line="360"/>
        <w:jc w:val="both"/>
        <w:rPr>
          <w:rFonts w:ascii="Times New Roman" w:hAnsi="Times New Roman"/>
          <w:sz w:val="24"/>
        </w:rPr>
      </w:pPr>
      <w:r>
        <w:rPr>
          <w:rFonts w:ascii="Times New Roman" w:hAnsi="Times New Roman"/>
          <w:sz w:val="24"/>
        </w:rPr>
      </w:r>
      <w:r>
        <w:br w:type="page"/>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b/>
          <w:sz w:val="24"/>
        </w:rPr>
        <w:t>HAWAII II 125-0 TRUST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jc w:val="both"/>
        <w:rPr>
          <w:rFonts w:ascii="Times New Roman" w:hAnsi="Times New Roman"/>
          <w:sz w:val="24"/>
        </w:rPr>
      </w:pPr>
      <w:r>
        <w:rPr>
          <w:rFonts w:ascii="Times New Roman" w:hAnsi="Times New Roman"/>
          <w:sz w:val="24"/>
        </w:rPr>
        <w:tab/>
        <w:t>not in its individual capacity</w:t>
      </w:r>
    </w:p>
    <w:p>
      <w:pPr>
        <w:pStyle w:val="Normal"/>
        <w:bidi w:val="0"/>
        <w:jc w:val="both"/>
        <w:rPr>
          <w:rFonts w:ascii="Times New Roman" w:hAnsi="Times New Roman"/>
          <w:sz w:val="24"/>
        </w:rPr>
      </w:pPr>
      <w:r>
        <w:rPr>
          <w:rFonts w:ascii="Times New Roman" w:hAnsi="Times New Roman"/>
          <w:sz w:val="24"/>
        </w:rPr>
        <w:tab/>
        <w:t>but solely 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Permitted Swap Party</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We hereby confirm that this is a Schedule to which the Enron Guaranty will apply.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z w:val="24"/>
        </w:rPr>
        <w:t>ENRON CORP.</w:t>
      </w:r>
    </w:p>
    <w:p>
      <w:pPr>
        <w:pStyle w:val="Normal"/>
        <w:bidi w:val="0"/>
        <w:jc w:val="both"/>
        <w:rPr>
          <w:rFonts w:ascii="Times New Roman" w:hAnsi="Times New Roman"/>
          <w:sz w:val="24"/>
        </w:rPr>
      </w:pPr>
      <w:r>
        <w:rPr>
          <w:rFonts w:ascii="Times New Roman" w:hAnsi="Times New Roman"/>
          <w:sz w:val="24"/>
        </w:rPr>
        <w:t>an Oregon Corporation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spacing w:before="0" w:after="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center"/>
        <w:rPr>
          <w:rFonts w:ascii="Times New Roman" w:hAnsi="Times New Roman"/>
          <w:sz w:val="24"/>
        </w:rPr>
      </w:pPr>
      <w:r>
        <w:rPr>
          <w:rFonts w:ascii="Times New Roman" w:hAnsi="Times New Roman"/>
          <w:sz w:val="24"/>
        </w:rPr>
        <w:t>EXHIBIT A</w:t>
      </w:r>
    </w:p>
    <w:p>
      <w:pPr>
        <w:pStyle w:val="Normal"/>
        <w:bidi w:val="0"/>
        <w:jc w:val="both"/>
        <w:rPr>
          <w:rFonts w:ascii="Times New Roman" w:hAnsi="Times New Roman"/>
          <w:sz w:val="24"/>
        </w:rPr>
      </w:pPr>
      <w:r>
        <w:rPr>
          <w:rFonts w:ascii="Times New Roman" w:hAnsi="Times New Roman"/>
          <w:sz w:val="24"/>
        </w:rPr>
      </w:r>
    </w:p>
    <w:p>
      <w:pPr>
        <w:pStyle w:val="Normal"/>
        <w:bidi w:val="0"/>
        <w:spacing w:before="0" w:after="0"/>
        <w:jc w:val="center"/>
        <w:rPr>
          <w:rFonts w:ascii="Times New Roman" w:hAnsi="Times New Roman"/>
          <w:sz w:val="24"/>
        </w:rPr>
      </w:pPr>
      <w:r>
        <w:rPr>
          <w:rFonts w:ascii="Times New Roman" w:hAnsi="Times New Roman"/>
          <w:sz w:val="24"/>
        </w:rPr>
        <w:t>[FORM OF OPINION]</w:t>
      </w:r>
    </w:p>
    <w:p>
      <w:pPr>
        <w:sectPr>
          <w:footerReference w:type="even" r:id="rId8"/>
          <w:footerReference w:type="default" r:id="rId9"/>
          <w:footerReference w:type="first" r:id="rId10"/>
          <w:type w:val="nextPage"/>
          <w:pgSz w:w="12240" w:h="15840"/>
          <w:pgMar w:left="1440" w:right="1440" w:gutter="0" w:header="0" w:top="1440" w:footer="576" w:bottom="633"/>
          <w:pgNumType w:fmt="decimal"/>
          <w:formProt w:val="false"/>
          <w:textDirection w:val="lrTb"/>
          <w:docGrid w:type="default" w:linePitch="100" w:charSpace="0"/>
        </w:sectPr>
      </w:pPr>
    </w:p>
    <w:p>
      <w:pPr>
        <w:pStyle w:val="Normal"/>
        <w:bidi w:val="0"/>
        <w:jc w:val="center"/>
        <w:rPr>
          <w:rFonts w:ascii="Times New Roman" w:hAnsi="Times New Roman"/>
          <w:sz w:val="24"/>
        </w:rPr>
      </w:pPr>
      <w:r>
        <w:rPr>
          <w:rFonts w:ascii="Times New Roman" w:hAnsi="Times New Roman"/>
          <w:sz w:val="24"/>
        </w:rPr>
        <w:t>Exhibit B</w:t>
      </w:r>
    </w:p>
    <w:p>
      <w:pPr>
        <w:pStyle w:val="Normal"/>
        <w:bidi w:val="0"/>
        <w:jc w:val="center"/>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INCUMBENCY AND SIGNATURE CERTIFICATE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w:t>
        <w:tab/>
        <w:t>The ISDA Master Agreement dated as of November 17, 2000, including the Schedule, Confirmations, and other exhibits, supplements, attachments and annexes thereto and documents incorporated by reference therein (collectively the “Agreement Documentation”), between Hawaii II 125-0 Trust and the Counterparty has been duly executed and delivered for, in the name of, and on behalf of the Counterparty by the following officer, whose title and signature appear below:</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footerReference w:type="default" r:id="rId11"/>
          <w:footerReference w:type="first" r:id="rId12"/>
          <w:type w:val="nextPage"/>
          <w:pgSz w:w="12240" w:h="15840"/>
          <w:pgMar w:left="1440" w:right="1440" w:gutter="0" w:header="0" w:top="1440" w:footer="576" w:bottom="633"/>
          <w:pgNumType w:start="1"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15</w:t>
      </w:r>
      <w:r>
        <w:rPr>
          <w:rFonts w:ascii="Times New Roman" w:hAnsi="Times New Roman"/>
          <w:sz w:val="24"/>
          <w:vertAlign w:val="superscript"/>
        </w:rPr>
        <w:t>th</w:t>
      </w:r>
      <w:r>
        <w:rPr>
          <w:rFonts w:ascii="Times New Roman" w:hAnsi="Times New Roman"/>
          <w:sz w:val="24"/>
        </w:rPr>
        <w:t xml:space="preserve"> day of November,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[Name of Permitted Swap 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w:t>
      </w:r>
      <w:r>
        <w:rPr>
          <w:rFonts w:ascii="Times New Roman" w:hAnsi="Times New Roman"/>
          <w:b/>
          <w:sz w:val="24"/>
        </w:rPr>
        <w:t>[Name]</w:t>
      </w:r>
      <w:r>
        <w:rPr>
          <w:rFonts w:ascii="Times New Roman" w:hAnsi="Times New Roman"/>
          <w:sz w:val="24"/>
        </w:rPr>
        <w:t xml:space="preserve">, (the “Counterparty”), an </w:t>
      </w:r>
      <w:r>
        <w:rPr>
          <w:rFonts w:ascii="Times New Roman" w:hAnsi="Times New Roman"/>
          <w:b/>
          <w:sz w:val="24"/>
        </w:rPr>
        <w:t>[____________]</w:t>
      </w:r>
      <w:r>
        <w:rPr>
          <w:rFonts w:ascii="Times New Roman" w:hAnsi="Times New Roman"/>
          <w:sz w:val="24"/>
        </w:rPr>
        <w:t xml:space="preserve"> organized under the law of Oregon, hereby certify that </w:t>
      </w:r>
      <w:r>
        <w:rPr>
          <w:rFonts w:ascii="Times New Roman" w:hAnsi="Times New Roman"/>
          <w:sz w:val="24"/>
          <w:u w:val="single"/>
        </w:rPr>
        <w:tab/>
        <w:tab/>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November,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ab/>
        <w:tab/>
        <w:tab/>
        <w:tab/>
        <w:tab/>
        <w:t>EXHIBIT C</w:t>
        <w:tab/>
      </w:r>
    </w:p>
    <w:p>
      <w:pPr>
        <w:pStyle w:val="Normal"/>
        <w:bidi w:val="0"/>
        <w:jc w:val="start"/>
        <w:rPr>
          <w:rFonts w:ascii="Times New Roman" w:hAnsi="Times New Roman"/>
          <w:sz w:val="24"/>
        </w:rPr>
      </w:pPr>
      <w:r>
        <w:rPr>
          <w:rFonts w:ascii="Times New Roman" w:hAnsi="Times New Roman"/>
          <w:sz w:val="24"/>
        </w:rPr>
        <w:tab/>
      </w:r>
    </w:p>
    <w:p>
      <w:pPr>
        <w:pStyle w:val="Normal"/>
        <w:bidi w:val="0"/>
        <w:jc w:val="center"/>
        <w:rPr>
          <w:rFonts w:ascii="Times New Roman" w:hAnsi="Times New Roman"/>
          <w:sz w:val="24"/>
        </w:rPr>
      </w:pPr>
      <w:r>
        <w:rPr>
          <w:rFonts w:ascii="Times New Roman" w:hAnsi="Times New Roman"/>
          <w:sz w:val="24"/>
        </w:rPr>
        <w:t>[FORM OF ASSIGNMENT AND ASSUMPTION AGREEMENT]</w:t>
      </w:r>
    </w:p>
    <w:p>
      <w:pPr>
        <w:pStyle w:val="Normal"/>
        <w:bidi w:val="0"/>
        <w:jc w:val="start"/>
        <w:rPr>
          <w:rFonts w:ascii="Times New Roman" w:hAnsi="Times New Roman"/>
          <w:sz w:val="19"/>
        </w:rPr>
      </w:pPr>
      <w:r>
        <w:rPr>
          <w:rFonts w:ascii="Times New Roman" w:hAnsi="Times New Roman"/>
          <w:sz w:val="19"/>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THIS ASSIGNMENT AND ASSUMPTION AGREEMENT dated as of [date] (this “</w:t>
      </w:r>
      <w:r>
        <w:rPr>
          <w:rFonts w:ascii="Times New Roman" w:hAnsi="Times New Roman"/>
          <w:sz w:val="24"/>
          <w:u w:val="single"/>
        </w:rPr>
        <w:t>Agreement</w:t>
      </w:r>
      <w:r>
        <w:rPr>
          <w:rFonts w:ascii="Times New Roman" w:hAnsi="Times New Roman"/>
          <w:sz w:val="24"/>
        </w:rPr>
        <w:t>”) is executed by and between [name of Party A] (“Sponsor”), a ________ , Enron Corp., an Oregon Corporation (“Enron”) and Hawaii II 125-0 Trust, a Delaware business trust (the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t>Sponsor and the Trust have entered into that certain ISDA Master Agreement and the related Schedule and Confirmation dated as of [date] (the “Swap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B.</w:t>
        <w:tab/>
        <w:t>Sponsor,    Enron and the Trust are entering into this Agreement pursuant to paragraph (j) of Part 5 of the Schedule constituting part of the Swap Agreement in order to assign to Enron all of the rights and obligations of Sponsor under the Swap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For good and valuable consideration the receipt and sufficiency of which are hereby acknowledged, Enron, Sponsor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u w:val="single"/>
        </w:rPr>
        <w:t>ASSIGNMENT AND ASSUMPTION</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Assignment</w:t>
      </w:r>
      <w:r>
        <w:rPr>
          <w:rFonts w:ascii="Times New Roman" w:hAnsi="Times New Roman"/>
          <w:sz w:val="24"/>
        </w:rPr>
        <w:t>                    Sponsor hereby assigns to Enron all of its rights, title, interests, benefits, obligations and liabilities in, to and under the Swap Agreement and Enron hereby assumes and agrees to pay and perform all such obligations and liabilities.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Section 1.02    </w:t>
      </w:r>
      <w:r>
        <w:rPr>
          <w:rFonts w:ascii="Times New Roman" w:hAnsi="Times New Roman"/>
          <w:sz w:val="24"/>
          <w:u w:val="single"/>
        </w:rPr>
        <w:t>Amendment</w:t>
      </w:r>
      <w:r>
        <w:rPr>
          <w:rFonts w:ascii="Times New Roman" w:hAnsi="Times New Roman"/>
          <w:sz w:val="24"/>
        </w:rPr>
        <w:t>                    The Schedule to the Swap Agreement is hereby amended so that (a) Parts 1 through 5 thereof are hereby deleted and replaced in their entirety by Parts 1 through 5 of the form of Schedule set out at Exhibit G-3 (the “Enron Schedule”) of that certain Facility Agreement dated as of November    __, 2000 and executed by the Trust, Canadian Imperial Bank of Commerce, as agent and the other banks party thereto; and (b) all references to “Party A” in the Swap Agreement are hereby deleted and replaced with references to “Enron Corp.”</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sz w:val="24"/>
        </w:rPr>
        <w:tab/>
        <w:t>Section 1.03</w:t>
        <w:tab/>
      </w:r>
      <w:r>
        <w:rPr>
          <w:rFonts w:ascii="Times New Roman" w:hAnsi="Times New Roman"/>
          <w:sz w:val="24"/>
          <w:u w:val="single"/>
        </w:rPr>
        <w:t>Opinion</w:t>
      </w:r>
      <w:r>
        <w:rPr>
          <w:rFonts w:ascii="Times New Roman" w:hAnsi="Times New Roman"/>
          <w:sz w:val="24"/>
        </w:rPr>
        <w:tab/>
        <w:t>The assignment and amendments to be effected pursuant to Sections 1.01 and 1.02 shall be conditional upon Enron having delivered to the Agent (as defined in the Swap Agreement) an opinion of counsel to Enron and Party A with respect to this agreement and the Swap Agreement in substantially the form set out in Exhibit A to the Enron Schedule, with such changes as may be approved by the Agent.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MISCELLANEOUS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Further Assurances</w:t>
      </w:r>
      <w:r>
        <w:rPr>
          <w:rFonts w:ascii="Times New Roman" w:hAnsi="Times New Roman"/>
          <w:sz w:val="24"/>
        </w:rPr>
        <w:t>.    The Sponsor and Enron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Section 2.02    </w:t>
      </w:r>
      <w:r>
        <w:rPr>
          <w:rFonts w:ascii="Times New Roman" w:hAnsi="Times New Roman"/>
          <w:sz w:val="24"/>
          <w:u w:val="single"/>
        </w:rPr>
        <w:t>Representations</w:t>
      </w:r>
      <w:r>
        <w:rPr>
          <w:rFonts w:ascii="Times New Roman" w:hAnsi="Times New Roman"/>
          <w:sz w:val="24"/>
        </w:rPr>
        <w:t>      Each of Enron and Party A represent and warrant to the other that: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880"/>
        <w:jc w:val="start"/>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and has all requisite powers and all material governmental licenses, authorizations, consents and approvals required to carry on its business as now conducted. 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880"/>
        <w:jc w:val="start"/>
        <w:rPr>
          <w:rFonts w:ascii="Times New Roman" w:hAnsi="Times New Roman"/>
          <w:sz w:val="24"/>
        </w:rPr>
      </w:pPr>
      <w:r>
        <w:rPr>
          <w:rFonts w:ascii="Times New Roman" w:hAnsi="Times New Roman"/>
          <w:sz w:val="24"/>
        </w:rPr>
        <w:t>(ii)</w:t>
        <w:tab/>
        <w:t xml:space="preserve">The execution, delivery and performance by it of this Agreement are within it’s corporate powers, have been duly authorized by all necessary corporate action of such party, require,    no action by or in respect of, or filing with, any governmental body, agency or official and do not contravene, or constitute a default under, any provision of law or regulation (including, without limitation, Regulation X issued by the Federal Reserve Board) applicable to it or Regulation U issued by the Federal Reserve Board or its amended and restated articles of incorporation, as amended, or by-laws, as amended or any judgment, injunction, order, decree or material (“material” for the purposes of this representation meaning creating in the aggregate a liability of $100,000,000 or more) agreement binding upon it or result in the creation or imposition of any lien, security interest or other charge or encumbrance on any of its assets. 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880"/>
        <w:jc w:val="start"/>
        <w:rPr>
          <w:rFonts w:ascii="Times New Roman" w:hAnsi="Times New Roman"/>
          <w:sz w:val="24"/>
        </w:rPr>
      </w:pPr>
      <w:r>
        <w:rPr>
          <w:rFonts w:ascii="Times New Roman" w:hAnsi="Times New Roman"/>
          <w:sz w:val="24"/>
        </w:rPr>
        <w:t>(iii)</w:t>
        <w:tab/>
        <w:t>This Agreement is the legal, valid and binding obligation of    such party enforceable against it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tab/>
        <w:t>Section 2.03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NEW YORK</w:t>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even" r:id="rId13"/>
          <w:footerReference w:type="default" r:id="rId14"/>
          <w:footerReference w:type="first" r:id="rId15"/>
          <w:type w:val="nextPage"/>
          <w:pgSz w:w="12240" w:h="15840"/>
          <w:pgMar w:left="1440" w:right="1440" w:gutter="0" w:header="0" w:top="1440" w:footer="576" w:bottom="633"/>
          <w:pgNumType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[NAME], a _____________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Enron Corp., an Oregon corporation</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Wilmington Trust Company, not in its individual capacity but solely as Trustee of the Hawaii II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DAL: </w:t>
      </w:r>
      <w:bookmarkStart w:id="7" w:name="Redline_32_9"/>
      <w:bookmarkEnd w:id="7"/>
      <w:ins w:id="14" w:author="">
        <w:r>
          <w:rPr>
            <w:rFonts w:ascii="Times New Roman" w:hAnsi="Times New Roman"/>
            <w:strike/>
            <w:sz w:val="24"/>
          </w:rPr>
          <w:t>265279.6</w:t>
        </w:r>
      </w:ins>
      <w:r>
        <w:rPr>
          <w:rFonts w:ascii="Times New Roman" w:hAnsi="Times New Roman"/>
          <w:sz w:val="24"/>
        </w:rPr>
        <w:t xml:space="preserve"> </w:t>
      </w:r>
      <w:bookmarkStart w:id="8" w:name="Redline_32_4"/>
      <w:bookmarkEnd w:id="8"/>
      <w:ins w:id="15" w:author="">
        <w:r>
          <w:rPr>
            <w:rFonts w:ascii="Times New Roman" w:hAnsi="Times New Roman"/>
            <w:b/>
            <w:sz w:val="24"/>
            <w:u w:val="double"/>
          </w:rPr>
          <w:t>265279.7</w:t>
        </w:r>
      </w:ins>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Project Hawaii II/Swap Schedule - Signature Page</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Project Hawaii II/Exhibit C to Swap Schedule - Signature Page</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4-</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WIND RIVER ASSIGNMENT AND ASSUMPTION AGREEMENT - Signature Page</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sectPr>
          <w:footerReference w:type="default" r:id="rId16"/>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original document      : C:\DOCUME~1\MCFAM\LOCALS~1\TEMP\DAL_265279_6</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and revised document: C:\DOCUME~1\MCFAM\LOCALS~1\TEMP\DAL_265279_7</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CompareRite found        9 change(s) in the text</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7"/>
      <w:footerReference w:type="first" r:id="rId18"/>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253365" cy="175260"/>
              <wp:effectExtent l="0" t="0" r="0" b="0"/>
              <wp:wrapTopAndBottom/>
              <wp:docPr id="6" name="Frame1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7" name="Frame15"/>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v:textbox>
              <w10:wrap type="topAndBottom"/>
            </v:rect>
          </w:pict>
        </mc:Fallback>
      </mc:AlternateContent>
    </w:r>
  </w:p>
  <w:p>
    <w:pPr>
      <w:pStyle w:val="Normal"/>
      <w:bidi w:val="0"/>
      <w:spacing w:lineRule="auto" w:line="288"/>
      <w:jc w:val="both"/>
      <w:rPr>
        <w:rFonts w:ascii="Times New Roman" w:hAnsi="Times New Roman"/>
        <w:sz w:val="24"/>
      </w:rPr>
    </w:pPr>
    <w:r>
      <w:rPr>
        <w:rFonts w:ascii="Times New Roman" w:hAnsi="Times New Roman"/>
        <w:b/>
        <w:sz w:val="18"/>
      </w:rPr>
      <w:t>WIND RIVER ASSIGNMENT AND ASSUMPTION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8" name="Frame15"/>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v:textbox>
              <w10:wrap type="topAndBottom"/>
            </v:rect>
          </w:pict>
        </mc:Fallback>
      </mc:AlternateContent>
    </w:r>
  </w:p>
  <w:p>
    <w:pPr>
      <w:pStyle w:val="Normal"/>
      <w:bidi w:val="0"/>
      <w:spacing w:lineRule="auto" w:line="288"/>
      <w:jc w:val="both"/>
      <w:rPr>
        <w:rFonts w:ascii="Times New Roman" w:hAnsi="Times New Roman"/>
        <w:sz w:val="24"/>
      </w:rPr>
    </w:pPr>
    <w:r>
      <w:rPr>
        <w:rFonts w:ascii="Times New Roman" w:hAnsi="Times New Roman"/>
        <w:b/>
        <w:sz w:val="18"/>
      </w:rPr>
      <w:t>WIND RIVER ASSIGNMENT AND ASSUMPTION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21">
              <wp:simplePos x="0" y="0"/>
              <wp:positionH relativeFrom="column">
                <wp:align>center</wp:align>
              </wp:positionH>
              <wp:positionV relativeFrom="margin">
                <wp:posOffset>0</wp:posOffset>
              </wp:positionV>
              <wp:extent cx="253365" cy="175260"/>
              <wp:effectExtent l="0" t="0" r="0" b="0"/>
              <wp:wrapTopAndBottom/>
              <wp:docPr id="9" name="Frame19"/>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6</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6</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22">
              <wp:simplePos x="0" y="0"/>
              <wp:positionH relativeFrom="column">
                <wp:align>center</wp:align>
              </wp:positionH>
              <wp:positionV relativeFrom="margin">
                <wp:posOffset>0</wp:posOffset>
              </wp:positionV>
              <wp:extent cx="253365" cy="175260"/>
              <wp:effectExtent l="0" t="0" r="0" b="0"/>
              <wp:wrapTopAndBottom/>
              <wp:docPr id="10" name="Frame20"/>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3">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DAL:265279.7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4">
              <wp:simplePos x="0" y="0"/>
              <wp:positionH relativeFrom="column">
                <wp:align>center</wp:align>
              </wp:positionH>
              <wp:positionV relativeFrom="margin">
                <wp:posOffset>0</wp:posOffset>
              </wp:positionV>
              <wp:extent cx="329565" cy="175260"/>
              <wp:effectExtent l="0" t="0" r="0" b="0"/>
              <wp:wrapTopAndBottom/>
              <wp:docPr id="2"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4">
              <wp:simplePos x="0" y="0"/>
              <wp:positionH relativeFrom="column">
                <wp:align>center</wp:align>
              </wp:positionH>
              <wp:positionV relativeFrom="margin">
                <wp:posOffset>0</wp:posOffset>
              </wp:positionV>
              <wp:extent cx="329565" cy="175260"/>
              <wp:effectExtent l="0" t="0" r="0" b="0"/>
              <wp:wrapTopAndBottom/>
              <wp:docPr id="3"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329565" cy="175260"/>
              <wp:effectExtent l="0" t="0" r="0" b="0"/>
              <wp:wrapTopAndBottom/>
              <wp:docPr id="4" name="Frame9"/>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DAL:265279.7</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329565" cy="175260"/>
              <wp:effectExtent l="0" t="0" r="0" b="0"/>
              <wp:wrapTopAndBottom/>
              <wp:docPr id="5" name="Frame9"/>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DAL:265279.7</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