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bookmarkStart w:id="0" w:name="BM_1_"/>
      <w:bookmarkEnd w:id="0"/>
      <w:r>
        <w:rPr>
          <w:rFonts w:ascii="Times New Roman" w:hAnsi="Times New Roman"/>
          <w:b/>
          <w:sz w:val="24"/>
          <w:u w:val="single"/>
        </w:rPr>
        <w:t>REIMBURSEMENT AND DISCLOSURE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REIMBURSEMENT AND DISCLOSURE AGREEMENT is entered into this </w:t>
      </w:r>
      <w:bookmarkStart w:id="1" w:name="Redline_32_2"/>
      <w:bookmarkEnd w:id="1"/>
      <w:r>
        <w:rPr>
          <w:rFonts w:ascii="Times New Roman" w:hAnsi="Times New Roman"/>
          <w:strike/>
          <w:sz w:val="24"/>
        </w:rPr>
        <w:t>15th</w:t>
      </w:r>
      <w:r>
        <w:rPr>
          <w:rFonts w:ascii="Times New Roman" w:hAnsi="Times New Roman"/>
          <w:sz w:val="24"/>
        </w:rPr>
        <w:t xml:space="preserve"> </w:t>
      </w:r>
      <w:bookmarkStart w:id="2" w:name="Redline_32_1"/>
      <w:bookmarkEnd w:id="2"/>
      <w:ins w:id="0" w:author="">
        <w:r>
          <w:rPr>
            <w:rFonts w:ascii="Times New Roman" w:hAnsi="Times New Roman"/>
            <w:b/>
            <w:sz w:val="24"/>
            <w:u w:val="double"/>
          </w:rPr>
          <w:t>17</w:t>
        </w:r>
      </w:ins>
      <w:ins w:id="1" w:author="">
        <w:r>
          <w:rPr>
            <w:rFonts w:ascii="Times New Roman" w:hAnsi="Times New Roman"/>
            <w:b/>
            <w:sz w:val="24"/>
            <w:u w:val="double"/>
            <w:vertAlign w:val="superscript"/>
          </w:rPr>
          <w:t>th</w:t>
        </w:r>
      </w:ins>
      <w:r>
        <w:rPr>
          <w:rFonts w:ascii="Times New Roman" w:hAnsi="Times New Roman"/>
          <w:sz w:val="24"/>
        </w:rPr>
        <w:t xml:space="preserve"> day of November, 2000, by and between (a) Hawaii II 125-0 Trust (the “</w:t>
      </w:r>
      <w:r>
        <w:rPr>
          <w:rFonts w:ascii="Times New Roman" w:hAnsi="Times New Roman"/>
          <w:sz w:val="24"/>
          <w:u w:val="single"/>
        </w:rPr>
        <w:t>Trust</w:t>
      </w:r>
      <w:r>
        <w:rPr>
          <w:rFonts w:ascii="Times New Roman" w:hAnsi="Times New Roman"/>
          <w:sz w:val="24"/>
        </w:rPr>
        <w:t xml:space="preserve">”), a trust established under the laws of the State of Delaware pursuant to the Trust Agreement dated as of March 31, 2000 and governed by the Second Amended and Restated Trust Agreement dated as of November </w:t>
      </w:r>
      <w:r>
        <w:rPr>
          <w:rFonts w:ascii="Times New Roman" w:hAnsi="Times New Roman"/>
          <w:strike/>
          <w:sz w:val="24"/>
        </w:rPr>
        <w:t>15</w:t>
      </w:r>
      <w:r>
        <w:rPr>
          <w:rFonts w:ascii="Times New Roman" w:hAnsi="Times New Roman"/>
          <w:sz w:val="24"/>
        </w:rPr>
        <w:t xml:space="preserve"> </w:t>
      </w:r>
      <w:ins w:id="2" w:author="">
        <w:r>
          <w:rPr>
            <w:rFonts w:ascii="Times New Roman" w:hAnsi="Times New Roman"/>
            <w:b/>
            <w:sz w:val="24"/>
            <w:u w:val="double"/>
          </w:rPr>
          <w:t>17</w:t>
        </w:r>
      </w:ins>
      <w:r>
        <w:rPr>
          <w:rFonts w:ascii="Times New Roman" w:hAnsi="Times New Roman"/>
          <w:sz w:val="24"/>
        </w:rPr>
        <w:t>, 2000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bidi w:val="0"/>
        <w:jc w:val="both"/>
        <w:rPr>
          <w:rFonts w:ascii="Times New Roman" w:hAnsi="Times New Roman"/>
          <w:sz w:val="24"/>
        </w:rPr>
      </w:pPr>
      <w:r>
        <w:rPr>
          <w:rFonts w:ascii="Times New Roman" w:hAnsi="Times New Roman"/>
          <w:sz w:val="24"/>
        </w:rPr>
      </w:r>
    </w:p>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DAL:265275.4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