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</w:t>
        <w:tab/>
      </w:r>
      <w:r>
        <w:rPr>
          <w:rFonts w:ascii="Times New Roman" w:hAnsi="Times New Roman"/>
          <w:b/>
          <w:sz w:val="18"/>
        </w:rPr>
        <w:t>11/13/00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 Inc.</w:t>
        <w:tab/>
        <w:tab/>
        <w:tab/>
        <w:t>CIBC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EESO</w:t>
        <w:tab/>
        <w:tab/>
        <w:tab/>
        <w:tab/>
        <w:t>Enron Energy Services Operations,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Danno II</w:t>
        <w:tab/>
        <w:tab/>
        <w:tab/>
        <w:t>Danno II, L.L.C.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Maui II</w:t>
        <w:tab/>
        <w:tab/>
        <w:tab/>
        <w:t>Maui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 125-0 TRUST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Hawaii 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Hawaii I Trust Agreement (DAL:266236)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70" w:start="207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1230" w:start="207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F:</w:t>
              <w:tab/>
              <w:t>Form of Certificate of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(DAL:266238)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Beneficial Interest Certificate issued to CIBC Inc. (DAL:266242)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(DAL:266243)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Documents (DAL:266245)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Letter Agreement re: Equity Commitment Termination (DAL:268701)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(DAL:266253)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Note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 (DAL:267509)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(DAL:268741)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G2:</w:t>
              <w:tab/>
              <w:t>Form of Swap Schedule (Permitted Swap Party)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(DAL:268744)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G3: </w:t>
              <w:tab/>
              <w:t>Form of Swap Schedule (Enron) (DAL:268748)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Exhibit G4: </w:t>
              <w:tab/>
              <w:t>Form of Enron Guaranty (DAL:268752)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 (DAL:266256)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 (DAL:266270)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(DAL:266276)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6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710" w:start="17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K:</w:t>
              <w:tab/>
              <w:t>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330" w:leader="none"/>
                <w:tab w:val="left" w:pos="720" w:leader="none"/>
                <w:tab w:val="left" w:pos="1140" w:leader="none"/>
                <w:tab w:val="left" w:pos="1590" w:leader="none"/>
                <w:tab w:val="left" w:pos="195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1260" w:start="171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L:</w:t>
              <w:tab/>
              <w:t>Form of Enron Guaranty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7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9792" w:type="dxa"/>
        <w:jc w:val="start"/>
        <w:tblInd w:w="104" w:type="dxa"/>
        <w:tblLayout w:type="fixed"/>
        <w:tblCellMar>
          <w:top w:w="0" w:type="dxa"/>
          <w:start w:w="104" w:type="dxa"/>
          <w:bottom w:w="0" w:type="dxa"/>
          <w:end w:w="104" w:type="dxa"/>
        </w:tblCellMar>
      </w:tblPr>
      <w:tblGrid>
        <w:gridCol w:w="719"/>
        <w:gridCol w:w="6661"/>
        <w:gridCol w:w="241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66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CIBC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4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$___________ payable to _______________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(DAL:269109)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CIBC, 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Agreement (Mayer, Brown)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of Hawaii I Trust (DAL:267371)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Danno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Maui II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Hawaii Trust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EESO issued by the Secretary of State of Delaware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Articles of Incorporation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 - Board Resolutions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 - Certificate of Formation of 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F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G - Incumbency Certificate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38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to EESO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Hawaii Trust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Mayer, Brown &amp; Platt, counsel to CIBC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66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EESO,    Danno II and Maui II</w:t>
            </w:r>
          </w:p>
        </w:tc>
        <w:tc>
          <w:tcPr>
            <w:tcW w:w="241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440" w:bottom="149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6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6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DAL:266235.2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