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sz w:val="24"/>
        </w:rPr>
      </w:pPr>
      <w:r>
        <w:rPr>
          <w:b/>
          <w:sz w:val="24"/>
        </w:rPr>
        <w:t>ASSET NOTICE</w:t>
      </w:r>
    </w:p>
    <w:p>
      <w:pPr>
        <w:pStyle w:val="Normal"/>
        <w:bidi w:val="0"/>
        <w:spacing w:lineRule="atLeast" w:line="0"/>
        <w:jc w:val="both"/>
        <w:rPr>
          <w:sz w:val="24"/>
        </w:rPr>
      </w:pPr>
      <w:r>
        <w:rPr>
          <w:sz w:val="24"/>
        </w:rPr>
      </w:r>
    </w:p>
    <w:p>
      <w:pPr>
        <w:pStyle w:val="Normal"/>
        <w:bidi w:val="0"/>
        <w:spacing w:lineRule="atLeast" w:line="0"/>
        <w:jc w:val="start"/>
        <w:rPr>
          <w:sz w:val="24"/>
        </w:rPr>
      </w:pPr>
      <w:r>
        <w:rPr>
          <w:sz w:val="24"/>
        </w:rPr>
      </w:r>
    </w:p>
    <w:p>
      <w:pPr>
        <w:pStyle w:val="Normal"/>
        <w:bidi w:val="0"/>
        <w:spacing w:lineRule="atLeast" w:line="0"/>
        <w:jc w:val="both"/>
        <w:rPr>
          <w:sz w:val="24"/>
        </w:rPr>
      </w:pPr>
      <w:r>
        <w:rPr>
          <w:sz w:val="24"/>
        </w:rPr>
        <w:tab/>
        <w:t xml:space="preserve">This is an Asset Notice referred to in Section 5.1 of the Amended and Restated Facility Agreement dated May 31, 2000 (the </w:t>
      </w:r>
      <w:r>
        <w:rPr>
          <w:b/>
          <w:sz w:val="24"/>
        </w:rPr>
        <w:t>“</w:t>
      </w:r>
      <w:r>
        <w:rPr>
          <w:b/>
          <w:sz w:val="24"/>
          <w:u w:val="single"/>
        </w:rPr>
        <w:t>Facility Agreement</w:t>
      </w:r>
      <w:r>
        <w:rPr>
          <w:b/>
          <w:sz w:val="24"/>
        </w:rPr>
        <w:t>”</w:t>
      </w:r>
      <w:r>
        <w:rPr>
          <w:sz w:val="24"/>
        </w:rPr>
        <w:t>) made between Hawaii 125</w:t>
        <w:noBreakHyphen/>
        <w:t>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713/646</w:t>
        <w:noBreakHyphen/>
        <w:t>3422.    Capitalized terms used but not defined herein shall have the respective meanings given to those terms in the Facility Agreement.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The Tranche and Underlying Asset to which this Asset Notice relates are as follows:</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z w:val="24"/>
        </w:rPr>
      </w:pPr>
      <w:r>
        <w:rPr>
          <w:sz w:val="24"/>
        </w:rPr>
        <w:tab/>
        <w:t>1.</w:t>
        <w:tab/>
        <w:t>Valuation of Underlying Asset:</w:t>
        <w:tab/>
        <w:tab/>
        <w:t>$ 90,925,650</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2.</w:t>
        <w:tab/>
        <w:t xml:space="preserve">Amount of Debt Tranche: </w:t>
        <w:tab/>
        <w:tab/>
        <w:tab/>
        <w:t>$________</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3.</w:t>
        <w:tab/>
        <w:t>Proposed Equity Amount:</w:t>
        <w:tab/>
        <w:tab/>
        <w:tab/>
        <w:t>$________</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4.</w:t>
        <w:tab/>
        <w:t>Name of Series:</w:t>
        <w:tab/>
        <w:tab/>
      </w:r>
      <w:r>
        <w:rPr>
          <w:b/>
          <w:sz w:val="24"/>
        </w:rPr>
        <w:tab/>
        <w:tab/>
      </w:r>
      <w:r>
        <w:rPr>
          <w:sz w:val="24"/>
        </w:rPr>
        <w:t>McGarret D</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z w:val="24"/>
        </w:rPr>
      </w:pPr>
      <w:r>
        <w:rPr>
          <w:sz w:val="24"/>
        </w:rPr>
        <w:tab/>
        <w:t>5.</w:t>
        <w:tab/>
        <w:t>Brief Description of Underlying Asset:</w:t>
        <w:tab/>
        <w:t>42,291 Warrants in a wholly</w:t>
        <w:noBreakHyphen/>
        <w:t>owned subsidiary of Enron Energy Services, LLC valued at $2,150.00 per Warrant</w:t>
      </w:r>
    </w:p>
    <w:p>
      <w:pPr>
        <w:pStyle w:val="Normal"/>
        <w:bidi w:val="0"/>
        <w:spacing w:lineRule="atLeast" w:line="0"/>
        <w:jc w:val="both"/>
        <w:rPr>
          <w:sz w:val="24"/>
        </w:rPr>
      </w:pPr>
      <w:r>
        <w:rPr>
          <w:sz w:val="24"/>
        </w:rPr>
      </w:r>
    </w:p>
    <w:p>
      <w:pPr>
        <w:pStyle w:val="Normal"/>
        <w:bidi w:val="0"/>
        <w:spacing w:lineRule="atLeast" w:line="0"/>
        <w:ind w:hanging="0" w:start="720"/>
        <w:jc w:val="both"/>
        <w:rPr>
          <w:sz w:val="24"/>
        </w:rPr>
      </w:pPr>
      <w:r>
        <w:rPr>
          <w:sz w:val="24"/>
        </w:rPr>
        <w:t>6.</w:t>
        <w:tab/>
        <w:t>Valuation Methodology:</w:t>
        <w:tab/>
        <w:tab/>
        <w:tab/>
        <w:t>Third party purchase within 180 days</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z w:val="24"/>
        </w:rPr>
      </w:pPr>
      <w:r>
        <w:rPr>
          <w:sz w:val="24"/>
        </w:rPr>
        <w:tab/>
        <w:t>7.</w:t>
        <w:tab/>
        <w:t>Name of Asset LLC and Type of Entity:</w:t>
        <w:tab/>
        <w:t>McGarret II, L.L.C., a Delaware limited liability company, to be renamed McGarret IV, L.L.C.</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8.</w:t>
        <w:tab/>
        <w:t>Name of Transferor:</w:t>
        <w:tab/>
        <w:tab/>
        <w:tab/>
        <w:tab/>
        <w:t>Hawaii 125</w:t>
        <w:noBreakHyphen/>
        <w:t>0 Trust</w:t>
      </w:r>
    </w:p>
    <w:p>
      <w:pPr>
        <w:pStyle w:val="Normal"/>
        <w:bidi w:val="0"/>
        <w:spacing w:lineRule="atLeast" w:line="0"/>
        <w:jc w:val="both"/>
        <w:rPr>
          <w:sz w:val="24"/>
        </w:rPr>
      </w:pPr>
      <w:r>
        <w:rPr>
          <w:sz w:val="24"/>
        </w:rPr>
        <w:tab/>
        <w:tab/>
        <w:tab/>
        <w:tab/>
        <w:tab/>
        <w:tab/>
        <w:tab/>
        <w:tab/>
      </w:r>
      <w:ins w:id="0" w:author="">
        <w:r>
          <w:rPr>
            <w:strike/>
            <w:sz w:val="24"/>
          </w:rPr>
          <w:t>,</w:t>
        </w:r>
      </w:ins>
      <w:r>
        <w:rPr>
          <w:sz w:val="24"/>
        </w:rPr>
        <w:t xml:space="preserve"> Series McGarret B</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9.</w:t>
        <w:tab/>
        <w:t>Asset Structure:</w:t>
        <w:tab/>
        <w:tab/>
        <w:tab/>
        <w:tab/>
        <w:t>Put Option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This Asset Notice relates to the same warrants as were monetized in the Hawaii 125</w:t>
        <w:noBreakHyphen/>
        <w:t>0 Trust, Series McGarret B. Since the date the McGarret B transaction was consummated, the warrants have increased in value, based on a third party purchase, and the Sponsor is seeking to borrow additional funds based on the new valuation.    The new valuation procedure is consistent with the valuation of warrants utilized in the McGarret C transaction, which closed on August 31, 2000. The proceeds received by the Hawaii 125</w:t>
        <w:noBreakHyphen/>
        <w:t>0 Trust, Series McGarret D, including    the debt portion advanced by the Lenders under the Facility Agreement, will be used to prepay all of the debt and equity outstanding with respect to Series McGarret B.    All funds in excess of those needed to repay the debt and equity of Series McGarret B will be paid to Enron Corp. pursuant to the Total Return Swap Confirmation Relating to Hawaii 125</w:t>
        <w:noBreakHyphen/>
        <w:t>0 Trust Series McGarret B, dated June 29, 2000.</w:t>
      </w:r>
      <w:ins w:id="1" w:author="">
        <w:r>
          <w:rPr>
            <w:b/>
            <w:sz w:val="24"/>
            <w:u w:val="double"/>
          </w:rPr>
          <w:t>    This transaction contemplates the Hawaii 125</w:t>
          <w:noBreakHyphen/>
          <w:t>0 Trust Series McGarret B as the Transferor (</w:t>
        </w:r>
      </w:ins>
      <w:ins w:id="2" w:author="">
        <w:r>
          <w:rPr>
            <w:b/>
            <w:i/>
            <w:sz w:val="24"/>
            <w:u w:val="double"/>
          </w:rPr>
          <w:t>i.e.</w:t>
        </w:r>
      </w:ins>
      <w:ins w:id="3" w:author="">
        <w:r>
          <w:rPr>
            <w:b/>
            <w:sz w:val="24"/>
            <w:u w:val="double"/>
          </w:rPr>
          <w:t xml:space="preserve"> reallocating the property of Series McGarret B to Series McGarret C), thereby eliminating unnecessary transaction costs and the additional steps of creating a new transferor that could otherwise be utilized to effect this transaction.</w:t>
        </w:r>
      </w:ins>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bidi w:val="0"/>
        <w:spacing w:lineRule="atLeast" w:line="0"/>
        <w:jc w:val="both"/>
        <w:rPr>
          <w:sz w:val="24"/>
        </w:rPr>
      </w:pPr>
      <w:r>
        <w:rPr>
          <w:sz w:val="24"/>
        </w:rPr>
        <w:tab/>
      </w:r>
    </w:p>
    <w:p>
      <w:pPr>
        <w:sectPr>
          <w:footerReference w:type="even" r:id="rId2"/>
          <w:footerReference w:type="default" r:id="rId3"/>
          <w:footerReference w:type="first" r:id="rId4"/>
          <w:type w:val="nextPage"/>
          <w:pgSz w:w="12240" w:h="15840"/>
          <w:pgMar w:left="1440" w:right="1440" w:gutter="0" w:header="0" w:top="1440" w:footer="1200" w:bottom="1257"/>
          <w:pgNumType w:fmt="decimal"/>
          <w:formProt w:val="false"/>
          <w:titlePg/>
          <w:textDirection w:val="lrTb"/>
        </w:sectPr>
        <w:pStyle w:val="Normal"/>
        <w:bidi w:val="0"/>
        <w:spacing w:lineRule="atLeast" w:line="0"/>
        <w:jc w:val="both"/>
        <w:rPr>
          <w:sz w:val="24"/>
        </w:rPr>
      </w:pPr>
      <w:r>
        <w:rPr>
          <w:sz w:val="24"/>
        </w:rPr>
        <w:tab/>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r>
        <w:br w:type="page"/>
      </w:r>
    </w:p>
    <w:p>
      <w:pPr>
        <w:pStyle w:val="Normal"/>
        <w:bidi w:val="0"/>
        <w:jc w:val="start"/>
        <w:rPr>
          <w:sz w:val="24"/>
        </w:rPr>
      </w:pPr>
      <w:r>
        <w:rPr>
          <w:sz w:val="24"/>
        </w:rPr>
      </w:r>
    </w:p>
    <w:p>
      <w:pPr>
        <w:sectPr>
          <w:footerReference w:type="even" r:id="rId5"/>
          <w:footerReference w:type="default" r:id="rId6"/>
          <w:footerReference w:type="first" r:id="rId7"/>
          <w:type w:val="nextPage"/>
          <w:pgSz w:w="12240" w:h="15840"/>
          <w:pgMar w:left="1440" w:right="1440" w:gutter="0" w:header="0" w:top="1440" w:footer="1200" w:bottom="1257"/>
          <w:pgNumType w:fmt="decimal"/>
          <w:formProt w:val="false"/>
          <w:textDirection w:val="lrTb"/>
        </w:sectPr>
      </w:pP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Dated: September __, 2000</w:t>
      </w:r>
    </w:p>
    <w:p>
      <w:pPr>
        <w:pStyle w:val="Normal"/>
        <w:bidi w:val="0"/>
        <w:spacing w:lineRule="atLeast" w:line="0"/>
        <w:jc w:val="both"/>
        <w:rPr>
          <w:b/>
          <w:sz w:val="24"/>
        </w:rPr>
      </w:pPr>
      <w:r>
        <w:rPr>
          <w:b/>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both"/>
        <w:rPr>
          <w:b/>
          <w:sz w:val="24"/>
        </w:rPr>
      </w:pPr>
      <w:r>
        <w:rPr>
          <w:b/>
          <w:sz w:val="24"/>
        </w:rPr>
        <w:tab/>
        <w:tab/>
        <w:tab/>
        <w:tab/>
        <w:tab/>
        <w:tab/>
        <w:tab/>
        <w:t>ENRON CORP.,</w:t>
      </w:r>
    </w:p>
    <w:p>
      <w:pPr>
        <w:pStyle w:val="Normal"/>
        <w:bidi w:val="0"/>
        <w:spacing w:lineRule="atLeast" w:line="0"/>
        <w:jc w:val="both"/>
        <w:rPr>
          <w:sz w:val="24"/>
        </w:rPr>
      </w:pPr>
      <w:r>
        <w:rPr>
          <w:b/>
          <w:sz w:val="24"/>
        </w:rPr>
        <w:tab/>
        <w:tab/>
        <w:tab/>
        <w:tab/>
        <w:tab/>
        <w:tab/>
        <w:tab/>
      </w:r>
      <w:r>
        <w:rPr>
          <w:sz w:val="24"/>
        </w:rPr>
        <w:t>an Oregon corporation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r>
    </w:p>
    <w:p>
      <w:pPr>
        <w:pStyle w:val="Normal"/>
        <w:bidi w:val="0"/>
        <w:spacing w:lineRule="atLeast" w:line="0"/>
        <w:jc w:val="start"/>
        <w:rPr>
          <w:sz w:val="24"/>
          <w:u w:val="single"/>
        </w:rPr>
      </w:pPr>
      <w:r>
        <w:rPr>
          <w:sz w:val="24"/>
        </w:rPr>
        <w:tab/>
        <w:tab/>
        <w:tab/>
        <w:tab/>
        <w:tab/>
        <w:tab/>
        <w:tab/>
        <w:t>By:</w:t>
      </w:r>
      <w:r>
        <w:rPr>
          <w:sz w:val="24"/>
          <w:u w:val="single"/>
        </w:rPr>
        <w:tab/>
      </w:r>
    </w:p>
    <w:p>
      <w:pPr>
        <w:pStyle w:val="Normal"/>
        <w:bidi w:val="0"/>
        <w:spacing w:lineRule="atLeast" w:line="0"/>
        <w:jc w:val="start"/>
        <w:rPr>
          <w:sz w:val="24"/>
        </w:rPr>
      </w:pPr>
      <w:r>
        <w:rPr>
          <w:sz w:val="24"/>
        </w:rPr>
        <w:tab/>
        <w:tab/>
        <w:tab/>
        <w:tab/>
        <w:tab/>
        <w:tab/>
        <w:tab/>
        <w:t>Name:</w:t>
      </w:r>
      <w:r>
        <w:rPr>
          <w:sz w:val="24"/>
          <w:u w:val="single"/>
        </w:rPr>
        <w:tab/>
      </w:r>
    </w:p>
    <w:p>
      <w:pPr>
        <w:pStyle w:val="Normal"/>
        <w:bidi w:val="0"/>
        <w:spacing w:lineRule="atLeast" w:line="0"/>
        <w:jc w:val="start"/>
        <w:rPr>
          <w:sz w:val="24"/>
        </w:rPr>
      </w:pPr>
      <w:r>
        <w:rPr>
          <w:sz w:val="24"/>
        </w:rPr>
        <w:tab/>
        <w:tab/>
        <w:tab/>
        <w:tab/>
        <w:tab/>
        <w:tab/>
        <w:tab/>
        <w:t>Title:</w:t>
      </w:r>
      <w:r>
        <w:rPr>
          <w:sz w:val="24"/>
          <w:u w:val="single"/>
        </w:rPr>
        <w:tab/>
      </w:r>
    </w:p>
    <w:p>
      <w:pPr>
        <w:pStyle w:val="Normal"/>
        <w:bidi w:val="0"/>
        <w:spacing w:lineRule="atLeast" w:line="0"/>
        <w:jc w:val="start"/>
        <w:rPr>
          <w:sz w:val="24"/>
        </w:rPr>
      </w:pPr>
      <w:r>
        <w:rPr>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 (a)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tab/>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b/>
          <w:sz w:val="24"/>
        </w:rPr>
        <w:tab/>
        <w:tab/>
        <w:tab/>
        <w:tab/>
        <w:tab/>
        <w:tab/>
        <w:t>CANADIAN IMPERIAL BANK OF</w:t>
      </w:r>
    </w:p>
    <w:p>
      <w:pPr>
        <w:pStyle w:val="Normal"/>
        <w:bidi w:val="0"/>
        <w:spacing w:lineRule="atLeast" w:line="0"/>
        <w:jc w:val="start"/>
        <w:rPr>
          <w:sz w:val="24"/>
        </w:rPr>
      </w:pPr>
      <w:r>
        <w:rPr>
          <w:b/>
          <w:sz w:val="24"/>
        </w:rPr>
        <w:tab/>
        <w:tab/>
        <w:tab/>
        <w:tab/>
        <w:tab/>
        <w:tab/>
        <w:t>COMMERCE, in its capacity as Agent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pStyle w:val="Normal"/>
        <w:bidi w:val="0"/>
        <w:spacing w:lineRule="atLeast" w:line="0"/>
        <w:jc w:val="start"/>
        <w:rPr>
          <w:sz w:val="24"/>
        </w:rPr>
      </w:pPr>
      <w:r>
        <w:rPr>
          <w:sz w:val="24"/>
        </w:rPr>
        <w:tab/>
        <w:tab/>
        <w:tab/>
        <w:tab/>
        <w:tab/>
        <w:tab/>
        <w:t>Title:</w:t>
      </w:r>
      <w:r>
        <w:rPr>
          <w:sz w:val="24"/>
          <w:u w:val="single"/>
        </w:rPr>
        <w:tab/>
      </w:r>
    </w:p>
    <w:p>
      <w:pPr>
        <w:pStyle w:val="Normal"/>
        <w:bidi w:val="0"/>
        <w:spacing w:lineRule="atLeast" w:line="0"/>
        <w:jc w:val="start"/>
        <w:rPr>
          <w:sz w:val="24"/>
        </w:rPr>
      </w:pPr>
      <w:r>
        <w:rPr>
          <w:sz w:val="24"/>
        </w:rPr>
      </w:r>
    </w:p>
    <w:p>
      <w:pPr>
        <w:sectPr>
          <w:footerReference w:type="default" r:id="rId8"/>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Subscriber we hereby confirm pursuant to Section 1 (c) (i) of the Subscription Agreement dated March 31, 2000 between the Subscriber and the Trust, as amended or restated after such date:</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tab/>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b/>
          <w:sz w:val="24"/>
        </w:rPr>
        <w:tab/>
        <w:tab/>
        <w:tab/>
        <w:tab/>
        <w:tab/>
        <w:tab/>
        <w:t xml:space="preserve">CIBC Inc. </w:t>
      </w:r>
    </w:p>
    <w:p>
      <w:pPr>
        <w:pStyle w:val="Normal"/>
        <w:bidi w:val="0"/>
        <w:spacing w:lineRule="atLeast" w:line="0"/>
        <w:jc w:val="start"/>
        <w:rPr>
          <w:sz w:val="24"/>
        </w:rPr>
      </w:pPr>
      <w:r>
        <w:rPr>
          <w:b/>
          <w:sz w:val="24"/>
        </w:rPr>
        <w:tab/>
        <w:tab/>
        <w:tab/>
        <w:tab/>
        <w:tab/>
        <w:tab/>
        <w:t>in its capacity as Subscriber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sectPr>
          <w:footerReference w:type="default" r:id="rId9"/>
          <w:footerReference w:type="first" r:id="rId10"/>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tab/>
        <w:tab/>
        <w:tab/>
        <w:tab/>
        <w:tab/>
        <w:tab/>
        <w:t>Title:</w:t>
      </w:r>
      <w:r>
        <w:rPr>
          <w:sz w:val="24"/>
          <w:u w:val="single"/>
        </w:rPr>
        <w:tab/>
      </w:r>
    </w:p>
    <w:p>
      <w:pPr>
        <w:pStyle w:val="Normal"/>
        <w:bidi w:val="0"/>
        <w:jc w:val="start"/>
        <w:rPr>
          <w:sz w:val="24"/>
        </w:rPr>
      </w:pPr>
      <w:r>
        <w:rPr>
          <w:sz w:val="24"/>
        </w:rPr>
      </w:r>
    </w:p>
    <w:p>
      <w:pPr>
        <w:pStyle w:val="Normal"/>
        <w:bidi w:val="0"/>
        <w:spacing w:lineRule="atLeast" w:line="0"/>
        <w:jc w:val="center"/>
        <w:rPr>
          <w:sz w:val="24"/>
        </w:rPr>
      </w:pPr>
      <w:r>
        <w:rPr>
          <w:b/>
          <w:sz w:val="24"/>
          <w:u w:val="single"/>
        </w:rPr>
        <w:t>ASSET SUMMARY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In December 1999, a wholly owned subsidiary of EES (NEWCO) engaged in the Marketing of natural gas, electricity and other commodities, sold 25,000 common shares and 75,000 special warrants to an outside investor group for $100 million.    EES contributed certain assets in exchange for 75,000 common shares and 225,000 special warrants.    Of the $100 million of proceeds received by NEWCO, $55.7 million was allocated to the 25,000 common shares issued (or $2,226.52 per share) and $44.3 million to the 75,000 special warrants issued (or $591.16 per special warrant).    Based on this valuation, the 225,000 special warrants held by EES have a value of $133.001 million (based on an implied enterprise value of NEWCO as a whole at $400 million).    Since the valuation of NEWCO, and therefore the valuation of the special warrants held by EES, has been determined by the private placements, our ability to rely on this valuation is sound.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 xml:space="preserve">NEWCO entered into arrangements for the issuance of an additional 46,517 special warrants at cost of $2,150 per special warrant to a new third party investor.    Closing of the issuance occurred in July 2000.    The price of these additional special warrants is based on a NEWCO enterprise value of $1 billion for total proceeds of $100 million.    Based on this valuation, the </w:t>
      </w:r>
      <w:ins w:id="4" w:author="">
        <w:r>
          <w:rPr>
            <w:strike/>
            <w:sz w:val="24"/>
          </w:rPr>
          <w:t>148,877 remaining special warrants held by EES (the original 225,000 warrants held by EES less the 33,832 warrants monetized on March 31, 2000 and 42,291 warrants monetized on June 29, 2000 are valued at $320,085,550).</w:t>
        </w:r>
      </w:ins>
      <w:r>
        <w:rPr>
          <w:sz w:val="24"/>
        </w:rPr>
        <w:t xml:space="preserve"> </w:t>
      </w:r>
      <w:ins w:id="5" w:author="">
        <w:r>
          <w:rPr>
            <w:b/>
            <w:sz w:val="24"/>
            <w:u w:val="double"/>
          </w:rPr>
          <w:t>special warrants are valued at $2,150 per special warrant.</w:t>
        </w:r>
      </w:ins>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The special warrants to be monetized in the Hawaii 125</w:t>
        <w:noBreakHyphen/>
        <w:t>0 structure are McGarret Assets as outlined in the Methodology for Asset Valuation (Exhibit E) of the Amended and Restated Facility Agreement dated May 31, 2000.</w:t>
      </w:r>
    </w:p>
    <w:p>
      <w:pPr>
        <w:sectPr>
          <w:footerReference w:type="default" r:id="rId11"/>
          <w:footerReference w:type="first" r:id="rId12"/>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r>
    </w:p>
    <w:p>
      <w:pPr>
        <w:pStyle w:val="Normal"/>
        <w:bidi w:val="0"/>
        <w:jc w:val="start"/>
        <w:rPr>
          <w:sz w:val="24"/>
        </w:rPr>
      </w:pPr>
      <w:r>
        <w:rPr>
          <w:sz w:val="24"/>
        </w:rPr>
      </w:r>
    </w:p>
    <w:p>
      <w:pPr>
        <w:pStyle w:val="Normal"/>
        <w:bidi w:val="0"/>
        <w:spacing w:lineRule="atLeast" w:line="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noBreakHyphen/>
      </w:r>
      <w:r>
        <w:rPr>
          <w:sz w:val="24"/>
        </w:rPr>
        <w:t>FOOTER 1</w:t>
        <w:noBreakHyphen/>
      </w:r>
    </w:p>
    <w:p>
      <w:pPr>
        <w:pStyle w:val="Normal"/>
        <w:bidi w:val="0"/>
        <w:spacing w:lineRule="atLeast" w:line="0"/>
        <w:jc w:val="start"/>
        <w:rPr>
          <w:sz w:val="24"/>
        </w:rPr>
      </w:pPr>
      <w:r>
        <w:rPr>
          <w:sz w:val="24"/>
        </w:rPr>
        <w:t xml:space="preserve">DAL: </w:t>
      </w:r>
      <w:ins w:id="6" w:author="">
        <w:r>
          <w:rPr>
            <w:strike/>
            <w:sz w:val="24"/>
          </w:rPr>
          <w:t>258187.3</w:t>
        </w:r>
      </w:ins>
      <w:r>
        <w:rPr>
          <w:sz w:val="24"/>
        </w:rPr>
        <w:t xml:space="preserve"> </w:t>
      </w:r>
      <w:ins w:id="7" w:author="">
        <w:r>
          <w:rPr>
            <w:b/>
            <w:sz w:val="24"/>
            <w:u w:val="double"/>
          </w:rPr>
          <w:t>258187.4</w:t>
        </w:r>
      </w:ins>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noBreakHyphen/>
      </w:r>
      <w:r>
        <w:rPr>
          <w:sz w:val="24"/>
        </w:rPr>
        <w:t>FOOTER 2</w:t>
        <w:noBreakHyphen/>
      </w:r>
    </w:p>
    <w:p>
      <w:pPr>
        <w:pStyle w:val="Normal"/>
        <w:bidi w:val="0"/>
        <w:spacing w:lineRule="atLeast" w:line="0"/>
        <w:jc w:val="start"/>
        <w:rPr>
          <w:sz w:val="24"/>
        </w:rPr>
      </w:pPr>
      <w:r>
        <w:rPr>
          <w:sz w:val="24"/>
        </w:rPr>
        <w:t xml:space="preserve">Project Hawaii (McGarret D)/Asset Notice </w:t>
        <w:noBreakHyphen/>
        <w:t xml:space="preserve"> Signature Page</w:t>
      </w:r>
    </w:p>
    <w:p>
      <w:pPr>
        <w:pStyle w:val="Normal"/>
        <w:bidi w:val="0"/>
        <w:spacing w:lineRule="atLeast" w:line="0"/>
        <w:jc w:val="start"/>
        <w:rPr>
          <w:sz w:val="24"/>
        </w:rPr>
      </w:pPr>
      <w:r>
        <w:rPr>
          <w:sz w:val="24"/>
        </w:rPr>
      </w:r>
    </w:p>
    <w:p>
      <w:pPr>
        <w:sectPr>
          <w:footerReference w:type="default" r:id="rId13"/>
          <w:footerReference w:type="first" r:id="rId14"/>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sz w:val="24"/>
        </w:rPr>
      </w:pPr>
      <w:r>
        <w:rPr>
          <w:sz w:val="24"/>
        </w:rPr>
        <w:t>original document      : C:\WINDOWS\TEMP\DAL_258187_3</w:t>
      </w:r>
    </w:p>
    <w:p>
      <w:pPr>
        <w:pStyle w:val="Normal"/>
        <w:bidi w:val="0"/>
        <w:spacing w:lineRule="atLeast" w:line="0"/>
        <w:jc w:val="start"/>
        <w:rPr>
          <w:sz w:val="24"/>
        </w:rPr>
      </w:pPr>
      <w:r>
        <w:rPr>
          <w:sz w:val="24"/>
        </w:rPr>
        <w:t>and revised document: C:\WINDOWS\TEMP\DAL_258187.4</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CompareRite found        3 change(s) in the text</w:t>
      </w:r>
    </w:p>
    <w:p>
      <w:pPr>
        <w:pStyle w:val="Normal"/>
        <w:bidi w:val="0"/>
        <w:spacing w:lineRule="atLeast" w:line="0"/>
        <w:jc w:val="start"/>
        <w:rPr>
          <w:sz w:val="24"/>
        </w:rPr>
      </w:pPr>
      <w:r>
        <w:rPr>
          <w:sz w:val="24"/>
        </w:rPr>
        <w:t>CompareRite found        1 change(s) in the notes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 xml:space="preserve">Deletions appear as Strikethrough text </w:t>
      </w:r>
    </w:p>
    <w:p>
      <w:pPr>
        <w:pStyle w:val="Normal"/>
        <w:bidi w:val="0"/>
        <w:spacing w:lineRule="atLeast" w:line="0"/>
        <w:jc w:val="start"/>
        <w:rPr>
          <w:sz w:val="24"/>
        </w:rPr>
      </w:pPr>
      <w:r>
        <w:rPr>
          <w:sz w:val="24"/>
        </w:rPr>
        <w:t xml:space="preserve">Additions appear as Bold+Dbl Underline text </w:t>
      </w:r>
    </w:p>
    <w:sectPr>
      <w:footerReference w:type="default" r:id="rId15"/>
      <w:footerReference w:type="first" r:id="rId16"/>
      <w:type w:val="nextPage"/>
      <w:pgSz w:w="12240" w:h="15840"/>
      <w:pgMar w:left="1440" w:right="1440" w:gutter="0" w:header="0" w:top="1440" w:footer="1200" w:bottom="12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DAL:258187.4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DAL:258187.4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DAL:258187.4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NotoSans NF"/>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NotoSans NF"/>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NotoSans NF"/>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NotoSans NF"/>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NotoSans NF"/>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NotoSans NF"/>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NotoSans NF"/>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