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APPROVED MINUTES OF THE ERCOT BOARD OF DIRECTORS MEETING</w:t>
      </w:r>
    </w:p>
    <w:p>
      <w:pPr>
        <w:pStyle w:val="Subtitle"/>
        <w:bidi w:val="0"/>
        <w:rPr>
          <w:rFonts w:ascii="Times New Roman" w:hAnsi="Times New Roman"/>
          <w:b w:val="false"/>
        </w:rPr>
      </w:pPr>
      <w:r>
        <w:rPr/>
        <w:t>Omni Southpark Hotel</w:t>
      </w:r>
    </w:p>
    <w:p>
      <w:pPr>
        <w:pStyle w:val="Normal"/>
        <w:bidi w:val="0"/>
        <w:ind w:hanging="0" w:start="0" w:end="0"/>
        <w:jc w:val="center"/>
        <w:rPr>
          <w:b/>
          <w:sz w:val="22"/>
        </w:rPr>
      </w:pPr>
      <w:r>
        <w:rPr>
          <w:b/>
          <w:sz w:val="22"/>
        </w:rPr>
        <w:t>Austin, Texas</w:t>
      </w:r>
    </w:p>
    <w:p>
      <w:pPr>
        <w:pStyle w:val="Normal"/>
        <w:bidi w:val="0"/>
        <w:ind w:hanging="0" w:start="0" w:end="0"/>
        <w:jc w:val="center"/>
        <w:rPr>
          <w:b/>
          <w:sz w:val="22"/>
        </w:rPr>
      </w:pPr>
      <w:r>
        <w:rPr>
          <w:b/>
          <w:sz w:val="22"/>
        </w:rPr>
        <w:t>10:00 a.m.</w:t>
      </w:r>
    </w:p>
    <w:p>
      <w:pPr>
        <w:pStyle w:val="Normal"/>
        <w:bidi w:val="0"/>
        <w:ind w:hanging="0" w:start="0" w:end="0"/>
        <w:jc w:val="center"/>
        <w:rPr>
          <w:b/>
          <w:sz w:val="22"/>
        </w:rPr>
      </w:pPr>
      <w:r>
        <w:rPr>
          <w:b/>
          <w:sz w:val="22"/>
        </w:rPr>
        <w:t>October 25, 2000</w:t>
      </w:r>
    </w:p>
    <w:p>
      <w:pPr>
        <w:pStyle w:val="Normal"/>
        <w:bidi w:val="0"/>
        <w:ind w:hanging="0" w:start="0" w:end="0"/>
        <w:jc w:val="center"/>
        <w:rPr>
          <w:b/>
          <w:sz w:val="22"/>
        </w:rPr>
      </w:pPr>
      <w:r>
        <w:rPr>
          <w:b/>
          <w:sz w:val="22"/>
        </w:rPr>
      </w:r>
    </w:p>
    <w:p>
      <w:pPr>
        <w:pStyle w:val="Normal"/>
        <w:bidi w:val="0"/>
        <w:ind w:hanging="0" w:start="0" w:end="0"/>
        <w:jc w:val="center"/>
        <w:rPr>
          <w:b/>
          <w:sz w:val="22"/>
        </w:rPr>
      </w:pPr>
      <w:r>
        <w:rPr>
          <w:b/>
          <w:sz w:val="22"/>
        </w:rPr>
      </w:r>
    </w:p>
    <w:p>
      <w:pPr>
        <w:pStyle w:val="Normal"/>
        <w:bidi w:val="0"/>
        <w:ind w:hanging="0" w:start="0" w:end="0"/>
        <w:jc w:val="both"/>
        <w:rPr>
          <w:sz w:val="22"/>
        </w:rPr>
      </w:pPr>
      <w:r>
        <w:rPr>
          <w:sz w:val="22"/>
        </w:rPr>
        <w:t>Pursuant to notice duly given, the meeting of the Board of Directors of the Electric Reliability Council of Texas, Inc. convened at 10:05 a.m. on October 25, 2000.</w:t>
      </w:r>
    </w:p>
    <w:p>
      <w:pPr>
        <w:pStyle w:val="Normal"/>
        <w:bidi w:val="0"/>
        <w:ind w:hanging="0" w:start="0" w:end="0"/>
        <w:jc w:val="both"/>
        <w:rPr>
          <w:sz w:val="22"/>
        </w:rPr>
      </w:pPr>
      <w:r>
        <w:rPr>
          <w:sz w:val="22"/>
        </w:rPr>
      </w:r>
    </w:p>
    <w:p>
      <w:pPr>
        <w:pStyle w:val="Normal"/>
        <w:bidi w:val="0"/>
        <w:ind w:hanging="0" w:start="0" w:end="0"/>
        <w:jc w:val="both"/>
        <w:rPr>
          <w:sz w:val="22"/>
        </w:rPr>
      </w:pPr>
      <w:r>
        <w:rPr>
          <w:sz w:val="22"/>
        </w:rPr>
        <w:t xml:space="preserve">The meeting was called to order by Chairman David McClanahan who ascertained that a quorum was present. </w:t>
      </w:r>
    </w:p>
    <w:p>
      <w:pPr>
        <w:pStyle w:val="Normal"/>
        <w:bidi w:val="0"/>
        <w:ind w:hanging="0" w:start="0" w:end="0"/>
        <w:jc w:val="both"/>
        <w:rPr>
          <w:sz w:val="22"/>
        </w:rPr>
      </w:pPr>
      <w:r>
        <w:rPr>
          <w:sz w:val="22"/>
        </w:rPr>
      </w:r>
    </w:p>
    <w:p>
      <w:pPr>
        <w:pStyle w:val="Normal"/>
        <w:tabs>
          <w:tab w:val="clear" w:pos="720"/>
          <w:tab w:val="left" w:pos="450" w:leader="none"/>
        </w:tabs>
        <w:bidi w:val="0"/>
        <w:ind w:hanging="0" w:start="0" w:end="0"/>
        <w:jc w:val="both"/>
        <w:rPr>
          <w:sz w:val="22"/>
        </w:rPr>
      </w:pPr>
      <w:r>
        <w:rPr>
          <w:sz w:val="22"/>
        </w:rPr>
        <w:t>Board Attendance and Participants:</w:t>
      </w:r>
    </w:p>
    <w:p>
      <w:pPr>
        <w:pStyle w:val="Normal"/>
        <w:bidi w:val="0"/>
        <w:ind w:hanging="0" w:start="0" w:end="0"/>
        <w:jc w:val="both"/>
        <w:rPr/>
      </w:pPr>
      <w:r>
        <w:rPr/>
      </w:r>
    </w:p>
    <w:tbl>
      <w:tblPr>
        <w:tblW w:w="8748" w:type="dxa"/>
        <w:jc w:val="start"/>
        <w:tblInd w:w="0" w:type="dxa"/>
        <w:tblLayout w:type="fixed"/>
        <w:tblCellMar>
          <w:top w:w="0" w:type="dxa"/>
          <w:start w:w="108" w:type="dxa"/>
          <w:bottom w:w="0" w:type="dxa"/>
          <w:end w:w="108" w:type="dxa"/>
        </w:tblCellMar>
      </w:tblPr>
      <w:tblGrid>
        <w:gridCol w:w="1907"/>
        <w:gridCol w:w="3510"/>
        <w:gridCol w:w="3331"/>
      </w:tblGrid>
      <w:tr>
        <w:trPr/>
        <w:tc>
          <w:tcPr>
            <w:tcW w:w="1907" w:type="dxa"/>
            <w:tcBorders/>
          </w:tcPr>
          <w:p>
            <w:pPr>
              <w:pStyle w:val="Normal"/>
              <w:tabs>
                <w:tab w:val="clear" w:pos="720"/>
              </w:tabs>
              <w:bidi w:val="0"/>
              <w:ind w:hanging="0" w:start="0" w:end="0"/>
              <w:jc w:val="both"/>
              <w:rPr/>
            </w:pPr>
            <w:r>
              <w:rPr/>
              <w:t>Richard Verret</w:t>
            </w:r>
          </w:p>
        </w:tc>
        <w:tc>
          <w:tcPr>
            <w:tcW w:w="3510" w:type="dxa"/>
            <w:tcBorders/>
          </w:tcPr>
          <w:p>
            <w:pPr>
              <w:pStyle w:val="Normal"/>
              <w:tabs>
                <w:tab w:val="clear" w:pos="720"/>
              </w:tabs>
              <w:bidi w:val="0"/>
              <w:ind w:hanging="0" w:start="0" w:end="0"/>
              <w:jc w:val="both"/>
              <w:rPr/>
            </w:pPr>
            <w:r>
              <w:rPr/>
              <w:t>AEP</w:t>
            </w:r>
          </w:p>
        </w:tc>
        <w:tc>
          <w:tcPr>
            <w:tcW w:w="3331" w:type="dxa"/>
            <w:tcBorders/>
          </w:tcPr>
          <w:p>
            <w:pPr>
              <w:pStyle w:val="Normal"/>
              <w:tabs>
                <w:tab w:val="clear" w:pos="720"/>
              </w:tabs>
              <w:bidi w:val="0"/>
              <w:ind w:hanging="0" w:start="0" w:end="0"/>
              <w:jc w:val="both"/>
              <w:rPr/>
            </w:pPr>
            <w:r>
              <w:rPr/>
              <w:t xml:space="preserve">Member </w:t>
            </w:r>
          </w:p>
        </w:tc>
      </w:tr>
      <w:tr>
        <w:trPr/>
        <w:tc>
          <w:tcPr>
            <w:tcW w:w="1907" w:type="dxa"/>
            <w:tcBorders/>
          </w:tcPr>
          <w:p>
            <w:pPr>
              <w:pStyle w:val="Normal"/>
              <w:tabs>
                <w:tab w:val="clear" w:pos="720"/>
              </w:tabs>
              <w:bidi w:val="0"/>
              <w:ind w:hanging="0" w:start="0" w:end="0"/>
              <w:jc w:val="both"/>
              <w:rPr/>
            </w:pPr>
            <w:r>
              <w:rPr/>
              <w:t>Bill Harshbarger</w:t>
            </w:r>
          </w:p>
        </w:tc>
        <w:tc>
          <w:tcPr>
            <w:tcW w:w="3510" w:type="dxa"/>
            <w:tcBorders/>
          </w:tcPr>
          <w:p>
            <w:pPr>
              <w:pStyle w:val="Normal"/>
              <w:tabs>
                <w:tab w:val="clear" w:pos="720"/>
              </w:tabs>
              <w:bidi w:val="0"/>
              <w:ind w:hanging="0" w:start="0" w:end="0"/>
              <w:jc w:val="both"/>
              <w:rPr/>
            </w:pPr>
            <w:r>
              <w:rPr/>
              <w:t>AES Deepwater, Inc.</w:t>
            </w:r>
          </w:p>
        </w:tc>
        <w:tc>
          <w:tcPr>
            <w:tcW w:w="3331" w:type="dxa"/>
            <w:tcBorders/>
          </w:tcPr>
          <w:p>
            <w:pPr>
              <w:pStyle w:val="Normal"/>
              <w:tabs>
                <w:tab w:val="clear" w:pos="720"/>
              </w:tabs>
              <w:bidi w:val="0"/>
              <w:ind w:hanging="0" w:start="0" w:end="0"/>
              <w:jc w:val="both"/>
              <w:rPr/>
            </w:pPr>
            <w:r>
              <w:rPr/>
              <w:t>Member</w:t>
            </w:r>
          </w:p>
        </w:tc>
      </w:tr>
      <w:tr>
        <w:trPr/>
        <w:tc>
          <w:tcPr>
            <w:tcW w:w="1907" w:type="dxa"/>
            <w:tcBorders/>
          </w:tcPr>
          <w:p>
            <w:pPr>
              <w:pStyle w:val="Normal"/>
              <w:bidi w:val="0"/>
              <w:ind w:hanging="0" w:start="0" w:end="0"/>
              <w:jc w:val="both"/>
              <w:rPr/>
            </w:pPr>
            <w:r>
              <w:rPr/>
              <w:t>Chuck Manning</w:t>
            </w:r>
          </w:p>
        </w:tc>
        <w:tc>
          <w:tcPr>
            <w:tcW w:w="3510" w:type="dxa"/>
            <w:tcBorders/>
          </w:tcPr>
          <w:p>
            <w:pPr>
              <w:pStyle w:val="Normal"/>
              <w:bidi w:val="0"/>
              <w:ind w:hanging="0" w:start="0" w:end="0"/>
              <w:jc w:val="both"/>
              <w:rPr/>
            </w:pPr>
            <w:r>
              <w:rPr/>
              <w:t>Austin Energy</w:t>
            </w:r>
          </w:p>
        </w:tc>
        <w:tc>
          <w:tcPr>
            <w:tcW w:w="3331" w:type="dxa"/>
            <w:tcBorders/>
          </w:tcPr>
          <w:p>
            <w:pPr>
              <w:pStyle w:val="Normal"/>
              <w:bidi w:val="0"/>
              <w:ind w:hanging="0" w:start="0" w:end="0"/>
              <w:jc w:val="both"/>
              <w:rPr/>
            </w:pPr>
            <w:r>
              <w:rPr/>
              <w:t xml:space="preserve">Member </w:t>
            </w:r>
          </w:p>
        </w:tc>
      </w:tr>
      <w:tr>
        <w:trPr/>
        <w:tc>
          <w:tcPr>
            <w:tcW w:w="1907" w:type="dxa"/>
            <w:tcBorders/>
          </w:tcPr>
          <w:p>
            <w:pPr>
              <w:pStyle w:val="Normal"/>
              <w:bidi w:val="0"/>
              <w:ind w:hanging="0" w:start="0" w:end="0"/>
              <w:jc w:val="both"/>
              <w:rPr/>
            </w:pPr>
            <w:r>
              <w:rPr/>
              <w:t>Robert Kelly</w:t>
            </w:r>
          </w:p>
        </w:tc>
        <w:tc>
          <w:tcPr>
            <w:tcW w:w="3510" w:type="dxa"/>
            <w:tcBorders/>
          </w:tcPr>
          <w:p>
            <w:pPr>
              <w:pStyle w:val="Normal"/>
              <w:bidi w:val="0"/>
              <w:ind w:hanging="0" w:start="0" w:end="0"/>
              <w:jc w:val="both"/>
              <w:rPr/>
            </w:pPr>
            <w:r>
              <w:rPr/>
              <w:t>Brazos Electric Cooperative</w:t>
            </w:r>
          </w:p>
        </w:tc>
        <w:tc>
          <w:tcPr>
            <w:tcW w:w="3331" w:type="dxa"/>
            <w:tcBorders/>
          </w:tcPr>
          <w:p>
            <w:pPr>
              <w:pStyle w:val="Normal"/>
              <w:bidi w:val="0"/>
              <w:ind w:hanging="0" w:start="0" w:end="0"/>
              <w:jc w:val="both"/>
              <w:rPr/>
            </w:pPr>
            <w:r>
              <w:rPr/>
              <w:t>Member (Representing Karnei)</w:t>
            </w:r>
          </w:p>
        </w:tc>
      </w:tr>
      <w:tr>
        <w:trPr/>
        <w:tc>
          <w:tcPr>
            <w:tcW w:w="1907" w:type="dxa"/>
            <w:tcBorders/>
          </w:tcPr>
          <w:p>
            <w:pPr>
              <w:pStyle w:val="Normal"/>
              <w:bidi w:val="0"/>
              <w:ind w:hanging="0" w:start="0" w:end="0"/>
              <w:jc w:val="both"/>
              <w:rPr/>
            </w:pPr>
            <w:r>
              <w:rPr/>
              <w:t>Jim Stanton</w:t>
            </w:r>
          </w:p>
        </w:tc>
        <w:tc>
          <w:tcPr>
            <w:tcW w:w="3510" w:type="dxa"/>
            <w:tcBorders/>
          </w:tcPr>
          <w:p>
            <w:pPr>
              <w:pStyle w:val="Normal"/>
              <w:bidi w:val="0"/>
              <w:ind w:hanging="0" w:start="0" w:end="0"/>
              <w:jc w:val="both"/>
              <w:rPr/>
            </w:pPr>
            <w:r>
              <w:rPr/>
              <w:t>Calpine</w:t>
            </w:r>
          </w:p>
        </w:tc>
        <w:tc>
          <w:tcPr>
            <w:tcW w:w="3331" w:type="dxa"/>
            <w:tcBorders/>
          </w:tcPr>
          <w:p>
            <w:pPr>
              <w:pStyle w:val="Normal"/>
              <w:bidi w:val="0"/>
              <w:ind w:hanging="0" w:start="0" w:end="0"/>
              <w:jc w:val="both"/>
              <w:rPr/>
            </w:pPr>
            <w:r>
              <w:rPr/>
              <w:t>Member (Representing Hayslip)</w:t>
            </w:r>
          </w:p>
        </w:tc>
      </w:tr>
      <w:tr>
        <w:trPr/>
        <w:tc>
          <w:tcPr>
            <w:tcW w:w="1907" w:type="dxa"/>
            <w:tcBorders/>
          </w:tcPr>
          <w:p>
            <w:pPr>
              <w:pStyle w:val="Normal"/>
              <w:bidi w:val="0"/>
              <w:ind w:hanging="0" w:start="0" w:end="0"/>
              <w:jc w:val="both"/>
              <w:rPr/>
            </w:pPr>
            <w:r>
              <w:rPr/>
              <w:t>Jamie Rochelle</w:t>
            </w:r>
          </w:p>
        </w:tc>
        <w:tc>
          <w:tcPr>
            <w:tcW w:w="3510" w:type="dxa"/>
            <w:tcBorders/>
          </w:tcPr>
          <w:p>
            <w:pPr>
              <w:pStyle w:val="Normal"/>
              <w:bidi w:val="0"/>
              <w:ind w:hanging="0" w:start="0" w:end="0"/>
              <w:jc w:val="both"/>
              <w:rPr/>
            </w:pPr>
            <w:r>
              <w:rPr/>
              <w:t>City Public Service of San Antonio</w:t>
            </w:r>
          </w:p>
        </w:tc>
        <w:tc>
          <w:tcPr>
            <w:tcW w:w="3331" w:type="dxa"/>
            <w:tcBorders/>
          </w:tcPr>
          <w:p>
            <w:pPr>
              <w:pStyle w:val="Normal"/>
              <w:bidi w:val="0"/>
              <w:ind w:hanging="0" w:start="0" w:end="0"/>
              <w:jc w:val="both"/>
              <w:rPr/>
            </w:pPr>
            <w:r>
              <w:rPr/>
              <w:t>Member/Vice Chair</w:t>
            </w:r>
          </w:p>
        </w:tc>
      </w:tr>
      <w:tr>
        <w:trPr/>
        <w:tc>
          <w:tcPr>
            <w:tcW w:w="1907" w:type="dxa"/>
            <w:tcBorders/>
          </w:tcPr>
          <w:p>
            <w:pPr>
              <w:pStyle w:val="Normal"/>
              <w:bidi w:val="0"/>
              <w:ind w:hanging="0" w:start="0" w:end="0"/>
              <w:jc w:val="both"/>
              <w:rPr/>
            </w:pPr>
            <w:r>
              <w:rPr/>
              <w:t>Dan Jones</w:t>
            </w:r>
          </w:p>
        </w:tc>
        <w:tc>
          <w:tcPr>
            <w:tcW w:w="3510" w:type="dxa"/>
            <w:tcBorders/>
          </w:tcPr>
          <w:p>
            <w:pPr>
              <w:pStyle w:val="Normal"/>
              <w:bidi w:val="0"/>
              <w:ind w:hanging="0" w:start="0" w:end="0"/>
              <w:jc w:val="both"/>
              <w:rPr/>
            </w:pPr>
            <w:r>
              <w:rPr/>
              <w:t>City Public Service of San Antonio</w:t>
            </w:r>
          </w:p>
        </w:tc>
        <w:tc>
          <w:tcPr>
            <w:tcW w:w="3331" w:type="dxa"/>
            <w:tcBorders/>
          </w:tcPr>
          <w:p>
            <w:pPr>
              <w:pStyle w:val="Normal"/>
              <w:bidi w:val="0"/>
              <w:ind w:hanging="0" w:start="0" w:end="0"/>
              <w:jc w:val="both"/>
              <w:rPr/>
            </w:pPr>
            <w:r>
              <w:rPr/>
              <w:t>Guest</w:t>
            </w:r>
          </w:p>
        </w:tc>
      </w:tr>
      <w:tr>
        <w:trPr/>
        <w:tc>
          <w:tcPr>
            <w:tcW w:w="1907" w:type="dxa"/>
            <w:tcBorders/>
          </w:tcPr>
          <w:p>
            <w:pPr>
              <w:pStyle w:val="Normal"/>
              <w:bidi w:val="0"/>
              <w:ind w:hanging="0" w:start="0" w:end="0"/>
              <w:jc w:val="both"/>
              <w:rPr/>
            </w:pPr>
            <w:r>
              <w:rPr/>
              <w:t>John Stauffacher</w:t>
            </w:r>
          </w:p>
        </w:tc>
        <w:tc>
          <w:tcPr>
            <w:tcW w:w="3510" w:type="dxa"/>
            <w:tcBorders/>
          </w:tcPr>
          <w:p>
            <w:pPr>
              <w:pStyle w:val="Normal"/>
              <w:bidi w:val="0"/>
              <w:ind w:hanging="0" w:start="0" w:end="0"/>
              <w:jc w:val="both"/>
              <w:rPr/>
            </w:pPr>
            <w:r>
              <w:rPr/>
              <w:t>Dynegy</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Tom Noel</w:t>
            </w:r>
          </w:p>
        </w:tc>
        <w:tc>
          <w:tcPr>
            <w:tcW w:w="3510" w:type="dxa"/>
            <w:tcBorders/>
          </w:tcPr>
          <w:p>
            <w:pPr>
              <w:pStyle w:val="Normal"/>
              <w:bidi w:val="0"/>
              <w:ind w:hanging="0" w:start="0" w:end="0"/>
              <w:jc w:val="both"/>
              <w:rPr/>
            </w:pPr>
            <w:r>
              <w:rPr/>
              <w:t>ERCOT</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Bill Bojorquez</w:t>
            </w:r>
          </w:p>
        </w:tc>
        <w:tc>
          <w:tcPr>
            <w:tcW w:w="3510" w:type="dxa"/>
            <w:tcBorders/>
          </w:tcPr>
          <w:p>
            <w:pPr>
              <w:pStyle w:val="Normal"/>
              <w:bidi w:val="0"/>
              <w:ind w:hanging="0" w:start="0" w:end="0"/>
              <w:jc w:val="both"/>
              <w:rPr/>
            </w:pPr>
            <w:r>
              <w:rPr/>
              <w:t>ERCOT</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Larry Grimm</w:t>
            </w:r>
          </w:p>
        </w:tc>
        <w:tc>
          <w:tcPr>
            <w:tcW w:w="3510" w:type="dxa"/>
            <w:tcBorders/>
          </w:tcPr>
          <w:p>
            <w:pPr>
              <w:pStyle w:val="Normal"/>
              <w:bidi w:val="0"/>
              <w:ind w:hanging="0" w:start="0" w:end="0"/>
              <w:jc w:val="both"/>
              <w:rPr/>
            </w:pPr>
            <w:r>
              <w:rPr/>
              <w:t>ERCOT</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David Kasper</w:t>
            </w:r>
          </w:p>
        </w:tc>
        <w:tc>
          <w:tcPr>
            <w:tcW w:w="3510" w:type="dxa"/>
            <w:tcBorders/>
          </w:tcPr>
          <w:p>
            <w:pPr>
              <w:pStyle w:val="Normal"/>
              <w:bidi w:val="0"/>
              <w:ind w:hanging="0" w:start="0" w:end="0"/>
              <w:jc w:val="both"/>
              <w:rPr/>
            </w:pPr>
            <w:r>
              <w:rPr/>
              <w:t>ERCOT</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Sam Jones</w:t>
            </w:r>
          </w:p>
        </w:tc>
        <w:tc>
          <w:tcPr>
            <w:tcW w:w="3510" w:type="dxa"/>
            <w:tcBorders/>
          </w:tcPr>
          <w:p>
            <w:pPr>
              <w:pStyle w:val="Normal"/>
              <w:bidi w:val="0"/>
              <w:ind w:hanging="0" w:start="0" w:end="0"/>
              <w:jc w:val="both"/>
              <w:rPr/>
            </w:pPr>
            <w:r>
              <w:rPr/>
              <w:t xml:space="preserve">ERCOT </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Margaret Pemberton</w:t>
            </w:r>
          </w:p>
        </w:tc>
        <w:tc>
          <w:tcPr>
            <w:tcW w:w="3510" w:type="dxa"/>
            <w:tcBorders/>
          </w:tcPr>
          <w:p>
            <w:pPr>
              <w:pStyle w:val="Normal"/>
              <w:bidi w:val="0"/>
              <w:ind w:hanging="0" w:start="0" w:end="0"/>
              <w:jc w:val="both"/>
              <w:rPr/>
            </w:pPr>
            <w:r>
              <w:rPr/>
              <w:t>ERCOT</w:t>
            </w:r>
          </w:p>
        </w:tc>
        <w:tc>
          <w:tcPr>
            <w:tcW w:w="3331" w:type="dxa"/>
            <w:tcBorders/>
          </w:tcPr>
          <w:p>
            <w:pPr>
              <w:pStyle w:val="Normal"/>
              <w:bidi w:val="0"/>
              <w:ind w:hanging="0" w:start="0" w:end="0"/>
              <w:jc w:val="both"/>
              <w:rPr/>
            </w:pPr>
            <w:r>
              <w:rPr/>
              <w:t>Staff</w:t>
            </w:r>
          </w:p>
        </w:tc>
      </w:tr>
      <w:tr>
        <w:trPr/>
        <w:tc>
          <w:tcPr>
            <w:tcW w:w="1907" w:type="dxa"/>
            <w:tcBorders/>
          </w:tcPr>
          <w:p>
            <w:pPr>
              <w:pStyle w:val="Normal"/>
              <w:bidi w:val="0"/>
              <w:ind w:hanging="0" w:start="0" w:end="0"/>
              <w:jc w:val="both"/>
              <w:rPr/>
            </w:pPr>
            <w:r>
              <w:rPr/>
              <w:t>Jim Harder</w:t>
            </w:r>
          </w:p>
        </w:tc>
        <w:tc>
          <w:tcPr>
            <w:tcW w:w="3510" w:type="dxa"/>
            <w:tcBorders/>
          </w:tcPr>
          <w:p>
            <w:pPr>
              <w:pStyle w:val="Normal"/>
              <w:bidi w:val="0"/>
              <w:ind w:hanging="0" w:start="0" w:end="0"/>
              <w:jc w:val="both"/>
              <w:rPr/>
            </w:pPr>
            <w:r>
              <w:rPr/>
              <w:t>Garland Power &amp; Light</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Tom Darte</w:t>
            </w:r>
          </w:p>
        </w:tc>
        <w:tc>
          <w:tcPr>
            <w:tcW w:w="3510" w:type="dxa"/>
            <w:tcBorders/>
          </w:tcPr>
          <w:p>
            <w:pPr>
              <w:pStyle w:val="Normal"/>
              <w:bidi w:val="0"/>
              <w:ind w:hanging="0" w:start="0" w:end="0"/>
              <w:jc w:val="both"/>
              <w:rPr/>
            </w:pPr>
            <w:r>
              <w:rPr/>
              <w:t>Greenville Electric System</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Bob Manning</w:t>
            </w:r>
          </w:p>
        </w:tc>
        <w:tc>
          <w:tcPr>
            <w:tcW w:w="3510" w:type="dxa"/>
            <w:tcBorders/>
          </w:tcPr>
          <w:p>
            <w:pPr>
              <w:pStyle w:val="Normal"/>
              <w:bidi w:val="0"/>
              <w:ind w:hanging="0" w:start="0" w:end="0"/>
              <w:jc w:val="both"/>
              <w:rPr/>
            </w:pPr>
            <w:r>
              <w:rPr/>
              <w:t>HEB Grocery</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Joe Beal</w:t>
            </w:r>
          </w:p>
        </w:tc>
        <w:tc>
          <w:tcPr>
            <w:tcW w:w="3510" w:type="dxa"/>
            <w:tcBorders/>
          </w:tcPr>
          <w:p>
            <w:pPr>
              <w:pStyle w:val="Normal"/>
              <w:bidi w:val="0"/>
              <w:ind w:hanging="0" w:start="0" w:end="0"/>
              <w:jc w:val="both"/>
              <w:rPr/>
            </w:pPr>
            <w:r>
              <w:rPr/>
              <w:t>Lower Colorado River Authority</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John Herrera</w:t>
            </w:r>
          </w:p>
        </w:tc>
        <w:tc>
          <w:tcPr>
            <w:tcW w:w="3510" w:type="dxa"/>
            <w:tcBorders/>
          </w:tcPr>
          <w:p>
            <w:pPr>
              <w:pStyle w:val="Normal"/>
              <w:bidi w:val="0"/>
              <w:ind w:hanging="0" w:start="0" w:end="0"/>
              <w:jc w:val="both"/>
              <w:rPr/>
            </w:pPr>
            <w:r>
              <w:rPr/>
              <w:t>Magic Valley Electric Cooperative</w:t>
            </w:r>
          </w:p>
        </w:tc>
        <w:tc>
          <w:tcPr>
            <w:tcW w:w="3331" w:type="dxa"/>
            <w:tcBorders/>
          </w:tcPr>
          <w:p>
            <w:pPr>
              <w:pStyle w:val="Normal"/>
              <w:bidi w:val="0"/>
              <w:ind w:hanging="0" w:start="0" w:end="0"/>
              <w:jc w:val="both"/>
              <w:rPr/>
            </w:pPr>
            <w:r>
              <w:rPr/>
              <w:t>Member (Representing Merett)</w:t>
            </w:r>
          </w:p>
        </w:tc>
      </w:tr>
      <w:tr>
        <w:trPr/>
        <w:tc>
          <w:tcPr>
            <w:tcW w:w="1907" w:type="dxa"/>
            <w:tcBorders/>
          </w:tcPr>
          <w:p>
            <w:pPr>
              <w:pStyle w:val="Normal"/>
              <w:bidi w:val="0"/>
              <w:ind w:hanging="0" w:start="0" w:end="0"/>
              <w:jc w:val="both"/>
              <w:rPr/>
            </w:pPr>
            <w:r>
              <w:rPr/>
              <w:t>Suzi McClellan</w:t>
            </w:r>
          </w:p>
        </w:tc>
        <w:tc>
          <w:tcPr>
            <w:tcW w:w="3510" w:type="dxa"/>
            <w:tcBorders/>
          </w:tcPr>
          <w:p>
            <w:pPr>
              <w:pStyle w:val="Normal"/>
              <w:bidi w:val="0"/>
              <w:ind w:hanging="0" w:start="0" w:end="0"/>
              <w:jc w:val="both"/>
              <w:rPr/>
            </w:pPr>
            <w:r>
              <w:rPr/>
              <w:t>Office of Public Utility Counsel</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Ron Lanclos</w:t>
            </w:r>
          </w:p>
        </w:tc>
        <w:tc>
          <w:tcPr>
            <w:tcW w:w="3510" w:type="dxa"/>
            <w:tcBorders/>
          </w:tcPr>
          <w:p>
            <w:pPr>
              <w:pStyle w:val="Normal"/>
              <w:bidi w:val="0"/>
              <w:ind w:hanging="0" w:start="0" w:end="0"/>
              <w:jc w:val="both"/>
              <w:rPr/>
            </w:pPr>
            <w:r>
              <w:rPr/>
              <w:t>OxyPermian LTD/TIEC</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Bob Wittmeyer</w:t>
            </w:r>
          </w:p>
        </w:tc>
        <w:tc>
          <w:tcPr>
            <w:tcW w:w="3510" w:type="dxa"/>
            <w:tcBorders/>
          </w:tcPr>
          <w:p>
            <w:pPr>
              <w:pStyle w:val="Normal"/>
              <w:bidi w:val="0"/>
              <w:ind w:hanging="0" w:start="0" w:end="0"/>
              <w:jc w:val="both"/>
              <w:rPr/>
            </w:pPr>
            <w:r>
              <w:rPr/>
              <w:t>PanCanadian</w:t>
            </w:r>
          </w:p>
        </w:tc>
        <w:tc>
          <w:tcPr>
            <w:tcW w:w="3331" w:type="dxa"/>
            <w:tcBorders/>
          </w:tcPr>
          <w:p>
            <w:pPr>
              <w:pStyle w:val="Normal"/>
              <w:bidi w:val="0"/>
              <w:ind w:hanging="0" w:start="0" w:end="0"/>
              <w:jc w:val="both"/>
              <w:rPr/>
            </w:pPr>
            <w:r>
              <w:rPr/>
              <w:t>Member (Representing Hutchins)</w:t>
            </w:r>
          </w:p>
        </w:tc>
      </w:tr>
      <w:tr>
        <w:trPr/>
        <w:tc>
          <w:tcPr>
            <w:tcW w:w="1907" w:type="dxa"/>
            <w:tcBorders/>
          </w:tcPr>
          <w:p>
            <w:pPr>
              <w:pStyle w:val="Normal"/>
              <w:bidi w:val="0"/>
              <w:ind w:hanging="0" w:start="0" w:end="0"/>
              <w:jc w:val="both"/>
              <w:rPr/>
            </w:pPr>
            <w:r>
              <w:rPr/>
              <w:t>Jack Hawks</w:t>
            </w:r>
          </w:p>
        </w:tc>
        <w:tc>
          <w:tcPr>
            <w:tcW w:w="3510" w:type="dxa"/>
            <w:tcBorders/>
          </w:tcPr>
          <w:p>
            <w:pPr>
              <w:pStyle w:val="Normal"/>
              <w:bidi w:val="0"/>
              <w:ind w:hanging="0" w:start="0" w:end="0"/>
              <w:jc w:val="both"/>
              <w:rPr/>
            </w:pPr>
            <w:r>
              <w:rPr/>
              <w:t>PG&amp;E</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Pat Wood</w:t>
            </w:r>
          </w:p>
        </w:tc>
        <w:tc>
          <w:tcPr>
            <w:tcW w:w="3510" w:type="dxa"/>
            <w:tcBorders/>
          </w:tcPr>
          <w:p>
            <w:pPr>
              <w:pStyle w:val="Normal"/>
              <w:bidi w:val="0"/>
              <w:ind w:hanging="0" w:start="0" w:end="0"/>
              <w:jc w:val="both"/>
              <w:rPr/>
            </w:pPr>
            <w:r>
              <w:rPr/>
              <w:t>Public Utility Commission of Texas</w:t>
            </w:r>
          </w:p>
        </w:tc>
        <w:tc>
          <w:tcPr>
            <w:tcW w:w="3331" w:type="dxa"/>
            <w:tcBorders/>
          </w:tcPr>
          <w:p>
            <w:pPr>
              <w:pStyle w:val="Normal"/>
              <w:bidi w:val="0"/>
              <w:ind w:hanging="0" w:start="0" w:end="0"/>
              <w:jc w:val="both"/>
              <w:rPr/>
            </w:pPr>
            <w:r>
              <w:rPr/>
              <w:t>Ex Officio Rep.</w:t>
            </w:r>
          </w:p>
        </w:tc>
      </w:tr>
      <w:tr>
        <w:trPr/>
        <w:tc>
          <w:tcPr>
            <w:tcW w:w="1907" w:type="dxa"/>
            <w:tcBorders/>
          </w:tcPr>
          <w:p>
            <w:pPr>
              <w:pStyle w:val="Normal"/>
              <w:bidi w:val="0"/>
              <w:ind w:hanging="0" w:start="0" w:end="0"/>
              <w:jc w:val="both"/>
              <w:rPr/>
            </w:pPr>
            <w:r>
              <w:rPr/>
              <w:t>Parviz Adib</w:t>
            </w:r>
          </w:p>
        </w:tc>
        <w:tc>
          <w:tcPr>
            <w:tcW w:w="3510" w:type="dxa"/>
            <w:tcBorders/>
          </w:tcPr>
          <w:p>
            <w:pPr>
              <w:pStyle w:val="Normal"/>
              <w:bidi w:val="0"/>
              <w:ind w:hanging="0" w:start="0" w:end="0"/>
              <w:jc w:val="both"/>
              <w:rPr/>
            </w:pPr>
            <w:r>
              <w:rPr/>
              <w:t>Public Utility Commission of Texas</w:t>
            </w:r>
          </w:p>
        </w:tc>
        <w:tc>
          <w:tcPr>
            <w:tcW w:w="3331" w:type="dxa"/>
            <w:tcBorders/>
          </w:tcPr>
          <w:p>
            <w:pPr>
              <w:pStyle w:val="Normal"/>
              <w:bidi w:val="0"/>
              <w:ind w:hanging="0" w:start="0" w:end="0"/>
              <w:jc w:val="both"/>
              <w:rPr/>
            </w:pPr>
            <w:r>
              <w:rPr/>
              <w:t>Guest</w:t>
            </w:r>
          </w:p>
        </w:tc>
      </w:tr>
      <w:tr>
        <w:trPr>
          <w:trHeight w:val="207" w:hRule="atLeast"/>
        </w:trPr>
        <w:tc>
          <w:tcPr>
            <w:tcW w:w="1907" w:type="dxa"/>
            <w:tcBorders/>
          </w:tcPr>
          <w:p>
            <w:pPr>
              <w:pStyle w:val="Normal"/>
              <w:tabs>
                <w:tab w:val="clear" w:pos="720"/>
              </w:tabs>
              <w:bidi w:val="0"/>
              <w:ind w:hanging="0" w:start="0" w:end="0"/>
              <w:jc w:val="both"/>
              <w:rPr/>
            </w:pPr>
            <w:r>
              <w:rPr/>
              <w:t>David McClanahan</w:t>
            </w:r>
          </w:p>
        </w:tc>
        <w:tc>
          <w:tcPr>
            <w:tcW w:w="3510" w:type="dxa"/>
            <w:tcBorders/>
          </w:tcPr>
          <w:p>
            <w:pPr>
              <w:pStyle w:val="Normal"/>
              <w:tabs>
                <w:tab w:val="clear" w:pos="720"/>
              </w:tabs>
              <w:bidi w:val="0"/>
              <w:ind w:hanging="0" w:start="0" w:end="0"/>
              <w:jc w:val="both"/>
              <w:rPr/>
            </w:pPr>
            <w:r>
              <w:rPr/>
              <w:t>Reliant Energy</w:t>
            </w:r>
          </w:p>
        </w:tc>
        <w:tc>
          <w:tcPr>
            <w:tcW w:w="3331" w:type="dxa"/>
            <w:tcBorders/>
          </w:tcPr>
          <w:p>
            <w:pPr>
              <w:pStyle w:val="Normal"/>
              <w:tabs>
                <w:tab w:val="clear" w:pos="720"/>
              </w:tabs>
              <w:bidi w:val="0"/>
              <w:ind w:hanging="0" w:start="0" w:end="0"/>
              <w:jc w:val="both"/>
              <w:rPr/>
            </w:pPr>
            <w:r>
              <w:rPr/>
              <w:t>Member/Chair</w:t>
            </w:r>
          </w:p>
        </w:tc>
      </w:tr>
      <w:tr>
        <w:trPr/>
        <w:tc>
          <w:tcPr>
            <w:tcW w:w="1907" w:type="dxa"/>
            <w:tcBorders/>
          </w:tcPr>
          <w:p>
            <w:pPr>
              <w:pStyle w:val="Normal"/>
              <w:tabs>
                <w:tab w:val="clear" w:pos="720"/>
              </w:tabs>
              <w:bidi w:val="0"/>
              <w:ind w:hanging="0" w:start="0" w:end="0"/>
              <w:jc w:val="both"/>
              <w:rPr/>
            </w:pPr>
            <w:r>
              <w:rPr/>
              <w:t>John Meyer</w:t>
            </w:r>
          </w:p>
        </w:tc>
        <w:tc>
          <w:tcPr>
            <w:tcW w:w="3510" w:type="dxa"/>
            <w:tcBorders/>
          </w:tcPr>
          <w:p>
            <w:pPr>
              <w:pStyle w:val="Normal"/>
              <w:tabs>
                <w:tab w:val="clear" w:pos="720"/>
              </w:tabs>
              <w:bidi w:val="0"/>
              <w:ind w:hanging="0" w:start="0" w:end="0"/>
              <w:jc w:val="both"/>
              <w:rPr/>
            </w:pPr>
            <w:r>
              <w:rPr/>
              <w:t xml:space="preserve">Reliant Energy </w:t>
            </w:r>
          </w:p>
        </w:tc>
        <w:tc>
          <w:tcPr>
            <w:tcW w:w="3331" w:type="dxa"/>
            <w:tcBorders/>
          </w:tcPr>
          <w:p>
            <w:pPr>
              <w:pStyle w:val="Normal"/>
              <w:tabs>
                <w:tab w:val="clear" w:pos="720"/>
              </w:tabs>
              <w:bidi w:val="0"/>
              <w:ind w:hanging="0" w:start="0" w:end="0"/>
              <w:jc w:val="both"/>
              <w:rPr/>
            </w:pPr>
            <w:r>
              <w:rPr/>
              <w:t>Guest</w:t>
            </w:r>
          </w:p>
        </w:tc>
      </w:tr>
      <w:tr>
        <w:trPr/>
        <w:tc>
          <w:tcPr>
            <w:tcW w:w="1907" w:type="dxa"/>
            <w:tcBorders/>
          </w:tcPr>
          <w:p>
            <w:pPr>
              <w:pStyle w:val="Normal"/>
              <w:bidi w:val="0"/>
              <w:ind w:hanging="0" w:start="0" w:end="0"/>
              <w:jc w:val="both"/>
              <w:rPr/>
            </w:pPr>
            <w:r>
              <w:rPr/>
              <w:t>John Stout</w:t>
            </w:r>
          </w:p>
        </w:tc>
        <w:tc>
          <w:tcPr>
            <w:tcW w:w="3510" w:type="dxa"/>
            <w:tcBorders/>
          </w:tcPr>
          <w:p>
            <w:pPr>
              <w:pStyle w:val="Normal"/>
              <w:bidi w:val="0"/>
              <w:ind w:hanging="0" w:start="0" w:end="0"/>
              <w:jc w:val="both"/>
              <w:rPr/>
            </w:pPr>
            <w:r>
              <w:rPr/>
              <w:t>Reliant Energy</w:t>
            </w:r>
          </w:p>
        </w:tc>
        <w:tc>
          <w:tcPr>
            <w:tcW w:w="3331" w:type="dxa"/>
            <w:tcBorders/>
          </w:tcPr>
          <w:p>
            <w:pPr>
              <w:pStyle w:val="Normal"/>
              <w:bidi w:val="0"/>
              <w:ind w:hanging="0" w:start="0" w:end="0"/>
              <w:jc w:val="both"/>
              <w:rPr/>
            </w:pPr>
            <w:r>
              <w:rPr/>
              <w:t>Guest</w:t>
            </w:r>
          </w:p>
        </w:tc>
      </w:tr>
      <w:tr>
        <w:trPr/>
        <w:tc>
          <w:tcPr>
            <w:tcW w:w="1907" w:type="dxa"/>
            <w:tcBorders/>
          </w:tcPr>
          <w:p>
            <w:pPr>
              <w:pStyle w:val="Normal"/>
              <w:bidi w:val="0"/>
              <w:ind w:hanging="0" w:start="0" w:end="0"/>
              <w:jc w:val="both"/>
              <w:rPr/>
            </w:pPr>
            <w:r>
              <w:rPr/>
              <w:t>David Grubbs</w:t>
            </w:r>
          </w:p>
        </w:tc>
        <w:tc>
          <w:tcPr>
            <w:tcW w:w="3510" w:type="dxa"/>
            <w:tcBorders/>
          </w:tcPr>
          <w:p>
            <w:pPr>
              <w:pStyle w:val="Normal"/>
              <w:bidi w:val="0"/>
              <w:ind w:hanging="0" w:start="0" w:end="0"/>
              <w:jc w:val="both"/>
              <w:rPr/>
            </w:pPr>
            <w:r>
              <w:rPr/>
              <w:t>South Texas Electric Cooperative</w:t>
            </w:r>
          </w:p>
        </w:tc>
        <w:tc>
          <w:tcPr>
            <w:tcW w:w="3331" w:type="dxa"/>
            <w:tcBorders/>
          </w:tcPr>
          <w:p>
            <w:pPr>
              <w:pStyle w:val="Normal"/>
              <w:bidi w:val="0"/>
              <w:ind w:hanging="0" w:start="0" w:end="0"/>
              <w:jc w:val="both"/>
              <w:rPr/>
            </w:pPr>
            <w:r>
              <w:rPr/>
              <w:t>Member</w:t>
            </w:r>
          </w:p>
        </w:tc>
      </w:tr>
      <w:tr>
        <w:trPr/>
        <w:tc>
          <w:tcPr>
            <w:tcW w:w="1907" w:type="dxa"/>
            <w:tcBorders/>
          </w:tcPr>
          <w:p>
            <w:pPr>
              <w:pStyle w:val="Normal"/>
              <w:bidi w:val="0"/>
              <w:ind w:hanging="0" w:start="0" w:end="0"/>
              <w:jc w:val="both"/>
              <w:rPr/>
            </w:pPr>
            <w:r>
              <w:rPr/>
              <w:t>Dottie Stockstill</w:t>
            </w:r>
          </w:p>
        </w:tc>
        <w:tc>
          <w:tcPr>
            <w:tcW w:w="3510" w:type="dxa"/>
            <w:tcBorders/>
          </w:tcPr>
          <w:p>
            <w:pPr>
              <w:pStyle w:val="Normal"/>
              <w:bidi w:val="0"/>
              <w:ind w:hanging="0" w:start="0" w:end="0"/>
              <w:jc w:val="both"/>
              <w:rPr/>
            </w:pPr>
            <w:r>
              <w:rPr/>
              <w:t>Southern Company Energy Marketing</w:t>
            </w:r>
          </w:p>
        </w:tc>
        <w:tc>
          <w:tcPr>
            <w:tcW w:w="3331" w:type="dxa"/>
            <w:tcBorders/>
          </w:tcPr>
          <w:p>
            <w:pPr>
              <w:pStyle w:val="Normal"/>
              <w:bidi w:val="0"/>
              <w:ind w:hanging="0" w:start="0" w:end="0"/>
              <w:jc w:val="both"/>
              <w:rPr/>
            </w:pPr>
            <w:r>
              <w:rPr/>
              <w:t xml:space="preserve">Member (Representing Erd) </w:t>
            </w:r>
          </w:p>
        </w:tc>
      </w:tr>
      <w:tr>
        <w:trPr/>
        <w:tc>
          <w:tcPr>
            <w:tcW w:w="1907" w:type="dxa"/>
            <w:tcBorders/>
          </w:tcPr>
          <w:p>
            <w:pPr>
              <w:pStyle w:val="Normal"/>
              <w:bidi w:val="0"/>
              <w:ind w:hanging="0" w:start="0" w:end="0"/>
              <w:jc w:val="both"/>
              <w:rPr/>
            </w:pPr>
            <w:r>
              <w:rPr/>
              <w:t>Trudy Harper</w:t>
            </w:r>
          </w:p>
        </w:tc>
        <w:tc>
          <w:tcPr>
            <w:tcW w:w="3510" w:type="dxa"/>
            <w:tcBorders/>
          </w:tcPr>
          <w:p>
            <w:pPr>
              <w:pStyle w:val="Normal"/>
              <w:bidi w:val="0"/>
              <w:ind w:hanging="0" w:start="0" w:end="0"/>
              <w:jc w:val="both"/>
              <w:rPr/>
            </w:pPr>
            <w:r>
              <w:rPr/>
              <w:t>Tenaska</w:t>
            </w:r>
          </w:p>
        </w:tc>
        <w:tc>
          <w:tcPr>
            <w:tcW w:w="3331" w:type="dxa"/>
            <w:tcBorders/>
          </w:tcPr>
          <w:p>
            <w:pPr>
              <w:pStyle w:val="Normal"/>
              <w:bidi w:val="0"/>
              <w:ind w:hanging="0" w:start="0" w:end="0"/>
              <w:jc w:val="both"/>
              <w:rPr/>
            </w:pPr>
            <w:r>
              <w:rPr/>
              <w:t>TAC Chair</w:t>
            </w:r>
          </w:p>
        </w:tc>
      </w:tr>
      <w:tr>
        <w:trPr/>
        <w:tc>
          <w:tcPr>
            <w:tcW w:w="1907" w:type="dxa"/>
            <w:tcBorders/>
          </w:tcPr>
          <w:p>
            <w:pPr>
              <w:pStyle w:val="Normal"/>
              <w:bidi w:val="0"/>
              <w:ind w:hanging="0" w:start="0" w:end="0"/>
              <w:jc w:val="both"/>
              <w:rPr/>
            </w:pPr>
            <w:r>
              <w:rPr/>
              <w:t>Larry Dillon</w:t>
            </w:r>
          </w:p>
        </w:tc>
        <w:tc>
          <w:tcPr>
            <w:tcW w:w="3510" w:type="dxa"/>
            <w:tcBorders/>
          </w:tcPr>
          <w:p>
            <w:pPr>
              <w:pStyle w:val="Normal"/>
              <w:bidi w:val="0"/>
              <w:ind w:hanging="0" w:start="0" w:end="0"/>
              <w:jc w:val="both"/>
              <w:rPr/>
            </w:pPr>
            <w:r>
              <w:rPr/>
              <w:t>Texas-New Mexico Power</w:t>
            </w:r>
          </w:p>
        </w:tc>
        <w:tc>
          <w:tcPr>
            <w:tcW w:w="3331" w:type="dxa"/>
            <w:tcBorders/>
          </w:tcPr>
          <w:p>
            <w:pPr>
              <w:pStyle w:val="Normal"/>
              <w:bidi w:val="0"/>
              <w:ind w:hanging="0" w:start="0" w:end="0"/>
              <w:jc w:val="both"/>
              <w:rPr/>
            </w:pPr>
            <w:r>
              <w:rPr/>
              <w:t>Member (Representing Joyce)</w:t>
            </w:r>
          </w:p>
        </w:tc>
      </w:tr>
      <w:tr>
        <w:trPr/>
        <w:tc>
          <w:tcPr>
            <w:tcW w:w="1907" w:type="dxa"/>
            <w:tcBorders/>
          </w:tcPr>
          <w:p>
            <w:pPr>
              <w:pStyle w:val="Normal"/>
              <w:tabs>
                <w:tab w:val="clear" w:pos="720"/>
              </w:tabs>
              <w:bidi w:val="0"/>
              <w:ind w:hanging="0" w:start="0" w:end="0"/>
              <w:jc w:val="both"/>
              <w:rPr/>
            </w:pPr>
            <w:r>
              <w:rPr/>
              <w:t>Mike Greene</w:t>
            </w:r>
          </w:p>
        </w:tc>
        <w:tc>
          <w:tcPr>
            <w:tcW w:w="3510" w:type="dxa"/>
            <w:tcBorders/>
          </w:tcPr>
          <w:p>
            <w:pPr>
              <w:pStyle w:val="Normal"/>
              <w:tabs>
                <w:tab w:val="clear" w:pos="720"/>
              </w:tabs>
              <w:bidi w:val="0"/>
              <w:ind w:hanging="0" w:start="0" w:end="0"/>
              <w:jc w:val="both"/>
              <w:rPr/>
            </w:pPr>
            <w:r>
              <w:rPr/>
              <w:t>TXU</w:t>
            </w:r>
          </w:p>
        </w:tc>
        <w:tc>
          <w:tcPr>
            <w:tcW w:w="3331" w:type="dxa"/>
            <w:tcBorders/>
          </w:tcPr>
          <w:p>
            <w:pPr>
              <w:pStyle w:val="Normal"/>
              <w:tabs>
                <w:tab w:val="clear" w:pos="720"/>
              </w:tabs>
              <w:bidi w:val="0"/>
              <w:ind w:hanging="0" w:start="0" w:end="0"/>
              <w:jc w:val="both"/>
              <w:rPr/>
            </w:pPr>
            <w:r>
              <w:rPr/>
              <w:t>Member</w:t>
            </w:r>
          </w:p>
        </w:tc>
      </w:tr>
    </w:tbl>
    <w:p>
      <w:pPr>
        <w:pStyle w:val="Normal"/>
        <w:bidi w:val="0"/>
        <w:ind w:hanging="0" w:start="0" w:end="0"/>
        <w:jc w:val="both"/>
        <w:rPr>
          <w:sz w:val="22"/>
        </w:rPr>
      </w:pPr>
      <w:r>
        <w:rPr>
          <w:sz w:val="22"/>
        </w:rPr>
      </w:r>
    </w:p>
    <w:p>
      <w:pPr>
        <w:pStyle w:val="Normal"/>
        <w:bidi w:val="0"/>
        <w:ind w:hanging="0" w:start="0" w:end="0"/>
        <w:jc w:val="both"/>
        <w:rPr>
          <w:sz w:val="22"/>
        </w:rPr>
      </w:pPr>
      <w:r>
        <w:rPr>
          <w:sz w:val="22"/>
        </w:rPr>
      </w:r>
    </w:p>
    <w:p>
      <w:pPr>
        <w:pStyle w:val="BodyText"/>
        <w:bidi w:val="0"/>
        <w:rPr>
          <w:rFonts w:ascii="Times New Roman" w:hAnsi="Times New Roman"/>
        </w:rPr>
      </w:pPr>
      <w:r>
        <w:rPr/>
        <w:t xml:space="preserve">Mr. McClanahan asked if there were any changes to the minutes of the September 19, 2000 Board Meeting.  Dan Jones requested an amendment to the minutes regarding clarifying distribution of TCR proceeds with respect to pre-assigned TCRs.  A motion was made by Jack Hawks and seconded by Bob Manning to approve the minutes as amended.  The motion was approved by a unanimous voice vote. </w:t>
      </w:r>
    </w:p>
    <w:p>
      <w:pPr>
        <w:pStyle w:val="BodyText"/>
        <w:bidi w:val="0"/>
        <w:rPr>
          <w:rFonts w:ascii="Times New Roman" w:hAnsi="Times New Roman"/>
        </w:rPr>
      </w:pPr>
      <w:r>
        <w:rPr/>
      </w:r>
    </w:p>
    <w:p>
      <w:pPr>
        <w:pStyle w:val="BodyText"/>
        <w:bidi w:val="0"/>
        <w:rPr>
          <w:rFonts w:ascii="Times New Roman" w:hAnsi="Times New Roman"/>
        </w:rPr>
      </w:pPr>
      <w:r>
        <w:rPr/>
        <w:t xml:space="preserve">John Stout discussed the Generation Adequacy issue in California that included underlying circumstances relating to what went wrong in California in the summer of 2000 and the reasons for what happened.  Mr. Stout provided a comparison of supply issues and energy prices between 1999 and 2000.  Mr. Stout responded to questions and discussed key factors resulting in ERCOT’s improved position over California’s relating to the opening of the energy market.  Mr. Stout also briefly discussed capacity issues in other areas of the country.                          </w:t>
      </w:r>
    </w:p>
    <w:p>
      <w:pPr>
        <w:pStyle w:val="BodyText"/>
        <w:bidi w:val="0"/>
        <w:rPr>
          <w:rFonts w:ascii="Times New Roman" w:hAnsi="Times New Roman"/>
        </w:rPr>
      </w:pPr>
      <w:r>
        <w:rPr/>
      </w:r>
    </w:p>
    <w:p>
      <w:pPr>
        <w:pStyle w:val="BodyText"/>
        <w:bidi w:val="0"/>
        <w:rPr>
          <w:rFonts w:ascii="Times New Roman" w:hAnsi="Times New Roman"/>
        </w:rPr>
      </w:pPr>
      <w:r>
        <w:rPr/>
        <w:t xml:space="preserve">Sam Jones reported on the generation adequacy issue in lieu of the summer’s hot weather to verify that ERCOT has adequate reserves through 2002.  Mr. Jones provided a Capacity/Demand Projection through 2004 that indicated adequate generation was at least being planned.  The projection assumed a load growth of 4.7% per year.  Mr. Jones noted that the projections listed in the handout provided to the Board did not take into account retirement of older plants and environmental limitations.  It appears that there will be adequate generation reserves as a result of additional planned generation.  Mr. Jones noted that the information relating to planned generation was accurate for at least two years.      </w:t>
      </w:r>
    </w:p>
    <w:p>
      <w:pPr>
        <w:pStyle w:val="BodyText"/>
        <w:bidi w:val="0"/>
        <w:rPr>
          <w:rFonts w:ascii="Times New Roman" w:hAnsi="Times New Roman"/>
        </w:rPr>
      </w:pPr>
      <w:r>
        <w:rPr/>
      </w:r>
    </w:p>
    <w:p>
      <w:pPr>
        <w:pStyle w:val="BodyText"/>
        <w:bidi w:val="0"/>
        <w:rPr>
          <w:rFonts w:ascii="Times New Roman" w:hAnsi="Times New Roman"/>
        </w:rPr>
      </w:pPr>
      <w:r>
        <w:rPr/>
        <w:t xml:space="preserve">Trudy Harper reported on the activities of the TAC.  </w:t>
      </w:r>
      <w:r>
        <w:rPr>
          <w:color w:val="000000"/>
        </w:rPr>
        <w:t>The TAC is continuing to address the Generation Adequacy issue.  T</w:t>
      </w:r>
      <w:r>
        <w:rPr/>
        <w:t xml:space="preserve">he TMOS has defined the issues.  The ES has reviewed the types of studies available, information disclosure, and study issues, and will address load response to price issues.  The ES will also develop for TAC consideration a scope and an estimated budget to hire a consultant to perform the studies.  Resource adequacy issues and documents are now posted in an area on the ERCOT Web Site.  Ms. Harper asked for Board direction on whether ERCOT should develop a mandated reserve level and set the guidelines (amount, allocation, etc.) or establish a process that establishes a trigger point or level for addressing the generation adequacy in ERCOT.  The Board agreed that the TAC should develop and recommend a process that establishes a trigger point or level at which the generation adequacy issue will be addressed by ERCOT.  The TAC will continue to report monthly on the issue.                  </w:t>
      </w:r>
    </w:p>
    <w:p>
      <w:pPr>
        <w:pStyle w:val="BodyText"/>
        <w:bidi w:val="0"/>
        <w:rPr>
          <w:rFonts w:ascii="Times New Roman" w:hAnsi="Times New Roman"/>
        </w:rPr>
      </w:pPr>
      <w:r>
        <w:rPr/>
        <w:t xml:space="preserve"> </w:t>
      </w:r>
    </w:p>
    <w:p>
      <w:pPr>
        <w:pStyle w:val="BodyText"/>
        <w:bidi w:val="0"/>
        <w:rPr>
          <w:rFonts w:ascii="Times New Roman" w:hAnsi="Times New Roman"/>
        </w:rPr>
      </w:pPr>
      <w:r>
        <w:rPr/>
        <w:t>Ms. Harper reported that the TAC approved a proposal to establish a Protocol Implementation Working Group (PIWG) to develop a plan for implementing the full ERCOT Protocols.  The goal is to complete a final draft Protocol Implementation Plan (PIP) for RUG approval on December 7</w:t>
      </w:r>
      <w:r>
        <w:rPr>
          <w:vertAlign w:val="superscript"/>
        </w:rPr>
        <w:t>th</w:t>
      </w:r>
      <w:r>
        <w:rPr/>
        <w:t>, TAC approval on December 14</w:t>
      </w:r>
      <w:r>
        <w:rPr>
          <w:vertAlign w:val="superscript"/>
        </w:rPr>
        <w:t>th</w:t>
      </w:r>
      <w:r>
        <w:rPr/>
        <w:t>, and Board approval on December 19</w:t>
      </w:r>
      <w:r>
        <w:rPr>
          <w:vertAlign w:val="superscript"/>
        </w:rPr>
        <w:t>th</w:t>
      </w:r>
      <w:r>
        <w:rPr/>
        <w:t>.  Gap analyses are expected to be completed by November 15</w:t>
      </w:r>
      <w:r>
        <w:rPr>
          <w:vertAlign w:val="superscript"/>
        </w:rPr>
        <w:t>th</w:t>
      </w:r>
      <w:r>
        <w:rPr/>
        <w:t>.These gap analyses will capture the differences between the August 1</w:t>
      </w:r>
      <w:r>
        <w:rPr>
          <w:vertAlign w:val="superscript"/>
        </w:rPr>
        <w:t>st</w:t>
      </w:r>
      <w:r>
        <w:rPr/>
        <w:t xml:space="preserve"> and November 1</w:t>
      </w:r>
      <w:r>
        <w:rPr>
          <w:vertAlign w:val="superscript"/>
        </w:rPr>
        <w:t>st</w:t>
      </w:r>
      <w:r>
        <w:rPr/>
        <w:t xml:space="preserve"> versions of the Protocols and the differences between the system as delivered and the Protocols.  A supplemental filing of the PIP with the PUCT will be made in early January 2001.   </w:t>
      </w:r>
    </w:p>
    <w:p>
      <w:pPr>
        <w:pStyle w:val="BodyText"/>
        <w:bidi w:val="0"/>
        <w:rPr>
          <w:rFonts w:ascii="Times New Roman" w:hAnsi="Times New Roman"/>
        </w:rPr>
      </w:pPr>
      <w:r>
        <w:rPr/>
      </w:r>
    </w:p>
    <w:p>
      <w:pPr>
        <w:pStyle w:val="BodyText"/>
        <w:bidi w:val="0"/>
        <w:rPr>
          <w:rFonts w:ascii="Times New Roman" w:hAnsi="Times New Roman"/>
        </w:rPr>
      </w:pPr>
      <w:r>
        <w:rPr/>
        <w:t>Ms. Harper also reported that the TAC has endorsed the Protocols that will be presented and discussed by John Meyer later in the meeting.  For additional details, the October 13</w:t>
      </w:r>
      <w:r>
        <w:rPr>
          <w:vertAlign w:val="superscript"/>
        </w:rPr>
        <w:t>th</w:t>
      </w:r>
      <w:r>
        <w:rPr/>
        <w:t xml:space="preserve"> TAC Meeting Minutes are posted on the ERCOT Web Site.    </w:t>
      </w:r>
    </w:p>
    <w:p>
      <w:pPr>
        <w:pStyle w:val="BodyText"/>
        <w:bidi w:val="0"/>
        <w:rPr>
          <w:rFonts w:ascii="Times New Roman" w:hAnsi="Times New Roman"/>
        </w:rPr>
      </w:pPr>
      <w:r>
        <w:rPr/>
      </w:r>
    </w:p>
    <w:p>
      <w:pPr>
        <w:pStyle w:val="BodyText"/>
        <w:bidi w:val="0"/>
        <w:rPr>
          <w:rFonts w:ascii="Times New Roman" w:hAnsi="Times New Roman"/>
        </w:rPr>
      </w:pPr>
      <w:r>
        <w:rPr/>
        <w:t xml:space="preserve">Jack Hawks briefly reported that the Compensation Committee had met earlier in the day and approved the management goals for 2000 for ERCOT Senior Management.  The Committee also intends to hire an outside specialist to assist the Committee in developing a broader compensation plan for ERCOT.   </w:t>
      </w:r>
    </w:p>
    <w:p>
      <w:pPr>
        <w:pStyle w:val="BodyText"/>
        <w:bidi w:val="0"/>
        <w:rPr>
          <w:rFonts w:ascii="Times New Roman" w:hAnsi="Times New Roman"/>
          <w:b/>
          <w:color w:val="000000"/>
        </w:rPr>
      </w:pPr>
      <w:r>
        <w:rPr>
          <w:b/>
          <w:color w:val="000000"/>
        </w:rPr>
      </w:r>
    </w:p>
    <w:p>
      <w:pPr>
        <w:pStyle w:val="BodyText"/>
        <w:bidi w:val="0"/>
        <w:rPr>
          <w:rFonts w:ascii="Times New Roman" w:hAnsi="Times New Roman"/>
        </w:rPr>
      </w:pPr>
      <w:r>
        <w:rPr/>
        <w:t xml:space="preserve">John Meyer reported on the Protocol Process and status, and reviewed issues relating to the Protocols.  Mr. Meyer discussed a Protocol filing process, Protocol review summary, outline of Protocol Sections, RUG issues and decisions, TAC decisions on RUG issues, RUG issues to be resolved by the Board, RUG issues for ongoing development, and a Protocol Implementation Plan structure and timeline </w:t>
      </w:r>
      <w:r>
        <w:rPr>
          <w:highlight w:val="magenta"/>
        </w:rPr>
        <w:t>(Attachment)</w:t>
      </w:r>
      <w:r>
        <w:rPr/>
        <w:t>.  Mr. Meyer highlighted various points in each Protocol section and specifically discussed the following three Protocol issues for the Board to address at its option:</w:t>
      </w:r>
    </w:p>
    <w:p>
      <w:pPr>
        <w:pStyle w:val="BodyText"/>
        <w:bidi w:val="0"/>
        <w:rPr>
          <w:rFonts w:ascii="Times New Roman" w:hAnsi="Times New Roman"/>
        </w:rPr>
      </w:pPr>
      <w:r>
        <w:rPr/>
      </w:r>
    </w:p>
    <w:p>
      <w:pPr>
        <w:pStyle w:val="BodyText"/>
        <w:numPr>
          <w:ilvl w:val="0"/>
          <w:numId w:val="1"/>
        </w:numPr>
        <w:tabs>
          <w:tab w:val="left" w:pos="720" w:leader="none"/>
        </w:tabs>
        <w:bidi w:val="0"/>
        <w:ind w:hanging="360" w:start="720" w:end="0"/>
        <w:rPr>
          <w:rFonts w:ascii="Times New Roman" w:hAnsi="Times New Roman"/>
        </w:rPr>
      </w:pPr>
      <w:r>
        <w:rPr/>
        <w:t xml:space="preserve">Should loads acting as a resource have ERCOT Polled Settlement (EPS) meters as an option?  A motion was made by Chuck Manning and seconded by Jim Stanton that loads acting as a resource have ERCOT Polled Settlement (EPS) meters as an option to that load.  It was noted that this function, if approved, would not be available on June 1, 2001.  John Stauffacher proposed and Bob Manning seconded an amendment to the motion that loads acting as a resource greater than 10 MW have ERCOT Polled Settlement (EPS) meters as an option to that load.  The amendment was approved as an addition to the original motion by a 15 to 6 vote (show of hands).  An additional amendment to the original motion was proposed that all costs associated with the EPS meters be borne by the load/customer.  This amendment to the original motion failed (show of hands).  The first motion (by Chuck Manning), as amended by John Stauffacher's proposed amendment, was approved by a 15 to 6 vote (show of hands).  </w:t>
      </w:r>
    </w:p>
    <w:p>
      <w:pPr>
        <w:pStyle w:val="BodyText"/>
        <w:bidi w:val="0"/>
        <w:rPr>
          <w:rFonts w:ascii="Times New Roman" w:hAnsi="Times New Roman"/>
        </w:rPr>
      </w:pPr>
      <w:r>
        <w:rPr/>
      </w:r>
    </w:p>
    <w:p>
      <w:pPr>
        <w:pStyle w:val="BodyText"/>
        <w:numPr>
          <w:ilvl w:val="0"/>
          <w:numId w:val="1"/>
        </w:numPr>
        <w:tabs>
          <w:tab w:val="left" w:pos="720" w:leader="none"/>
        </w:tabs>
        <w:bidi w:val="0"/>
        <w:ind w:hanging="360" w:start="720" w:end="0"/>
        <w:rPr>
          <w:rFonts w:ascii="Times New Roman" w:hAnsi="Times New Roman"/>
        </w:rPr>
      </w:pPr>
      <w:r>
        <w:rPr/>
        <w:t xml:space="preserve">Should the ERCOT Administration Fee related to retail costs (e.g., registration system costs, load profiling costs, data aggregation costs) be unbundled for Non-Opt-In Entities?  The City Public Service of San Antonio proposed that these costs be recovered on a $/ESI ID basis as opposed to a $/MWh basis.  Dan Jones provided additional information related to cost allocation and rate design, and points in support of the CPS proposal.  Jamie Rochelle reiterated that this was an equity issue for Non-Opt-In Entities and further discussed the issue.  A motion was made by Jamie Rochelle and seconded by Jim Harder to direct the ERCOT Staff, in coordination with the Finance Committee and other stakeholders, to include with the budget presentation (in November 2000) a revenue neutral funding plan that unbundles wholesale from retail costs to the extent practical, and which prices wholesale activities on a $/MWh basis and retail on a $/ESI ID basis, and further to identify language in the present Protocols that must be changed if this funding plan is adopted.  Concern was expressed that all costs should be addressed and that unbundling of costs would be a PUCT issue.  An amended motion was proposed by Ron Lanclos for ERCOT to perform a broader cost breakdown and not limit the analysis to wholesale vs. retail costs.  No second to this proposed amendment was received. The original motion was approved by a 17 to 4 vote (show of hands).  </w:t>
      </w:r>
    </w:p>
    <w:p>
      <w:pPr>
        <w:pStyle w:val="BodyText"/>
        <w:bidi w:val="0"/>
        <w:rPr>
          <w:rFonts w:ascii="Times New Roman" w:hAnsi="Times New Roman"/>
        </w:rPr>
      </w:pPr>
      <w:r>
        <w:rPr/>
      </w:r>
    </w:p>
    <w:p>
      <w:pPr>
        <w:pStyle w:val="BodyText"/>
        <w:numPr>
          <w:ilvl w:val="0"/>
          <w:numId w:val="1"/>
        </w:numPr>
        <w:tabs>
          <w:tab w:val="left" w:pos="720" w:leader="none"/>
        </w:tabs>
        <w:bidi w:val="0"/>
        <w:ind w:hanging="360" w:start="720" w:end="0"/>
        <w:rPr>
          <w:rFonts w:ascii="Times New Roman" w:hAnsi="Times New Roman"/>
        </w:rPr>
      </w:pPr>
      <w:r>
        <w:rPr/>
        <w:t xml:space="preserve">Should a single entity be responsible for paying a customer’s total TDSP charges where the customer is splitting the meter among multiple REPs (QSEs)?  No motion was offered.  </w:t>
      </w:r>
    </w:p>
    <w:p>
      <w:pPr>
        <w:pStyle w:val="BodyText"/>
        <w:bidi w:val="0"/>
        <w:ind w:hanging="0" w:start="360" w:end="0"/>
        <w:rPr>
          <w:rFonts w:ascii="Times New Roman" w:hAnsi="Times New Roman"/>
        </w:rPr>
      </w:pPr>
      <w:r>
        <w:rPr/>
        <w:t xml:space="preserve">      </w:t>
      </w:r>
    </w:p>
    <w:p>
      <w:pPr>
        <w:pStyle w:val="BodyText"/>
        <w:bidi w:val="0"/>
        <w:rPr>
          <w:rFonts w:ascii="Times New Roman" w:hAnsi="Times New Roman"/>
        </w:rPr>
      </w:pPr>
      <w:r>
        <w:rPr/>
        <w:t>Margaret Pemberton noted that the PUCT is not comfortable with Section 20 (Alternative Dispute Resolution) of the Protocols as drafted and it has been suggested that it be set aside for now so that a compromise can be reached among disagreeing parties relating to the default provisions in Section 20.  A motion was made by Jack Hawks and seconded by Jim Stanton to withhold Section 20 of the Protocols from the November 1</w:t>
      </w:r>
      <w:r>
        <w:rPr>
          <w:vertAlign w:val="superscript"/>
        </w:rPr>
        <w:t>st</w:t>
      </w:r>
      <w:r>
        <w:rPr/>
        <w:t xml:space="preserve"> filing with the PUCT so that an agreement on a compromise can be reached, and subsequently include Section 20 in the Supplemental Protocol Filing in January.  The Board discussed the Protocols revision and supplementary filing process at length.  The motion failed by a 13 to 8 vote (show of hands).          </w:t>
      </w:r>
    </w:p>
    <w:p>
      <w:pPr>
        <w:pStyle w:val="BodyText"/>
        <w:bidi w:val="0"/>
        <w:rPr>
          <w:rFonts w:ascii="Times New Roman" w:hAnsi="Times New Roman"/>
        </w:rPr>
      </w:pPr>
      <w:r>
        <w:rPr/>
      </w:r>
    </w:p>
    <w:p>
      <w:pPr>
        <w:pStyle w:val="BodyText"/>
        <w:bidi w:val="0"/>
        <w:rPr>
          <w:rFonts w:ascii="Times New Roman" w:hAnsi="Times New Roman"/>
        </w:rPr>
      </w:pPr>
      <w:r>
        <w:rPr/>
        <w:t xml:space="preserve">Margaret Pemberton discussed the ERCOT Legal Department's concerns with some language in the current Protocols Agreements.  The language states that; </w:t>
      </w:r>
    </w:p>
    <w:p>
      <w:pPr>
        <w:pStyle w:val="BodyText"/>
        <w:bidi w:val="0"/>
        <w:rPr>
          <w:rFonts w:ascii="Times New Roman" w:hAnsi="Times New Roman"/>
        </w:rPr>
      </w:pPr>
      <w:r>
        <w:rPr/>
      </w:r>
    </w:p>
    <w:p>
      <w:pPr>
        <w:pStyle w:val="BodyText"/>
        <w:bidi w:val="0"/>
        <w:ind w:hanging="0" w:start="720" w:end="720"/>
        <w:rPr>
          <w:rFonts w:ascii="Times New Roman" w:hAnsi="Times New Roman"/>
        </w:rPr>
      </w:pPr>
      <w:r>
        <w:rPr/>
        <w:t>“</w:t>
      </w:r>
      <w:r>
        <w:rPr/>
        <w:t xml:space="preserve">However, to the extent this Agreement is accepted for filing by the Federal Energy Regulatory Commission (FERC), this Agreement shall be construed in accordance with any applicable law administered by the FERC and with rules and regulations promulgated by FERC.”  </w:t>
      </w:r>
    </w:p>
    <w:p>
      <w:pPr>
        <w:pStyle w:val="BodyText"/>
        <w:bidi w:val="0"/>
        <w:rPr>
          <w:rFonts w:ascii="Times New Roman" w:hAnsi="Times New Roman"/>
        </w:rPr>
      </w:pPr>
      <w:r>
        <w:rPr/>
      </w:r>
    </w:p>
    <w:p>
      <w:pPr>
        <w:pStyle w:val="BodyText"/>
        <w:bidi w:val="0"/>
        <w:rPr>
          <w:rFonts w:ascii="Times New Roman" w:hAnsi="Times New Roman"/>
        </w:rPr>
      </w:pPr>
      <w:r>
        <w:rPr/>
        <w:t xml:space="preserve">Ms. Pemberton proposed modified language for the Protocols Agreements whereby ERCOT would not waive its defenses to FERC jurisdiction.  The changes included deleting the above sentence currently in the Agreements and modifying the sentence after the deleted sentence to read: </w:t>
      </w:r>
    </w:p>
    <w:p>
      <w:pPr>
        <w:pStyle w:val="BodyText"/>
        <w:bidi w:val="0"/>
        <w:rPr>
          <w:rFonts w:ascii="Times New Roman" w:hAnsi="Times New Roman"/>
        </w:rPr>
      </w:pPr>
      <w:r>
        <w:rPr/>
      </w:r>
    </w:p>
    <w:p>
      <w:pPr>
        <w:pStyle w:val="BodyText"/>
        <w:bidi w:val="0"/>
        <w:ind w:hanging="0" w:start="720" w:end="720"/>
        <w:rPr>
          <w:rFonts w:ascii="Times New Roman" w:hAnsi="Times New Roman"/>
        </w:rPr>
      </w:pPr>
      <w:r>
        <w:rPr/>
        <w:t xml:space="preserve">"Neither Party waives primary jurisdiction as a defense; provided that any court suits regarding this Agreement shall be brought in a state or federal court located within Travis County, Texas, and the Parties hereby waive any defense of </w:t>
      </w:r>
      <w:r>
        <w:rPr>
          <w:i/>
        </w:rPr>
        <w:t>forum non-conveniens</w:t>
      </w:r>
      <w:r>
        <w:rPr/>
        <w:t xml:space="preserve">, except defenses under Tex. Civ. Prac. &amp; Rem. Code §15.002(b)."  </w:t>
      </w:r>
    </w:p>
    <w:p>
      <w:pPr>
        <w:pStyle w:val="BodyText"/>
        <w:bidi w:val="0"/>
        <w:rPr>
          <w:rFonts w:ascii="Times New Roman" w:hAnsi="Times New Roman"/>
        </w:rPr>
      </w:pPr>
      <w:r>
        <w:rPr/>
      </w:r>
    </w:p>
    <w:p>
      <w:pPr>
        <w:pStyle w:val="BodyText"/>
        <w:bidi w:val="0"/>
        <w:rPr>
          <w:rFonts w:ascii="Times New Roman" w:hAnsi="Times New Roman"/>
        </w:rPr>
      </w:pPr>
      <w:r>
        <w:rPr/>
        <w:t xml:space="preserve">A motion was made John Stauffacher and seconded by Mike Greene to accept the modified language proposed by Ms. Pemberton.  The motion was approved by a 19 to 2 vote.  </w:t>
      </w:r>
    </w:p>
    <w:p>
      <w:pPr>
        <w:pStyle w:val="BodyText"/>
        <w:bidi w:val="0"/>
        <w:rPr>
          <w:rFonts w:ascii="Times New Roman" w:hAnsi="Times New Roman"/>
        </w:rPr>
      </w:pPr>
      <w:r>
        <w:rPr/>
      </w:r>
    </w:p>
    <w:p>
      <w:pPr>
        <w:pStyle w:val="BodyText"/>
        <w:bidi w:val="0"/>
        <w:rPr>
          <w:rFonts w:ascii="Times New Roman" w:hAnsi="Times New Roman"/>
        </w:rPr>
      </w:pPr>
      <w:r>
        <w:rPr/>
        <w:t>Mr. Meyer noted that the PUCT had the following four Protocol concerns:</w:t>
      </w:r>
    </w:p>
    <w:p>
      <w:pPr>
        <w:pStyle w:val="BodyText"/>
        <w:bidi w:val="0"/>
        <w:rPr>
          <w:rFonts w:ascii="Times New Roman" w:hAnsi="Times New Roman"/>
        </w:rPr>
      </w:pPr>
      <w:r>
        <w:rPr/>
      </w:r>
    </w:p>
    <w:p>
      <w:pPr>
        <w:pStyle w:val="BodyText"/>
        <w:numPr>
          <w:ilvl w:val="0"/>
          <w:numId w:val="2"/>
        </w:numPr>
        <w:tabs>
          <w:tab w:val="left" w:pos="720" w:leader="none"/>
        </w:tabs>
        <w:bidi w:val="0"/>
        <w:ind w:hanging="360" w:start="720" w:end="0"/>
        <w:rPr>
          <w:rFonts w:ascii="Times New Roman" w:hAnsi="Times New Roman"/>
        </w:rPr>
      </w:pPr>
      <w:r>
        <w:rPr/>
        <w:t>Treatment of RMR</w:t>
      </w:r>
    </w:p>
    <w:p>
      <w:pPr>
        <w:pStyle w:val="BodyText"/>
        <w:numPr>
          <w:ilvl w:val="0"/>
          <w:numId w:val="2"/>
        </w:numPr>
        <w:tabs>
          <w:tab w:val="left" w:pos="720" w:leader="none"/>
        </w:tabs>
        <w:bidi w:val="0"/>
        <w:ind w:hanging="360" w:start="720" w:end="0"/>
        <w:rPr>
          <w:rFonts w:ascii="Times New Roman" w:hAnsi="Times New Roman"/>
        </w:rPr>
      </w:pPr>
      <w:r>
        <w:rPr/>
        <w:t>Uninstructed Deviations &amp; Uncontrollable Resources</w:t>
      </w:r>
    </w:p>
    <w:p>
      <w:pPr>
        <w:pStyle w:val="BodyText"/>
        <w:numPr>
          <w:ilvl w:val="0"/>
          <w:numId w:val="2"/>
        </w:numPr>
        <w:tabs>
          <w:tab w:val="left" w:pos="720" w:leader="none"/>
        </w:tabs>
        <w:bidi w:val="0"/>
        <w:ind w:hanging="360" w:start="720" w:end="0"/>
        <w:rPr>
          <w:rFonts w:ascii="Times New Roman" w:hAnsi="Times New Roman"/>
        </w:rPr>
      </w:pPr>
      <w:r>
        <w:rPr/>
        <w:t>Binding Arbitration vs. Mediation</w:t>
      </w:r>
    </w:p>
    <w:p>
      <w:pPr>
        <w:pStyle w:val="BodyText"/>
        <w:numPr>
          <w:ilvl w:val="0"/>
          <w:numId w:val="2"/>
        </w:numPr>
        <w:tabs>
          <w:tab w:val="left" w:pos="720" w:leader="none"/>
        </w:tabs>
        <w:bidi w:val="0"/>
        <w:ind w:hanging="360" w:start="720" w:end="0"/>
        <w:rPr>
          <w:rFonts w:ascii="Times New Roman" w:hAnsi="Times New Roman"/>
        </w:rPr>
      </w:pPr>
      <w:r>
        <w:rPr/>
        <w:t>Unit Specific Bids for Local Area Congestion Management</w:t>
      </w:r>
    </w:p>
    <w:p>
      <w:pPr>
        <w:pStyle w:val="BodyText"/>
        <w:bidi w:val="0"/>
        <w:rPr>
          <w:rFonts w:ascii="Times New Roman" w:hAnsi="Times New Roman"/>
        </w:rPr>
      </w:pPr>
      <w:r>
        <w:rPr/>
      </w:r>
    </w:p>
    <w:p>
      <w:pPr>
        <w:pStyle w:val="BodyText"/>
        <w:bidi w:val="0"/>
        <w:rPr>
          <w:rFonts w:ascii="Times New Roman" w:hAnsi="Times New Roman"/>
        </w:rPr>
      </w:pPr>
      <w:r>
        <w:rPr>
          <w:color w:val="000000"/>
        </w:rPr>
        <w:t xml:space="preserve">Sam Jones provided a brief update on the status of the systems being procured by ERCOT.  The project is on schedule.  Mr. Jones also provided an update on staffing and on the status of the Single Control Area Tests.  </w:t>
      </w:r>
    </w:p>
    <w:p>
      <w:pPr>
        <w:pStyle w:val="BodyText"/>
        <w:bidi w:val="0"/>
        <w:rPr>
          <w:rFonts w:ascii="Times New Roman" w:hAnsi="Times New Roman"/>
        </w:rPr>
      </w:pPr>
      <w:r>
        <w:rPr/>
      </w:r>
    </w:p>
    <w:p>
      <w:pPr>
        <w:pStyle w:val="BodyText"/>
        <w:bidi w:val="0"/>
        <w:rPr>
          <w:rFonts w:ascii="Times New Roman" w:hAnsi="Times New Roman"/>
        </w:rPr>
      </w:pPr>
      <w:r>
        <w:rPr/>
        <w:t xml:space="preserve">John Meyer asked that the Board approve the proposed ERCOT Protocols.  A motion was made by John Stauffacher and seconded by Jamie Rochelle to approve the </w:t>
      </w:r>
      <w:r>
        <w:rPr>
          <w:highlight w:val="magenta"/>
        </w:rPr>
        <w:t>attached</w:t>
      </w:r>
      <w:r>
        <w:rPr/>
        <w:t xml:space="preserve"> resolution authorizing the ERCOT CEO to finalize the Protocols for filing by ERCOT on or about November 1</w:t>
      </w:r>
      <w:r>
        <w:rPr>
          <w:vertAlign w:val="superscript"/>
        </w:rPr>
        <w:t>st</w:t>
      </w:r>
      <w:r>
        <w:rPr/>
        <w:t xml:space="preserve">, and that the CEO will present supplemental filings as necessary for Board approval.  With the understanding that the Protocols may be further amended based upon the results of work by ERCOT Staff and the Protocol Implementation Working Group in developing the Protocol Implementation Plan, the Board unanimously accepted (by voice vote) the attached resolution regarding the filing of the Protocols.  It was specifically noted that, during the Protocol Implementation Process, the Board could reverse any decision on the implementation of any function that it deems to be excessively expensive to implement.  </w:t>
      </w:r>
    </w:p>
    <w:p>
      <w:pPr>
        <w:pStyle w:val="BodyText"/>
        <w:bidi w:val="0"/>
        <w:rPr>
          <w:rFonts w:ascii="Times New Roman" w:hAnsi="Times New Roman"/>
        </w:rPr>
      </w:pPr>
      <w:r>
        <w:rPr/>
      </w:r>
    </w:p>
    <w:p>
      <w:pPr>
        <w:pStyle w:val="BodyText"/>
        <w:bidi w:val="0"/>
        <w:rPr>
          <w:rFonts w:ascii="Times New Roman" w:hAnsi="Times New Roman"/>
          <w:b/>
        </w:rPr>
      </w:pPr>
      <w:r>
        <w:rPr/>
        <w:t>Bill Bojorquez reported that the ERCOT Market Implementation Plan includes a timeline for various activities that Market Participants must complete in order to participate in the single Control Area operations and the Customer Choice Pilot on June 1, 2001.  Market Participants may start registering with ERCOT as of November 15, 2000.  The registration process states that ERCOT may require an application fee as determined by the ERCOT Board.  Because the ERCOT Board must approve any application fee, a decision on the amount of application fee is needed before ERCOT begins taking Market Participant applications on November 15</w:t>
      </w:r>
      <w:r>
        <w:rPr>
          <w:vertAlign w:val="superscript"/>
        </w:rPr>
        <w:t>th</w:t>
      </w:r>
      <w:r>
        <w:rPr/>
        <w:t>.  Mr. Bojorquez recommended that a $500 non-refundable application fee be charged, and noted that regardless of whether an application is ultimately approved, ERCOT would have the same expenditure of resources, and a non-refundable fee is therefore appropriate.  Mr. Bojorquez further noted that other ISOs are charging comparable fees to market participants for these services.  A motion was made by Jim Stanton and seconded by John Stauffacher that ERCOT charge a $500 non-refundable application fee for each Qualified Scheduling Entity and Competitive Retailer applicant registering with ERCOT as described in the ERCOT Protocols.  The motion was approved by a unanimous voice vote.</w:t>
      </w:r>
    </w:p>
    <w:p>
      <w:pPr>
        <w:pStyle w:val="BodyText"/>
        <w:bidi w:val="0"/>
        <w:rPr>
          <w:rFonts w:ascii="Times New Roman" w:hAnsi="Times New Roman"/>
        </w:rPr>
      </w:pPr>
      <w:r>
        <w:rPr/>
        <w:t xml:space="preserve">  </w:t>
      </w:r>
    </w:p>
    <w:p>
      <w:pPr>
        <w:pStyle w:val="BodyText"/>
        <w:bidi w:val="0"/>
        <w:rPr>
          <w:rFonts w:ascii="Times New Roman" w:hAnsi="Times New Roman"/>
        </w:rPr>
      </w:pPr>
      <w:r>
        <w:rPr/>
        <w:t>Margaret Pemberton discussed a request from Ridge Energy Storage &amp; Grid Services (Ridge Energy) to be allowed to participate in the ERCOT Organization.  Ridge Energy does not at this time meet the criteria for membership under any of the Sectors described in the new Bylaws.  Therefore, Ridge Energy wishes to be admitted as an Adjunct Member.  Ms. Pemberton noted that the Board may choose to accept Ridge Energy’s application for membership as an Adjunct Member or the Board may choose to reject it.  A motion was made by John Stauffacher and seconded by Jim Stanton to allow Ridge Energy to apply for Adjunct Membership.  The motion was approved by a unanimous voice vote.</w:t>
      </w:r>
    </w:p>
    <w:p>
      <w:pPr>
        <w:pStyle w:val="BodyText"/>
        <w:bidi w:val="0"/>
        <w:rPr>
          <w:rFonts w:ascii="Times New Roman" w:hAnsi="Times New Roman"/>
        </w:rPr>
      </w:pPr>
      <w:r>
        <w:rPr/>
      </w:r>
    </w:p>
    <w:p>
      <w:pPr>
        <w:pStyle w:val="BodyText"/>
        <w:bidi w:val="0"/>
        <w:rPr>
          <w:rFonts w:ascii="Times New Roman" w:hAnsi="Times New Roman"/>
        </w:rPr>
      </w:pPr>
      <w:r>
        <w:rPr/>
        <w:t>Tom Noel briefly reported on the status of the CFO search.  The ERCOT Christmas party will be held on December 18</w:t>
      </w:r>
      <w:r>
        <w:rPr>
          <w:vertAlign w:val="superscript"/>
        </w:rPr>
        <w:t>th</w:t>
      </w:r>
      <w:r>
        <w:rPr/>
        <w:t xml:space="preserve">, and ERCOT Board Members and spouses/dates will be invited.  Mr. Noel also provided an update on the status of the ERCOT Austin facility.   </w:t>
      </w:r>
    </w:p>
    <w:p>
      <w:pPr>
        <w:pStyle w:val="BodyText"/>
        <w:bidi w:val="0"/>
        <w:rPr>
          <w:rFonts w:ascii="Times New Roman" w:hAnsi="Times New Roman"/>
        </w:rPr>
      </w:pPr>
      <w:r>
        <w:rPr/>
      </w:r>
    </w:p>
    <w:p>
      <w:pPr>
        <w:pStyle w:val="BodyText"/>
        <w:bidi w:val="0"/>
        <w:rPr>
          <w:rFonts w:ascii="Times New Roman" w:hAnsi="Times New Roman"/>
        </w:rPr>
      </w:pPr>
      <w:r>
        <w:rPr/>
        <w:t xml:space="preserve">The next Board Meeting is scheduled for November 21, 2000.  </w:t>
      </w:r>
    </w:p>
    <w:p>
      <w:pPr>
        <w:pStyle w:val="BodyText"/>
        <w:bidi w:val="0"/>
        <w:rPr>
          <w:rFonts w:ascii="Times New Roman" w:hAnsi="Times New Roman"/>
        </w:rPr>
      </w:pPr>
      <w:r>
        <w:rPr/>
      </w:r>
    </w:p>
    <w:p>
      <w:pPr>
        <w:pStyle w:val="BodyText"/>
        <w:bidi w:val="0"/>
        <w:rPr>
          <w:rFonts w:ascii="Times New Roman" w:hAnsi="Times New Roman"/>
        </w:rPr>
      </w:pPr>
      <w:r>
        <w:rPr/>
        <w:tab/>
        <w:tab/>
        <w:tab/>
        <w:tab/>
        <w:tab/>
        <w:tab/>
        <w:tab/>
        <w:tab/>
        <w:tab/>
        <w:tab/>
        <w:tab/>
        <w:tab/>
        <w:tab/>
        <w:tab/>
        <w:tab/>
        <w:tab/>
        <w:tab/>
      </w:r>
    </w:p>
    <w:p>
      <w:pPr>
        <w:pStyle w:val="BodyText"/>
        <w:bidi w:val="0"/>
        <w:ind w:firstLine="720" w:start="3600" w:end="0"/>
        <w:rPr>
          <w:rFonts w:ascii="Times New Roman" w:hAnsi="Times New Roman"/>
        </w:rPr>
      </w:pPr>
      <w:r>
        <w:rPr/>
        <w:t>__________________________________</w:t>
      </w:r>
    </w:p>
    <w:p>
      <w:pPr>
        <w:pStyle w:val="BodyText"/>
        <w:bidi w:val="0"/>
        <w:rPr>
          <w:rFonts w:ascii="Times New Roman" w:hAnsi="Times New Roman"/>
        </w:rPr>
      </w:pPr>
      <w:r>
        <w:rPr/>
        <w:tab/>
        <w:tab/>
        <w:tab/>
        <w:tab/>
        <w:tab/>
        <w:tab/>
        <w:t>Margaret Pemberton, Corporate Secretary</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Approved:</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____________________________________</w:t>
      </w:r>
    </w:p>
    <w:p>
      <w:pPr>
        <w:pStyle w:val="BodyText"/>
        <w:bidi w:val="0"/>
        <w:rPr>
          <w:rFonts w:ascii="Times New Roman" w:hAnsi="Times New Roman"/>
        </w:rPr>
      </w:pPr>
      <w:r>
        <w:rPr/>
        <w:t xml:space="preserve">David McClanahan, Chairman               </w:t>
      </w:r>
    </w:p>
    <w:p>
      <w:pPr>
        <w:pStyle w:val="BodyText"/>
        <w:bidi w:val="0"/>
        <w:rPr>
          <w:rFonts w:ascii="Times New Roman" w:hAnsi="Times New Roman"/>
        </w:rPr>
      </w:pPr>
      <w:r>
        <w:rPr/>
      </w:r>
    </w:p>
    <w:p>
      <w:pPr>
        <w:pStyle w:val="BodyText"/>
        <w:bidi w:val="0"/>
        <w:rPr>
          <w:rFonts w:ascii="Times New Roman" w:hAnsi="Times New Roman"/>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w:t>
    </w:r>
    <w:r>
      <w:rPr>
        <w:rStyle w:val="PageNumb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w:t>
    </w:r>
    <w:r>
      <w:rPr>
        <w:rStyle w:val="PageNumber"/>
        <w:lang w:val="en-CA" w:eastAsia="en-C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0"/>
      <w:szCs w:val="24"/>
      <w:lang w:val="en-US" w:eastAsia="en-US" w:bidi="hi-IN"/>
    </w:rPr>
  </w:style>
  <w:style w:type="paragraph" w:styleId="Heading1">
    <w:name w:val="heading 1"/>
    <w:basedOn w:val="Normal"/>
    <w:next w:val="Normal"/>
    <w:qFormat/>
    <w:pPr>
      <w:keepNext w:val="true"/>
      <w:widowControl/>
      <w:tabs>
        <w:tab w:val="clear" w:pos="720"/>
        <w:tab w:val="left" w:pos="-720" w:leader="none"/>
      </w:tabs>
      <w:suppressAutoHyphens w:val="true"/>
      <w:ind w:hanging="0" w:start="0" w:end="0"/>
      <w:jc w:val="both"/>
      <w:textAlignment w:val="auto"/>
    </w:pPr>
    <w:rPr>
      <w:rFonts w:ascii="Courier New" w:hAnsi="Courier New"/>
      <w:spacing w:val="-3"/>
      <w:sz w:val="22"/>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ind w:hanging="0" w:start="0" w:end="0"/>
      <w:jc w:val="center"/>
      <w:textAlignment w:val="auto"/>
    </w:pPr>
    <w:rPr>
      <w:b/>
      <w:sz w:val="22"/>
      <w:u w:val="single"/>
      <w:lang w:val="en-US" w:eastAsia="en-US"/>
    </w:rPr>
  </w:style>
  <w:style w:type="paragraph" w:styleId="Subtitle">
    <w:name w:val="Subtitle"/>
    <w:basedOn w:val="Normal"/>
    <w:qFormat/>
    <w:pPr>
      <w:widowControl/>
      <w:ind w:hanging="0" w:start="0" w:end="0"/>
      <w:jc w:val="center"/>
      <w:textAlignment w:val="auto"/>
    </w:pPr>
    <w:rPr>
      <w:b/>
      <w:sz w:val="22"/>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TOC7">
    <w:name w:val="toc 7"/>
    <w:basedOn w:val="Normal"/>
    <w:next w:val="Normal"/>
    <w:autoRedefine/>
    <w:pPr>
      <w:widowControl/>
      <w:suppressAutoHyphens w:val="true"/>
      <w:ind w:hanging="720" w:start="720" w:end="0"/>
      <w:jc w:val="start"/>
      <w:textAlignment w:val="auto"/>
    </w:pPr>
    <w:rPr>
      <w:rFonts w:ascii="Courier New" w:hAnsi="Courier New"/>
      <w:sz w:val="24"/>
      <w:lang w:val="en-US" w:eastAsia="en-US"/>
    </w:rPr>
  </w:style>
  <w:style w:type="paragraph" w:styleId="BodyText2">
    <w:name w:val="Body Text 2"/>
    <w:basedOn w:val="Normal"/>
    <w:qFormat/>
    <w:pPr>
      <w:widowControl/>
      <w:tabs>
        <w:tab w:val="clear" w:pos="720"/>
        <w:tab w:val="left" w:pos="1080" w:leader="none"/>
      </w:tabs>
      <w:spacing w:lineRule="atLeast" w:line="240"/>
      <w:ind w:hanging="0" w:start="720" w:end="0"/>
      <w:jc w:val="both"/>
      <w:textAlignment w:val="baseline"/>
    </w:pPr>
    <w:rPr>
      <w:sz w:val="22"/>
      <w:lang w:val="en-US" w:eastAsia="en-US"/>
    </w:rPr>
  </w:style>
  <w:style w:type="paragraph" w:styleId="BodyText3">
    <w:name w:val="Body Text 3"/>
    <w:basedOn w:val="Normal"/>
    <w:qFormat/>
    <w:pPr>
      <w:widowControl/>
      <w:spacing w:lineRule="exact" w:line="300" w:before="240" w:after="0"/>
      <w:ind w:hanging="0" w:start="0" w:end="0"/>
      <w:jc w:val="start"/>
      <w:textAlignment w:val="auto"/>
    </w:pPr>
    <w:rPr>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TotalTime>
  <Application>LibreOffice/25.2.7.0.0$Linux_X86_64 LibreOffice_project/2cc84caafd2707671cae2773f8085721f003b89f</Application>
  <AppVersion>15.0000</AppVersion>
  <Pages>99</Pages>
  <Words>1822</Words>
  <Characters>0</Characters>
  <CharactersWithSpaces>10389</CharactersWithSpaces>
  <Company>Electric Reliability Council of Texas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2000-07-24T08:12:00Z</dcterms:created>
  <dc:creator>Larry Grimm</dc:creator>
  <dc:description/>
  <dc:language>en-CA</dc:language>
  <cp:lastModifiedBy/>
  <cp:lastPrinted>2000-07-28T15:42:00Z</cp:lastPrinted>
  <dcterms:modified xsi:type="dcterms:W3CDTF">2000-11-27T07:45:00Z</dcterms:modified>
  <cp:revision>1062</cp:revision>
  <dc:subject/>
  <dc:title>DRAFT MINUTES OF THE ERCOT BOARD OF DIRECTORS MEETING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Larry D. Grimm</vt:lpwstr>
  </property>
</Properties>
</file>