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document.xml" ContentType="application/vnd.openxmlformats-officedocument.wordprocessingml.document.main+xml"/>
  <Override PartName="/word/header7.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b/>
          <w:sz w:val="28"/>
        </w:rPr>
      </w:pPr>
      <w:r>
        <w:rPr>
          <w:rFonts w:ascii="Times New Roman" w:hAnsi="Times New Roman"/>
          <w:b/>
          <w:sz w:val="28"/>
        </w:rPr>
        <w:t>UNITED STATES OF AMERICA</w:t>
      </w:r>
    </w:p>
    <w:p>
      <w:pPr>
        <w:pStyle w:val="Normal"/>
        <w:bidi w:val="0"/>
        <w:spacing w:lineRule="atLeast" w:line="0"/>
        <w:jc w:val="center"/>
        <w:rPr>
          <w:rFonts w:ascii="Times New Roman" w:hAnsi="Times New Roman"/>
          <w:b/>
          <w:sz w:val="28"/>
        </w:rPr>
      </w:pPr>
      <w:r>
        <w:rPr>
          <w:rFonts w:ascii="Times New Roman" w:hAnsi="Times New Roman"/>
          <w:b/>
          <w:sz w:val="28"/>
        </w:rPr>
        <w:t>BEFORE THE</w:t>
      </w:r>
    </w:p>
    <w:p>
      <w:pPr>
        <w:pStyle w:val="Normal"/>
        <w:bidi w:val="0"/>
        <w:spacing w:lineRule="atLeast" w:line="0"/>
        <w:jc w:val="center"/>
        <w:rPr>
          <w:rFonts w:ascii="Times New Roman" w:hAnsi="Times New Roman"/>
          <w:sz w:val="28"/>
        </w:rPr>
      </w:pPr>
      <w:r>
        <w:rPr>
          <w:rFonts w:ascii="Times New Roman" w:hAnsi="Times New Roman"/>
          <w:b/>
          <w:sz w:val="28"/>
        </w:rPr>
        <w:t>FEDERAL ENERGY REGULATORY COMMISSION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____________________________________</w:t>
      </w:r>
    </w:p>
    <w:p>
      <w:pPr>
        <w:pStyle w:val="Normal"/>
        <w:bidi w:val="0"/>
        <w:spacing w:lineRule="atLeast" w:line="0"/>
        <w:jc w:val="both"/>
        <w:rPr>
          <w:rFonts w:ascii="Times New Roman" w:hAnsi="Times New Roman"/>
          <w:sz w:val="24"/>
        </w:rPr>
      </w:pPr>
      <w:r>
        <w:rPr>
          <w:rFonts w:ascii="Times New Roman" w:hAnsi="Times New Roman"/>
          <w:sz w:val="24"/>
        </w:rPr>
        <w:tab/>
        <w:tab/>
        <w:tab/>
        <w:tab/>
        <w:tab/>
        <w:tab/>
        <w:t>)</w:t>
      </w:r>
    </w:p>
    <w:p>
      <w:pPr>
        <w:pStyle w:val="Normal"/>
        <w:bidi w:val="0"/>
        <w:spacing w:lineRule="atLeast" w:line="0"/>
        <w:jc w:val="both"/>
        <w:rPr>
          <w:rFonts w:ascii="Times New Roman" w:hAnsi="Times New Roman"/>
          <w:sz w:val="24"/>
        </w:rPr>
      </w:pPr>
      <w:r>
        <w:rPr>
          <w:rFonts w:ascii="Times New Roman" w:hAnsi="Times New Roman"/>
          <w:sz w:val="24"/>
        </w:rPr>
        <w:t>Southwest Power Pool</w:t>
        <w:tab/>
        <w:tab/>
        <w:tab/>
        <w:t>)</w:t>
        <w:tab/>
        <w:t>Docket No. RT01-34-000</w:t>
      </w:r>
    </w:p>
    <w:p>
      <w:pPr>
        <w:pStyle w:val="Normal"/>
        <w:bidi w:val="0"/>
        <w:spacing w:lineRule="atLeast" w:line="0"/>
        <w:jc w:val="both"/>
        <w:rPr>
          <w:rFonts w:ascii="Times New Roman" w:hAnsi="Times New Roman"/>
          <w:sz w:val="24"/>
        </w:rPr>
      </w:pPr>
      <w:r>
        <w:rPr>
          <w:rFonts w:ascii="Times New Roman" w:hAnsi="Times New Roman"/>
          <w:sz w:val="24"/>
        </w:rPr>
        <w:t>____________________________________)</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8"/>
        </w:rPr>
      </w:pPr>
      <w:r>
        <w:rPr>
          <w:rFonts w:ascii="Times New Roman" w:hAnsi="Times New Roman"/>
          <w:b/>
          <w:sz w:val="28"/>
        </w:rPr>
        <w:t>COMMENTS &amp; PROTEST</w:t>
      </w:r>
    </w:p>
    <w:p>
      <w:pPr>
        <w:pStyle w:val="Normal"/>
        <w:bidi w:val="0"/>
        <w:spacing w:lineRule="atLeast" w:line="0"/>
        <w:jc w:val="center"/>
        <w:rPr>
          <w:rFonts w:ascii="Times New Roman" w:hAnsi="Times New Roman"/>
          <w:b/>
          <w:sz w:val="28"/>
        </w:rPr>
      </w:pPr>
      <w:r>
        <w:rPr>
          <w:rFonts w:ascii="Times New Roman" w:hAnsi="Times New Roman"/>
          <w:b/>
          <w:sz w:val="28"/>
        </w:rPr>
        <w:t>OF INTERVENOR ENRON POWER MARKETING, INC.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480"/>
        <w:jc w:val="both"/>
        <w:rPr>
          <w:rFonts w:ascii="Times New Roman" w:hAnsi="Times New Roman"/>
          <w:sz w:val="24"/>
        </w:rPr>
      </w:pPr>
      <w:r>
        <w:rPr>
          <w:rFonts w:ascii="Times New Roman" w:hAnsi="Times New Roman"/>
          <w:sz w:val="24"/>
        </w:rPr>
        <w:tab/>
        <w:t>Pursuant to 18 C.F.R. § 385.211(2000) and the Commission's October 20, 2000, Notice of Filing, and October 24,2000, Notice of Filing, intervenor Enron Power Marketing, Inc. ("EPMI") hereby comments on and protests the October 13, 2000, filing and October 20, 2000, corrected filing of the Southwest Power Pool ("SPP") seeking recognition as a regional transmission organization ("RTO") under the Commission's Order No. 2000.</w:t>
      </w:r>
      <w:r>
        <w:rPr>
          <w:rStyle w:val="FootnoteReference"/>
          <w:rFonts w:ascii="Times New Roman" w:hAnsi="Times New Roman"/>
          <w:sz w:val="24"/>
          <w:vertAlign w:val="superscript"/>
        </w:rPr>
        <w:footnoteReference w:id="2"/>
      </w:r>
      <w:r>
        <w:rPr>
          <w:rFonts w:ascii="Times New Roman" w:hAnsi="Times New Roman"/>
          <w:sz w:val="24"/>
        </w:rPr>
        <w:t>    In support , EPMI states:</w:t>
      </w:r>
    </w:p>
    <w:p>
      <w:pPr>
        <w:pStyle w:val="Normal"/>
        <w:bidi w:val="0"/>
        <w:spacing w:lineRule="atLeast" w:line="48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b/>
          <w:sz w:val="28"/>
        </w:rPr>
      </w:pPr>
      <w:r>
        <w:rPr>
          <w:rFonts w:ascii="Times New Roman" w:hAnsi="Times New Roman"/>
          <w:b/>
          <w:sz w:val="28"/>
        </w:rPr>
        <w:t>I.</w:t>
      </w:r>
    </w:p>
    <w:p>
      <w:pPr>
        <w:pStyle w:val="Normal"/>
        <w:bidi w:val="0"/>
        <w:jc w:val="center"/>
        <w:rPr>
          <w:rFonts w:ascii="Times New Roman" w:hAnsi="Times New Roman"/>
          <w:b/>
          <w:sz w:val="28"/>
        </w:rPr>
      </w:pPr>
      <w:r>
        <w:rPr>
          <w:rFonts w:ascii="Times New Roman" w:hAnsi="Times New Roman"/>
          <w:b/>
          <w:sz w:val="28"/>
        </w:rPr>
        <w:t>PRINCIPLES FOR EVALUATING SPP's COMPLIANCE</w:t>
      </w:r>
    </w:p>
    <w:p>
      <w:pPr>
        <w:pStyle w:val="Normal"/>
        <w:bidi w:val="0"/>
        <w:jc w:val="center"/>
        <w:rPr>
          <w:rFonts w:ascii="Times New Roman" w:hAnsi="Times New Roman"/>
          <w:sz w:val="24"/>
        </w:rPr>
      </w:pPr>
      <w:r>
        <w:rPr>
          <w:rFonts w:ascii="Times New Roman" w:hAnsi="Times New Roman"/>
          <w:b/>
          <w:sz w:val="28"/>
        </w:rPr>
        <w:t>WITH ORDER NO. 2000</w:t>
      </w:r>
    </w:p>
    <w:p>
      <w:pPr>
        <w:pStyle w:val="Normal"/>
        <w:bidi w:val="0"/>
        <w:jc w:val="both"/>
        <w:rPr>
          <w:rFonts w:ascii="Times New Roman" w:hAnsi="Times New Roman"/>
          <w:sz w:val="24"/>
        </w:rPr>
      </w:pPr>
      <w:r>
        <w:rPr>
          <w:rFonts w:ascii="Times New Roman" w:hAnsi="Times New Roman"/>
          <w:sz w:val="24"/>
        </w:rPr>
      </w:r>
    </w:p>
    <w:p>
      <w:pPr>
        <w:pStyle w:val="Normal"/>
        <w:bidi w:val="0"/>
        <w:spacing w:lineRule="atLeast" w:line="480"/>
        <w:jc w:val="both"/>
        <w:rPr>
          <w:rFonts w:ascii="Times New Roman" w:hAnsi="Times New Roman"/>
          <w:sz w:val="24"/>
        </w:rPr>
      </w:pPr>
      <w:r>
        <w:rPr>
          <w:rFonts w:ascii="Times New Roman" w:hAnsi="Times New Roman"/>
          <w:sz w:val="24"/>
        </w:rPr>
        <w:tab/>
        <w:t>The Commission undertook its Order No. 2000 RTO initiative in order to provide the industry with a twenty-first century roadmap for finishing the business that it began in the open-access orders, Orders No. 888</w:t>
      </w:r>
      <w:r>
        <w:rPr>
          <w:rStyle w:val="FootnoteReference"/>
          <w:rFonts w:ascii="Times New Roman" w:hAnsi="Times New Roman"/>
          <w:sz w:val="24"/>
          <w:vertAlign w:val="superscript"/>
        </w:rPr>
        <w:footnoteReference w:id="3"/>
      </w:r>
      <w:r>
        <w:rPr>
          <w:rFonts w:ascii="Times New Roman" w:hAnsi="Times New Roman"/>
          <w:sz w:val="24"/>
        </w:rPr>
        <w:t xml:space="preserve"> and No. 889</w:t>
      </w:r>
      <w:r>
        <w:rPr>
          <w:rStyle w:val="FootnoteReference"/>
          <w:rFonts w:ascii="Times New Roman" w:hAnsi="Times New Roman"/>
          <w:sz w:val="24"/>
          <w:vertAlign w:val="superscript"/>
        </w:rPr>
        <w:footnoteReference w:id="4"/>
      </w:r>
      <w:r>
        <w:rPr>
          <w:rFonts w:ascii="Times New Roman" w:hAnsi="Times New Roman"/>
          <w:sz w:val="24"/>
        </w:rPr>
        <w:t>.    That business is the orderly transition from closed power markets of regulated monopolies to a competitive national market that is open to entry and capable of supporting robust competition in wholesale, bulk power markets and, where permitted by state authorities, in retail markets as well.    Completing this transition must be a high priority.    Lingering in the transition perpetuates and projects into the competitive sectors the continued market power of the incumbent regulated monopolies; that, in turn, produces unregulated monopolies and unrestrained market power.</w:t>
      </w:r>
    </w:p>
    <w:p>
      <w:pPr>
        <w:pStyle w:val="Normal"/>
        <w:bidi w:val="0"/>
        <w:spacing w:lineRule="atLeast" w:line="480"/>
        <w:jc w:val="both"/>
        <w:rPr>
          <w:rFonts w:ascii="Times New Roman" w:hAnsi="Times New Roman"/>
          <w:sz w:val="24"/>
        </w:rPr>
      </w:pPr>
      <w:r>
        <w:rPr>
          <w:rFonts w:ascii="Times New Roman" w:hAnsi="Times New Roman"/>
          <w:sz w:val="24"/>
        </w:rPr>
        <w:tab/>
        <w:t>Order No. 2000 rightly targeted two obstacles standing in the way of the transition.    First is the lack of market mechanisms in place that are essential to achieving both economic and engineering efficiencies.    To remove this barrier, transmission system operators need to offer new services that are required to support new entry and equal access to markets.    Also targeted is the incentive of transmission owners to resist new market mechanisms and instead use their control over the grid to favor their own and affiliated power sellers and, at the same time, deter new entrants.    Indeed, in all three Orders — No. 888, No. 889 and No. 2000 — the Commission emphasized (as have many others</w:t>
      </w:r>
      <w:r>
        <w:rPr>
          <w:rStyle w:val="FootnoteReference"/>
          <w:rFonts w:ascii="Times New Roman" w:hAnsi="Times New Roman"/>
          <w:sz w:val="24"/>
          <w:vertAlign w:val="superscript"/>
        </w:rPr>
        <w:footnoteReference w:id="5"/>
      </w:r>
      <w:r>
        <w:rPr>
          <w:rFonts w:ascii="Times New Roman" w:hAnsi="Times New Roman"/>
          <w:sz w:val="24"/>
        </w:rPr>
        <w:t xml:space="preserve">) that under the historical, vertically integrated utility model, incumbent transmission owners have an inherent </w:t>
      </w:r>
      <w:r>
        <w:rPr>
          <w:rFonts w:ascii="Times New Roman" w:hAnsi="Times New Roman"/>
          <w:i/>
          <w:sz w:val="24"/>
        </w:rPr>
        <w:t xml:space="preserve">incentive and ability </w:t>
      </w:r>
      <w:r>
        <w:rPr>
          <w:rFonts w:ascii="Times New Roman" w:hAnsi="Times New Roman"/>
          <w:sz w:val="24"/>
        </w:rPr>
        <w:t>to discriminate against new entry and new entrants into their monopoly markets.</w:t>
      </w:r>
    </w:p>
    <w:p>
      <w:pPr>
        <w:pStyle w:val="Normal"/>
        <w:bidi w:val="0"/>
        <w:spacing w:lineRule="atLeast" w:line="480"/>
        <w:jc w:val="both"/>
        <w:rPr>
          <w:rFonts w:ascii="Times New Roman" w:hAnsi="Times New Roman"/>
          <w:sz w:val="24"/>
        </w:rPr>
      </w:pPr>
      <w:r>
        <w:rPr>
          <w:rFonts w:ascii="Times New Roman" w:hAnsi="Times New Roman"/>
          <w:sz w:val="24"/>
        </w:rPr>
        <w:tab/>
        <w:t>SPP's RTO proposal must be evaluated, and its compliance with Order No. 2000 must ultimately be judged, by how well it would put in place market mechanisms that are essential to achieving both economic and engineering efficiencies and would rid the industry of both the incentive and ability of incumbents to discriminate and prevent new entry in the energy and capacity markets.</w:t>
      </w:r>
    </w:p>
    <w:p>
      <w:pPr>
        <w:pStyle w:val="Normal"/>
        <w:bidi w:val="0"/>
        <w:jc w:val="both"/>
        <w:rPr>
          <w:rFonts w:ascii="Times New Roman" w:hAnsi="Times New Roman"/>
          <w:sz w:val="24"/>
        </w:rPr>
      </w:pPr>
      <w:r>
        <w:rPr>
          <w:rFonts w:ascii="Times New Roman" w:hAnsi="Times New Roman"/>
          <w:sz w:val="24"/>
        </w:rPr>
      </w:r>
    </w:p>
    <w:p>
      <w:pPr>
        <w:sectPr>
          <w:headerReference w:type="even" r:id="rId2"/>
          <w:headerReference w:type="default" r:id="rId3"/>
          <w:headerReference w:type="first" r:id="rId4"/>
          <w:footnotePr>
            <w:numFmt w:val="decimal"/>
            <w:numRestart w:val="eachSect"/>
          </w:footnotePr>
          <w:type w:val="nextPage"/>
          <w:pgSz w:w="12240" w:h="15840"/>
          <w:pgMar w:left="1440" w:right="1440" w:gutter="0" w:header="1440" w:top="1497" w:footer="0" w:bottom="1440"/>
          <w:pgNumType w:fmt="decimal"/>
          <w:formProt w:val="false"/>
          <w:titlePg/>
          <w:textDirection w:val="lrTb"/>
          <w:docGrid w:type="default" w:linePitch="600" w:charSpace="40960"/>
        </w:sectPr>
      </w:pPr>
    </w:p>
    <w:p>
      <w:pPr>
        <w:pStyle w:val="1AutoList1"/>
        <w:tabs>
          <w:tab w:val="left" w:pos="720" w:leader="none"/>
          <w:tab w:val="left" w:pos="1440" w:leader="none"/>
        </w:tabs>
        <w:bidi w:val="0"/>
        <w:spacing w:lineRule="auto" w:line="240"/>
        <w:ind w:hanging="1440" w:start="1440"/>
        <w:rPr>
          <w:rFonts w:ascii="Times New Roman" w:hAnsi="Times New Roman"/>
          <w:b/>
          <w:i/>
          <w:i/>
        </w:rPr>
      </w:pPr>
      <w:r>
        <w:rPr>
          <w:rFonts w:ascii="Times New Roman" w:hAnsi="Times New Roman"/>
          <w:b/>
          <w:i/>
          <w:sz w:val="26"/>
        </w:rPr>
        <w:tab/>
        <w:t xml:space="preserve">Market Mechanisms Essential to RTO Achieving Economic &amp; Engineering Efficiencies </w:t>
      </w:r>
    </w:p>
    <w:p>
      <w:pPr>
        <w:pStyle w:val="Normal"/>
        <w:bidi w:val="0"/>
        <w:jc w:val="both"/>
        <w:rPr>
          <w:rFonts w:ascii="Times New Roman" w:hAnsi="Times New Roman"/>
          <w:b/>
          <w:i/>
          <w:i/>
          <w:sz w:val="24"/>
        </w:rPr>
      </w:pPr>
      <w:r>
        <w:rPr>
          <w:rFonts w:ascii="Times New Roman" w:hAnsi="Times New Roman"/>
          <w:b/>
          <w:i/>
          <w:sz w:val="24"/>
        </w:rPr>
        <w:tab/>
      </w:r>
    </w:p>
    <w:p>
      <w:pPr>
        <w:pStyle w:val="Normal"/>
        <w:bidi w:val="0"/>
        <w:spacing w:lineRule="atLeast" w:line="480"/>
        <w:jc w:val="both"/>
        <w:rPr>
          <w:rFonts w:ascii="Times New Roman" w:hAnsi="Times New Roman"/>
          <w:sz w:val="24"/>
        </w:rPr>
      </w:pPr>
      <w:r>
        <w:rPr>
          <w:rFonts w:ascii="Times New Roman" w:hAnsi="Times New Roman"/>
          <w:b/>
          <w:i/>
          <w:sz w:val="24"/>
        </w:rPr>
        <w:tab/>
      </w:r>
      <w:r>
        <w:rPr>
          <w:rFonts w:ascii="Times New Roman" w:hAnsi="Times New Roman"/>
          <w:sz w:val="24"/>
        </w:rPr>
        <w:t>With regard to essential market mechanisms, the SPP RTO proposal provides many of the needed mechanisms, but certain of them are either incomplete or missing:</w:t>
      </w:r>
    </w:p>
    <w:p>
      <w:pPr>
        <w:pStyle w:val="Normal"/>
        <w:bidi w:val="0"/>
        <w:jc w:val="both"/>
        <w:rPr>
          <w:rFonts w:ascii="Times New Roman" w:hAnsi="Times New Roman"/>
          <w:sz w:val="24"/>
        </w:rPr>
      </w:pPr>
      <w:r>
        <w:rPr>
          <w:rFonts w:ascii="Times New Roman" w:hAnsi="Times New Roman"/>
          <w:sz w:val="24"/>
        </w:rPr>
      </w:r>
    </w:p>
    <w:p>
      <w:pPr>
        <w:pStyle w:val="Normal"/>
        <w:bidi w:val="0"/>
        <w:spacing w:lineRule="atLeast" w:line="480"/>
        <w:jc w:val="both"/>
        <w:rPr>
          <w:rFonts w:ascii="Times New Roman" w:hAnsi="Times New Roman"/>
          <w:sz w:val="24"/>
        </w:rPr>
      </w:pPr>
      <w:r>
        <w:rPr>
          <w:rFonts w:ascii="Times New Roman" w:hAnsi="Times New Roman"/>
          <w:sz w:val="24"/>
        </w:rPr>
        <w:tab/>
      </w:r>
      <w:r>
        <w:rPr>
          <w:rFonts w:ascii="Times New Roman" w:hAnsi="Times New Roman"/>
          <w:b/>
          <w:i/>
          <w:sz w:val="24"/>
        </w:rPr>
        <w:t xml:space="preserve">1.            One Regional Transmission Tariff Offering Region-Wide Access — </w:t>
      </w:r>
      <w:r>
        <w:rPr>
          <w:rFonts w:ascii="Times New Roman" w:hAnsi="Times New Roman"/>
          <w:sz w:val="24"/>
        </w:rPr>
        <w:t>Order No. 2000 makes clear that an RTO must have a single transmission tariff for the region and offer region-wide access for a single rate.    The Commission must ensure that uniform rates for all loads are implemented as quickly as possible.    SPP's proposal provides region-wide access, but only insofar as Entergy is a full participant.</w:t>
      </w:r>
    </w:p>
    <w:p>
      <w:pPr>
        <w:sectPr>
          <w:footnotePr>
            <w:numFmt w:val="decimal"/>
            <w:numRestart w:val="eachSect"/>
          </w:footnotePr>
          <w:type w:val="continuous"/>
          <w:pgSz w:w="12240" w:h="15840"/>
          <w:pgMar w:left="1440" w:right="1440" w:gutter="0" w:header="1440" w:top="1497" w:footer="0" w:bottom="1440"/>
          <w:formProt w:val="false"/>
          <w:titlePg/>
          <w:textDirection w:val="lrTb"/>
          <w:docGrid w:type="default" w:linePitch="600" w:charSpace="40960"/>
        </w:sectPr>
      </w:pPr>
    </w:p>
    <w:p>
      <w:pPr>
        <w:pStyle w:val="Normal"/>
        <w:bidi w:val="0"/>
        <w:spacing w:lineRule="atLeast" w:line="480"/>
        <w:jc w:val="both"/>
        <w:rPr>
          <w:rFonts w:ascii="Times New Roman" w:hAnsi="Times New Roman"/>
          <w:sz w:val="24"/>
        </w:rPr>
      </w:pPr>
      <w:r>
        <w:rPr>
          <w:rFonts w:ascii="Times New Roman" w:hAnsi="Times New Roman"/>
          <w:b/>
          <w:i/>
          <w:sz w:val="24"/>
        </w:rPr>
        <w:tab/>
        <w:t>2.          Offer a Market Mechanism for Managing Transmission Grid Congestion</w:t>
      </w:r>
      <w:r>
        <w:rPr>
          <w:rFonts w:ascii="Times New Roman" w:hAnsi="Times New Roman"/>
          <w:i/>
          <w:sz w:val="24"/>
        </w:rPr>
        <w:t xml:space="preserve">— </w:t>
      </w:r>
      <w:r>
        <w:rPr>
          <w:rFonts w:ascii="Times New Roman" w:hAnsi="Times New Roman"/>
          <w:sz w:val="24"/>
        </w:rPr>
        <w:t xml:space="preserve">Essential here is that the market mechanism both provide an economic valuation of scarce transmission capacity </w:t>
      </w:r>
      <w:r>
        <w:rPr>
          <w:rFonts w:ascii="Times New Roman" w:hAnsi="Times New Roman"/>
          <w:i/>
          <w:sz w:val="24"/>
        </w:rPr>
        <w:t>and</w:t>
      </w:r>
      <w:r>
        <w:rPr>
          <w:rFonts w:ascii="Times New Roman" w:hAnsi="Times New Roman"/>
          <w:sz w:val="24"/>
        </w:rPr>
        <w:t xml:space="preserve"> a type of right to congested transmission capacity that can be freely traded, together with or independent of, energy in forward markets for energy and capacity.    The first part of this equation requires that the market valuation of the right to use transmission capacity occur sufficiently far in advance of real-time operations so that price signals can be sent over horizons that are sufficiently long (surely longer than one hour or one day) as to allow buyers and sellers to respond with decisions that are economically efficient.    As to the type of right that will best support a market, it is an option that must be exercised or it will be lost.    This prevents hoarding, which could be used to disadvantage competitors and which, in any event, deprives the market of liquidity.    SPP RTO appears to offer use-it-or-lose-it rights that could provide for market valuation of congestion and forward trading.</w:t>
      </w:r>
    </w:p>
    <w:p>
      <w:pPr>
        <w:pStyle w:val="Normal"/>
        <w:bidi w:val="0"/>
        <w:spacing w:lineRule="atLeast" w:line="480"/>
        <w:jc w:val="both"/>
        <w:rPr>
          <w:rFonts w:ascii="Times New Roman" w:hAnsi="Times New Roman"/>
          <w:sz w:val="24"/>
        </w:rPr>
      </w:pPr>
      <w:r>
        <w:rPr>
          <w:rFonts w:ascii="Times New Roman" w:hAnsi="Times New Roman"/>
          <w:sz w:val="24"/>
        </w:rPr>
        <w:tab/>
        <w:t>An option type of right contrasts with the type of right that does not have to be exercised, but which rather entitles its holder to a revenue stream whether the holder uses it or not.    This latter type of right should be avoided because it can reward and does not punish hoarding.    Finally, all of the market benefits of the congestion management system depend critically on the option (or other right) being made available pursuant to a market mechanism, such as a periodic auction, bilateral trading or both, and not pursuant to an administrative (non-economic) allocation.</w:t>
      </w:r>
    </w:p>
    <w:p>
      <w:pPr>
        <w:pStyle w:val="Normal"/>
        <w:bidi w:val="0"/>
        <w:jc w:val="both"/>
        <w:rPr>
          <w:rFonts w:ascii="Times New Roman" w:hAnsi="Times New Roman"/>
          <w:sz w:val="24"/>
        </w:rPr>
      </w:pPr>
      <w:r>
        <w:rPr>
          <w:rFonts w:ascii="Times New Roman" w:hAnsi="Times New Roman"/>
          <w:sz w:val="24"/>
        </w:rPr>
      </w:r>
    </w:p>
    <w:p>
      <w:pPr>
        <w:pStyle w:val="Normal"/>
        <w:bidi w:val="0"/>
        <w:spacing w:lineRule="atLeast" w:line="480"/>
        <w:jc w:val="both"/>
        <w:rPr>
          <w:rFonts w:ascii="Times New Roman" w:hAnsi="Times New Roman"/>
          <w:sz w:val="24"/>
        </w:rPr>
      </w:pPr>
      <w:r>
        <w:rPr>
          <w:rFonts w:ascii="Times New Roman" w:hAnsi="Times New Roman"/>
          <w:sz w:val="24"/>
        </w:rPr>
        <w:tab/>
      </w:r>
      <w:r>
        <w:rPr>
          <w:rFonts w:ascii="Times New Roman" w:hAnsi="Times New Roman"/>
          <w:b/>
          <w:i/>
          <w:sz w:val="24"/>
        </w:rPr>
        <w:t xml:space="preserve">3.        Information Service — </w:t>
      </w:r>
      <w:r>
        <w:rPr>
          <w:rFonts w:ascii="Times New Roman" w:hAnsi="Times New Roman"/>
          <w:sz w:val="24"/>
        </w:rPr>
        <w:t>The SPP RTO should be directed to offer to the market constantly updated information on hourly forecasted load and generation that has been offered to the RTO in an hour for balancing demand and supply in real-time operations.    This will serve to provide both supply and demand resources with hourly demand and supply curves.    Economically efficient behavior by market participants depends critically on access to this information, which can come only from the RTO.    Engineering efficiency also requires that this information be communicated continuously, up until real-time operations begin, back and forth between the operators of not-otherwise committed resources and the RTO so that the RTO can select those resources that best address an imbalance in real time.</w:t>
      </w:r>
    </w:p>
    <w:p>
      <w:pPr>
        <w:pStyle w:val="Normal"/>
        <w:bidi w:val="0"/>
        <w:spacing w:lineRule="atLeast" w:line="480"/>
        <w:jc w:val="both"/>
        <w:rPr>
          <w:rFonts w:ascii="Times New Roman" w:hAnsi="Times New Roman"/>
          <w:b/>
          <w:i/>
          <w:i/>
          <w:sz w:val="24"/>
        </w:rPr>
      </w:pPr>
      <w:r>
        <w:rPr>
          <w:rFonts w:ascii="Times New Roman" w:hAnsi="Times New Roman"/>
          <w:sz w:val="24"/>
        </w:rPr>
        <w:tab/>
        <w:t xml:space="preserve">In addition to forecast load and generation bids, the SPP RTO should also be responsible for providing other information that significantly impacts hourly demand and supply curves.    This should include information on scheduled and unscheduled outages and interchange inadvertence.    </w:t>
      </w:r>
    </w:p>
    <w:p>
      <w:pPr>
        <w:pStyle w:val="Normal"/>
        <w:bidi w:val="0"/>
        <w:spacing w:lineRule="atLeast" w:line="480"/>
        <w:jc w:val="both"/>
        <w:rPr>
          <w:rFonts w:ascii="Times New Roman" w:hAnsi="Times New Roman"/>
          <w:b/>
          <w:i/>
          <w:i/>
          <w:sz w:val="24"/>
        </w:rPr>
      </w:pPr>
      <w:r>
        <w:rPr>
          <w:rFonts w:ascii="Times New Roman" w:hAnsi="Times New Roman"/>
          <w:b/>
          <w:i/>
          <w:sz w:val="24"/>
        </w:rPr>
        <w:tab/>
      </w:r>
      <w:r>
        <w:rPr>
          <w:rFonts w:ascii="Times New Roman" w:hAnsi="Times New Roman"/>
          <w:sz w:val="24"/>
        </w:rPr>
        <w:t>It is critically important that the SPP RTO provide to the public all of this information as soon as it is available.    Failure to do so risks creating short-term, but effective, market power by the limited universe of those in possession of it.</w:t>
      </w:r>
    </w:p>
    <w:p>
      <w:pPr>
        <w:pStyle w:val="Normal"/>
        <w:bidi w:val="0"/>
        <w:jc w:val="both"/>
        <w:rPr>
          <w:rFonts w:ascii="Times New Roman" w:hAnsi="Times New Roman"/>
          <w:b/>
          <w:i/>
          <w:i/>
          <w:sz w:val="26"/>
        </w:rPr>
      </w:pPr>
      <w:r>
        <w:rPr>
          <w:rFonts w:ascii="Times New Roman" w:hAnsi="Times New Roman"/>
          <w:i/>
          <w:sz w:val="24"/>
        </w:rPr>
        <w:tab/>
      </w:r>
    </w:p>
    <w:p>
      <w:pPr>
        <w:sectPr>
          <w:footnotePr>
            <w:numFmt w:val="decimal"/>
            <w:numRestart w:val="eachSect"/>
          </w:footnotePr>
          <w:type w:val="continuous"/>
          <w:pgSz w:w="12240" w:h="15840"/>
          <w:pgMar w:left="1440" w:right="1440" w:gutter="0" w:header="1440" w:top="1497" w:footer="0" w:bottom="1440"/>
          <w:formProt w:val="false"/>
          <w:titlePg/>
          <w:textDirection w:val="lrTb"/>
          <w:docGrid w:type="default" w:linePitch="600" w:charSpace="40960"/>
        </w:sectPr>
      </w:pPr>
    </w:p>
    <w:p>
      <w:pPr>
        <w:pStyle w:val="1AutoList1"/>
        <w:tabs>
          <w:tab w:val="left" w:pos="720" w:leader="none"/>
          <w:tab w:val="left" w:pos="1440" w:leader="none"/>
        </w:tabs>
        <w:bidi w:val="0"/>
        <w:spacing w:lineRule="auto" w:line="240"/>
        <w:ind w:hanging="1440" w:start="1440"/>
        <w:rPr>
          <w:rFonts w:ascii="Times New Roman" w:hAnsi="Times New Roman"/>
        </w:rPr>
      </w:pPr>
      <w:r>
        <w:rPr>
          <w:rFonts w:ascii="Times New Roman" w:hAnsi="Times New Roman"/>
          <w:b/>
          <w:i/>
          <w:sz w:val="26"/>
        </w:rPr>
        <w:tab/>
        <w:t>Steps Essential to Eliminating the Incentive and Ability to Discriminate</w:t>
      </w:r>
    </w:p>
    <w:p>
      <w:pPr>
        <w:pStyle w:val="Normal"/>
        <w:bidi w:val="0"/>
        <w:jc w:val="both"/>
        <w:rPr>
          <w:rFonts w:ascii="Times New Roman" w:hAnsi="Times New Roman"/>
          <w:sz w:val="24"/>
        </w:rPr>
      </w:pPr>
      <w:r>
        <w:rPr>
          <w:rFonts w:ascii="Times New Roman" w:hAnsi="Times New Roman"/>
          <w:sz w:val="24"/>
        </w:rPr>
        <w:tab/>
      </w:r>
    </w:p>
    <w:p>
      <w:pPr>
        <w:pStyle w:val="Normal"/>
        <w:bidi w:val="0"/>
        <w:spacing w:lineRule="atLeast" w:line="480"/>
        <w:jc w:val="both"/>
        <w:rPr>
          <w:rFonts w:ascii="Times New Roman" w:hAnsi="Times New Roman"/>
          <w:sz w:val="24"/>
        </w:rPr>
      </w:pPr>
      <w:r>
        <w:rPr>
          <w:rFonts w:ascii="Times New Roman" w:hAnsi="Times New Roman"/>
          <w:sz w:val="24"/>
        </w:rPr>
        <w:tab/>
        <w:t>With regard to the elimination of the incentive and ability of transmission monopolists to discriminate and otherwise prevent new entry, the SPP RTO proposal fails to undertake the required changes to the status quo:</w:t>
      </w:r>
    </w:p>
    <w:p>
      <w:pPr>
        <w:pStyle w:val="Normal"/>
        <w:bidi w:val="0"/>
        <w:jc w:val="both"/>
        <w:rPr>
          <w:rFonts w:ascii="Times New Roman" w:hAnsi="Times New Roman"/>
          <w:sz w:val="24"/>
        </w:rPr>
      </w:pPr>
      <w:r>
        <w:rPr>
          <w:rFonts w:ascii="Times New Roman" w:hAnsi="Times New Roman"/>
          <w:sz w:val="24"/>
        </w:rPr>
      </w:r>
    </w:p>
    <w:p>
      <w:pPr>
        <w:pStyle w:val="Normal"/>
        <w:bidi w:val="0"/>
        <w:spacing w:lineRule="atLeast" w:line="480"/>
        <w:jc w:val="both"/>
        <w:rPr>
          <w:rFonts w:ascii="Times New Roman" w:hAnsi="Times New Roman"/>
          <w:sz w:val="24"/>
        </w:rPr>
      </w:pPr>
      <w:r>
        <w:rPr>
          <w:rFonts w:ascii="Times New Roman" w:hAnsi="Times New Roman"/>
          <w:sz w:val="24"/>
        </w:rPr>
        <w:tab/>
      </w:r>
      <w:r>
        <w:rPr>
          <w:rFonts w:ascii="Times New Roman" w:hAnsi="Times New Roman"/>
          <w:b/>
          <w:i/>
          <w:sz w:val="24"/>
        </w:rPr>
        <w:t>1.          Place All Uses of the Regional Grid on the Same Regional Transmission Tariff, Subject to the Same Rules of the Road —</w:t>
      </w:r>
      <w:r>
        <w:rPr>
          <w:rFonts w:ascii="Times New Roman" w:hAnsi="Times New Roman"/>
          <w:sz w:val="24"/>
        </w:rPr>
        <w:t xml:space="preserve"> All uses of the grid should be placed on the same foundation, subject to the same rules. In Order No. 888 the Commission imposed its open-access regime only on wholesale sales — a small fraction of the overall commerce that takes place on the interstate grid.    It allowed transmission uses that the transmission monopolist bundles with sales to captive customers (approximately 80 percent of all throughput) to remain in a black box within which it is impossible to detect or police discrimination against those who would compete with the transmission monopolist for power sales, either at wholesale or retail, where permitted.    While the Commission recognized the desirability of placing all uses on the same open-access foundation so that none would receive inferior or superior access, it failed to do so in Order No. 888 because of uncertainty as to its jurisdiction.    The court that reviewed Order No. 888 laid that jurisdictional concern to rest:    "In this age of interconnected transmission grids, and given the accompanying technological complexities, we would be hard pressed to conclude that FERC's interpretation . . . as giving it jurisdiction over both wholesale and retail transmissions is unreasonable or impermissible."    </w:t>
      </w:r>
      <w:r>
        <w:rPr>
          <w:rFonts w:ascii="Times New Roman" w:hAnsi="Times New Roman"/>
          <w:i/>
          <w:sz w:val="24"/>
        </w:rPr>
        <w:t>See TAPS v. FERC</w:t>
      </w:r>
      <w:r>
        <w:rPr>
          <w:rFonts w:ascii="Times New Roman" w:hAnsi="Times New Roman"/>
          <w:sz w:val="24"/>
        </w:rPr>
        <w:t xml:space="preserve">, 225 F.3d 667, 694 (D.C. Cir. 2000), </w:t>
      </w:r>
      <w:r>
        <w:rPr>
          <w:rFonts w:ascii="Times New Roman" w:hAnsi="Times New Roman"/>
          <w:i/>
          <w:sz w:val="24"/>
        </w:rPr>
        <w:t>petition for cert. filed sub nom. People of the State of New York and Public Serv. Comm. of the State of New York v. FERC</w:t>
      </w:r>
      <w:r>
        <w:rPr>
          <w:rFonts w:ascii="Times New Roman" w:hAnsi="Times New Roman"/>
          <w:sz w:val="24"/>
        </w:rPr>
        <w:t>, 69 U.S.L.W. 3281 (U.S. Oct. 11, 2000) (No. 00-568).    To fail once more to place all uses of the grid on the same nondiscriminatory foundation would be inexcusable in light of the court's decision.</w:t>
      </w:r>
    </w:p>
    <w:p>
      <w:pPr>
        <w:pStyle w:val="Normal"/>
        <w:bidi w:val="0"/>
        <w:spacing w:lineRule="atLeast" w:line="480"/>
        <w:jc w:val="both"/>
        <w:rPr>
          <w:rFonts w:ascii="Times New Roman" w:hAnsi="Times New Roman"/>
          <w:sz w:val="24"/>
        </w:rPr>
      </w:pPr>
      <w:r>
        <w:rPr>
          <w:rFonts w:ascii="Times New Roman" w:hAnsi="Times New Roman"/>
          <w:sz w:val="24"/>
        </w:rPr>
        <w:tab/>
        <w:t xml:space="preserve">Placing all uses of the regional grid on the same regional tariff extends to rights that must be held in order to obtain service from the RTO.      These rights    may take any of a number of forms, including rights to congested interfaces or, in systems that use locational marginal pricing ("LMP"), the fixed (or firm) transmission rights that are used to hedge against LMP's results.    These types or rights are tantamount to having access to regional transmission and must be available to all shippers on the same basis, pursuant to the same market mechanisms. </w:t>
      </w:r>
    </w:p>
    <w:p>
      <w:pPr>
        <w:pStyle w:val="Normal"/>
        <w:bidi w:val="0"/>
        <w:jc w:val="both"/>
        <w:rPr>
          <w:rFonts w:ascii="Times New Roman" w:hAnsi="Times New Roman"/>
          <w:sz w:val="24"/>
        </w:rPr>
      </w:pPr>
      <w:r>
        <w:rPr>
          <w:rFonts w:ascii="Times New Roman" w:hAnsi="Times New Roman"/>
          <w:sz w:val="24"/>
        </w:rPr>
      </w:r>
    </w:p>
    <w:p>
      <w:pPr>
        <w:pStyle w:val="Normal"/>
        <w:bidi w:val="0"/>
        <w:spacing w:lineRule="atLeast" w:line="480"/>
        <w:jc w:val="both"/>
        <w:rPr>
          <w:rFonts w:ascii="Times New Roman" w:hAnsi="Times New Roman"/>
          <w:sz w:val="24"/>
        </w:rPr>
      </w:pPr>
      <w:r>
        <w:rPr>
          <w:rFonts w:ascii="Times New Roman" w:hAnsi="Times New Roman"/>
          <w:sz w:val="24"/>
        </w:rPr>
        <w:tab/>
      </w:r>
      <w:r>
        <w:rPr>
          <w:rFonts w:ascii="Times New Roman" w:hAnsi="Times New Roman"/>
          <w:b/>
          <w:i/>
          <w:sz w:val="24"/>
        </w:rPr>
        <w:t>2.          Require Subordinate RTOs to Relinquish to the RTO Their    Commercially Valuable Control over Scheduling and Settlements —</w:t>
      </w:r>
      <w:r>
        <w:rPr>
          <w:rFonts w:ascii="Times New Roman" w:hAnsi="Times New Roman"/>
          <w:sz w:val="24"/>
        </w:rPr>
        <w:t xml:space="preserve"> Ideally, all control areas operating within the RTO's boundaries should be eliminated and their functions and responsibilities transferred to the RTO.      A single control area must be the end game.    EPMI recognizes that a transition may be necessary during which existing control areas cede some of their authority and responsibilities to the proposed RTO, but otherwise continue to operate as RTO subordinates in an hierarchical structure.    It is anachronistic and unduly discriminatory for subordinate control areas to continue to exercise authorities that give them commercial advantages that they discriminatorily deny to their power supply competitors.    </w:t>
      </w:r>
    </w:p>
    <w:p>
      <w:pPr>
        <w:pStyle w:val="Normal"/>
        <w:bidi w:val="0"/>
        <w:spacing w:lineRule="atLeast" w:line="480"/>
        <w:jc w:val="both"/>
        <w:rPr>
          <w:rFonts w:ascii="Times New Roman" w:hAnsi="Times New Roman"/>
          <w:sz w:val="24"/>
        </w:rPr>
      </w:pPr>
      <w:r>
        <w:rPr>
          <w:rFonts w:ascii="Times New Roman" w:hAnsi="Times New Roman"/>
          <w:sz w:val="24"/>
        </w:rPr>
        <w:tab/>
        <w:t>The concept of a control area grew out of the North American Electric Reliability Council ("NERC") and its rules for balancing interchange power flows between control areas.    In order to achieve balance essential for reliability, control areas historically have performed certain functions and fulfilled certain responsibilities.    These included responsibility for area control error ("ACE"), receiving and executing scheduled transactions, and settling inadvertent (unbalanced) power flows between themselves and other control areas.    In a recent White Paper, a Task Force of NERC has recognized that a control area operator's retention of authority over scheduling and the settlement of inadvertence confers unintended commercial benefits on the control area operator vis-à-vis its power supply competitors.    Specifically, control areas exercise their control over scheduling to allow themselves to schedule power into the control area before knowing and identifying its ultimate destination — a practice referred to as hubbing — and their control over settlements to allow themselves to elect when to settle inadvertence and whether to do so in cash or in kind.</w:t>
      </w:r>
      <w:r>
        <w:rPr>
          <w:rStyle w:val="FootnoteReference"/>
          <w:rFonts w:ascii="Times New Roman" w:hAnsi="Times New Roman"/>
          <w:sz w:val="24"/>
          <w:vertAlign w:val="superscript"/>
        </w:rPr>
        <w:footnoteReference w:id="6"/>
      </w:r>
      <w:r>
        <w:rPr>
          <w:rFonts w:ascii="Times New Roman" w:hAnsi="Times New Roman"/>
          <w:sz w:val="24"/>
        </w:rPr>
        <w:t>    Both practices confer enormous commercial flexibility on the control area and its affiliates in the power supply area; flexibility that they deny to all of their non-vertically integrated competitors.</w:t>
      </w:r>
    </w:p>
    <w:p>
      <w:pPr>
        <w:pStyle w:val="Normal"/>
        <w:bidi w:val="0"/>
        <w:spacing w:lineRule="atLeast" w:line="480"/>
        <w:jc w:val="both"/>
        <w:rPr>
          <w:rFonts w:ascii="Times New Roman" w:hAnsi="Times New Roman"/>
          <w:sz w:val="24"/>
        </w:rPr>
      </w:pPr>
      <w:r>
        <w:rPr>
          <w:rFonts w:ascii="Times New Roman" w:hAnsi="Times New Roman"/>
          <w:sz w:val="24"/>
        </w:rPr>
        <w:tab/>
        <w:t>At a minimum, to eliminate these discriminatory advantages, SPP should be required to have those subordinate control areas relinquish to the RTO all responsibility for transaction scheduling and settling inadvertence.    The SPP should then be required to offer the same scheduling flexibility in terms of hubbing and the same settlement flexibility to all shippers on the regional grid.</w:t>
      </w:r>
    </w:p>
    <w:p>
      <w:pPr>
        <w:pStyle w:val="Normal"/>
        <w:bidi w:val="0"/>
        <w:spacing w:lineRule="atLeast" w:line="480"/>
        <w:jc w:val="both"/>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8"/>
        </w:rPr>
      </w:pPr>
      <w:r>
        <w:rPr>
          <w:rFonts w:ascii="Times New Roman" w:hAnsi="Times New Roman"/>
          <w:b/>
          <w:sz w:val="28"/>
        </w:rPr>
        <w:tab/>
        <w:t>II.</w:t>
      </w:r>
    </w:p>
    <w:p>
      <w:pPr>
        <w:pStyle w:val="Normal"/>
        <w:bidi w:val="0"/>
        <w:jc w:val="center"/>
        <w:rPr>
          <w:rFonts w:ascii="Times New Roman" w:hAnsi="Times New Roman"/>
          <w:sz w:val="24"/>
        </w:rPr>
      </w:pPr>
      <w:r>
        <w:rPr>
          <w:rFonts w:ascii="Times New Roman" w:hAnsi="Times New Roman"/>
          <w:b/>
          <w:sz w:val="28"/>
        </w:rPr>
        <w:t>COMMENTS</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t>In general, SPP's proposed RTO has several desirable attributes.    These include an adequate scope (assuming Entergy's full participation</w:t>
      </w:r>
      <w:r>
        <w:rPr>
          <w:rStyle w:val="FootnoteReference"/>
          <w:rFonts w:ascii="Times New Roman" w:hAnsi="Times New Roman"/>
          <w:sz w:val="24"/>
          <w:vertAlign w:val="superscript"/>
        </w:rPr>
        <w:footnoteReference w:id="7"/>
      </w:r>
      <w:r>
        <w:rPr>
          <w:rFonts w:ascii="Times New Roman" w:hAnsi="Times New Roman"/>
          <w:sz w:val="24"/>
        </w:rPr>
        <w:t>) covering 400,000 square miles of facilities in eight states.    This scope will do much to further the objective of a national power market, assuming that SPP is able to address more completely issues of interregional coordination in future filings between now and the December 15, 2001, RTO implementation date.</w:t>
      </w:r>
    </w:p>
    <w:p>
      <w:pPr>
        <w:pStyle w:val="Normal"/>
        <w:bidi w:val="0"/>
        <w:spacing w:lineRule="atLeast" w:line="480"/>
        <w:jc w:val="start"/>
        <w:rPr>
          <w:rFonts w:ascii="Times New Roman" w:hAnsi="Times New Roman"/>
          <w:sz w:val="24"/>
        </w:rPr>
      </w:pPr>
      <w:r>
        <w:rPr>
          <w:rFonts w:ascii="Times New Roman" w:hAnsi="Times New Roman"/>
          <w:sz w:val="24"/>
        </w:rPr>
        <w:tab/>
        <w:t xml:space="preserve">SPP's proposal for managing transmission congestion is also a step in the right direction.    SPP and Entergy appear to propose a two-fold approach.    It would manage congestion using a market mechanism based in physical rights to flow power over points of known or anticipated congestions.    These rights would be homogeneous and tradable; consequently, unlike certain other congestion management systems ("CMSs"), they could support a forward market and forward trading in energy and transmission.    In addition, a real-time balancing market would use a form of locational pricing to settle imbalances and inadvertence.    One critical element of this proposal (that we elaborate on below) deserves particular Commission scrutiny.    That is how SPP proposes to make physical flow rights available to market participants.            </w:t>
      </w:r>
    </w:p>
    <w:p>
      <w:pPr>
        <w:pStyle w:val="Normal"/>
        <w:bidi w:val="0"/>
        <w:spacing w:lineRule="atLeast" w:line="480"/>
        <w:jc w:val="start"/>
        <w:rPr>
          <w:rFonts w:ascii="Times New Roman" w:hAnsi="Times New Roman"/>
          <w:sz w:val="24"/>
        </w:rPr>
      </w:pPr>
      <w:r>
        <w:rPr>
          <w:rFonts w:ascii="Times New Roman" w:hAnsi="Times New Roman"/>
          <w:sz w:val="24"/>
        </w:rPr>
        <w:tab/>
        <w:t>In short, SPP has made significant progress toward RTO formation, although many of the details need to be worked out.    What is needed now is a very clear Commission directive telling SPP precisely what remains to be done before SPP can be recognized as an Order-2000-compliant RTO.    SPP should be given deadlines for finishing the remaining work.</w:t>
      </w:r>
    </w:p>
    <w:p>
      <w:pPr>
        <w:pStyle w:val="Normal"/>
        <w:bidi w:val="0"/>
        <w:spacing w:lineRule="atLeast" w:line="48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8"/>
        </w:rPr>
      </w:pPr>
      <w:r>
        <w:rPr>
          <w:rFonts w:ascii="Times New Roman" w:hAnsi="Times New Roman"/>
          <w:sz w:val="24"/>
        </w:rPr>
        <w:tab/>
      </w:r>
      <w:r>
        <w:rPr>
          <w:rFonts w:ascii="Times New Roman" w:hAnsi="Times New Roman"/>
          <w:b/>
          <w:sz w:val="24"/>
        </w:rPr>
        <w:tab/>
      </w:r>
      <w:r>
        <w:rPr>
          <w:rFonts w:ascii="Times New Roman" w:hAnsi="Times New Roman"/>
          <w:b/>
          <w:sz w:val="28"/>
        </w:rPr>
        <w:t xml:space="preserve">III. </w:t>
      </w:r>
    </w:p>
    <w:p>
      <w:pPr>
        <w:pStyle w:val="Normal"/>
        <w:bidi w:val="0"/>
        <w:jc w:val="center"/>
        <w:rPr>
          <w:rFonts w:ascii="Times New Roman" w:hAnsi="Times New Roman"/>
          <w:sz w:val="24"/>
        </w:rPr>
      </w:pPr>
      <w:r>
        <w:rPr>
          <w:rFonts w:ascii="Times New Roman" w:hAnsi="Times New Roman"/>
          <w:b/>
          <w:sz w:val="28"/>
        </w:rPr>
        <w:t>PROTEST</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t>The SPP RTO proposal remains out of compliance with certain characteristics and functions that Order No. 2000 prescribes for all RTOs.    SPP should be directed to address promptly each of the Order No. 2000 deficiencies that we note below.</w:t>
      </w:r>
    </w:p>
    <w:p>
      <w:pPr>
        <w:pStyle w:val="Normal"/>
        <w:bidi w:val="0"/>
        <w:spacing w:lineRule="atLeast" w:line="480"/>
        <w:jc w:val="start"/>
        <w:rPr>
          <w:rFonts w:ascii="Times New Roman" w:hAnsi="Times New Roman"/>
          <w:sz w:val="26"/>
        </w:rPr>
      </w:pPr>
      <w:r>
        <w:rPr>
          <w:rFonts w:ascii="Times New Roman" w:hAnsi="Times New Roman"/>
          <w:sz w:val="26"/>
        </w:rPr>
      </w:r>
    </w:p>
    <w:p>
      <w:pPr>
        <w:pStyle w:val="Normal"/>
        <w:tabs>
          <w:tab w:val="left" w:pos="720" w:leader="none"/>
          <w:tab w:val="left" w:pos="1440" w:leader="none"/>
        </w:tabs>
        <w:bidi w:val="0"/>
        <w:ind w:hanging="1440" w:start="1440"/>
        <w:jc w:val="start"/>
        <w:rPr>
          <w:rFonts w:ascii="Times New Roman" w:hAnsi="Times New Roman"/>
          <w:b/>
          <w:i/>
          <w:i/>
          <w:sz w:val="24"/>
        </w:rPr>
      </w:pPr>
      <w:r>
        <w:rPr>
          <w:rFonts w:ascii="Times New Roman" w:hAnsi="Times New Roman"/>
          <w:b/>
          <w:i/>
          <w:sz w:val="26"/>
        </w:rPr>
        <w:tab/>
        <w:t>A.</w:t>
        <w:tab/>
        <w:t>The Proposed Stakeholder Board Invites Gridlock &amp; Should Be Replaced with an Independent Board</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t>SPP's own experience with protracted stakeholder negotiations and the Commission's own experience with the stakeholder board of the California Independent System Operator ("ISO") strongly indicate that this form of governance is ill-suited to an effective and efficient operator of the regional grid.    Moreover, the way that SPP has allocated authority within the stakeholder board deprives the RTO from acting independently of the member transmission owners.    For these reasons, SPP should be directed to replace the proposed board with an independent one.</w:t>
      </w:r>
    </w:p>
    <w:p>
      <w:pPr>
        <w:pStyle w:val="Normal"/>
        <w:bidi w:val="0"/>
        <w:spacing w:lineRule="atLeast" w:line="480"/>
        <w:jc w:val="start"/>
        <w:rPr>
          <w:rFonts w:ascii="Times New Roman" w:hAnsi="Times New Roman"/>
          <w:sz w:val="24"/>
        </w:rPr>
      </w:pPr>
      <w:r>
        <w:rPr>
          <w:rFonts w:ascii="Times New Roman" w:hAnsi="Times New Roman"/>
          <w:sz w:val="24"/>
        </w:rPr>
        <w:tab/>
        <w:t xml:space="preserve">SPP proposes to retain for the RTO its currently sitting board.    That is a 21-person board,    14 of whom are SPP members, divided evenly between seven transmission owners and seven customers.    The remaining seven are independents, with experience in the power business, selected on the basis of experience and competencies.    This board is not sufficiently independent to be effective or efficient at moving SPP toward an end-state RTO.    The stakeholders take predictable and entrenched positions that have the effect of canceling each other out, rather than moving SPP forward.    If anything, the stakeholder contingent is improperly weighted toward transmission owner interests by reason of the inexplicable decision to include Entergy (the owner of several transmission systems) and its proposed successor independent transmission company in among the transmission customers rather than owners. </w:t>
      </w:r>
    </w:p>
    <w:p>
      <w:pPr>
        <w:pStyle w:val="Normal"/>
        <w:bidi w:val="0"/>
        <w:spacing w:lineRule="atLeast" w:line="480"/>
        <w:jc w:val="start"/>
        <w:rPr>
          <w:rFonts w:ascii="Times New Roman" w:hAnsi="Times New Roman"/>
          <w:sz w:val="24"/>
        </w:rPr>
      </w:pPr>
      <w:r>
        <w:rPr>
          <w:rFonts w:ascii="Times New Roman" w:hAnsi="Times New Roman"/>
          <w:sz w:val="24"/>
        </w:rPr>
        <w:tab/>
        <w:t>In connection with an independent board replacing the existing stakeholder board, SPP should be directed to specify the precise competencies and experiences that will qualify a candidate for acceptance as a board member.    EPMI recommends the Commission direct SPP to follow the lead of the PJM Interconnection or ISO New England, both of which adopted thoughtful criteria for qualifying members of their independent boards.    The Commission should also ensure that voting for the new independent board is done on a PJM-like sector basis.</w:t>
      </w:r>
    </w:p>
    <w:p>
      <w:pPr>
        <w:pStyle w:val="Normal"/>
        <w:bidi w:val="0"/>
        <w:jc w:val="start"/>
        <w:rPr>
          <w:rFonts w:ascii="Times New Roman" w:hAnsi="Times New Roman"/>
          <w:sz w:val="26"/>
        </w:rPr>
      </w:pPr>
      <w:r>
        <w:rPr>
          <w:rFonts w:ascii="Times New Roman" w:hAnsi="Times New Roman"/>
          <w:sz w:val="26"/>
        </w:rPr>
      </w:r>
    </w:p>
    <w:p>
      <w:pPr>
        <w:pStyle w:val="Normal"/>
        <w:bidi w:val="0"/>
        <w:jc w:val="start"/>
        <w:rPr>
          <w:rFonts w:ascii="Times New Roman" w:hAnsi="Times New Roman"/>
          <w:sz w:val="26"/>
        </w:rPr>
      </w:pPr>
      <w:r>
        <w:rPr>
          <w:rFonts w:ascii="Times New Roman" w:hAnsi="Times New Roman"/>
          <w:sz w:val="26"/>
        </w:rPr>
      </w:r>
    </w:p>
    <w:p>
      <w:pPr>
        <w:pStyle w:val="Normal"/>
        <w:bidi w:val="0"/>
        <w:jc w:val="start"/>
        <w:rPr>
          <w:rFonts w:ascii="Times New Roman" w:hAnsi="Times New Roman"/>
          <w:sz w:val="26"/>
        </w:rPr>
      </w:pPr>
      <w:r>
        <w:rPr>
          <w:rFonts w:ascii="Times New Roman" w:hAnsi="Times New Roman"/>
          <w:sz w:val="26"/>
        </w:rPr>
      </w:r>
    </w:p>
    <w:p>
      <w:pPr>
        <w:sectPr>
          <w:footnotePr>
            <w:numFmt w:val="decimal"/>
            <w:numRestart w:val="eachSect"/>
          </w:footnotePr>
          <w:type w:val="continuous"/>
          <w:pgSz w:w="12240" w:h="15840"/>
          <w:pgMar w:left="1440" w:right="1440" w:gutter="0" w:header="1440" w:top="1497" w:footer="0" w:bottom="1440"/>
          <w:formProt w:val="false"/>
          <w:titlePg/>
          <w:textDirection w:val="lrTb"/>
          <w:docGrid w:type="default" w:linePitch="600" w:charSpace="40960"/>
        </w:sectPr>
      </w:pPr>
    </w:p>
    <w:p>
      <w:pPr>
        <w:pStyle w:val="Normal"/>
        <w:tabs>
          <w:tab w:val="left" w:pos="720" w:leader="none"/>
          <w:tab w:val="left" w:pos="1440" w:leader="none"/>
        </w:tabs>
        <w:bidi w:val="0"/>
        <w:ind w:hanging="1440" w:start="1440"/>
        <w:jc w:val="start"/>
        <w:rPr>
          <w:rFonts w:ascii="Times New Roman" w:hAnsi="Times New Roman"/>
          <w:b/>
          <w:i/>
          <w:i/>
          <w:sz w:val="26"/>
        </w:rPr>
      </w:pPr>
      <w:r>
        <w:rPr>
          <w:rFonts w:ascii="Times New Roman" w:hAnsi="Times New Roman"/>
          <w:b/>
          <w:i/>
          <w:sz w:val="26"/>
        </w:rPr>
        <w:tab/>
        <w:t>B.</w:t>
        <w:tab/>
        <w:t>The Proposed Scope &amp; Configuration of the SPP RTO Are Adequate Only Insofar as Entergy Participates Fully</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t>The SPP proposal has both a large scope and, when Entergy is included, a coherent configuration.    EPMI asks the Commission to emphasize to both SPP and Entergy that in tandem only do they achieve sufficient scope and configuration.    Conversely, independent of each other, neither achieves sufficient scope or configuration to be acceptable as an RTO.</w:t>
      </w:r>
    </w:p>
    <w:p>
      <w:pPr>
        <w:pStyle w:val="Normal"/>
        <w:bidi w:val="0"/>
        <w:jc w:val="start"/>
        <w:rPr>
          <w:rFonts w:ascii="Times New Roman" w:hAnsi="Times New Roman"/>
          <w:sz w:val="24"/>
        </w:rPr>
      </w:pPr>
      <w:r>
        <w:rPr>
          <w:rFonts w:ascii="Times New Roman" w:hAnsi="Times New Roman"/>
          <w:sz w:val="24"/>
        </w:rPr>
      </w:r>
    </w:p>
    <w:p>
      <w:pPr>
        <w:sectPr>
          <w:footnotePr>
            <w:numFmt w:val="decimal"/>
            <w:numRestart w:val="eachSect"/>
          </w:footnotePr>
          <w:type w:val="continuous"/>
          <w:pgSz w:w="12240" w:h="15840"/>
          <w:pgMar w:left="1440" w:right="1440" w:gutter="0" w:header="1440" w:top="1497" w:footer="0" w:bottom="1440"/>
          <w:formProt w:val="false"/>
          <w:titlePg/>
          <w:textDirection w:val="lrTb"/>
          <w:docGrid w:type="default" w:linePitch="600" w:charSpace="40960"/>
        </w:sectPr>
      </w:pPr>
    </w:p>
    <w:p>
      <w:pPr>
        <w:pStyle w:val="1AutoList1"/>
        <w:tabs>
          <w:tab w:val="left" w:pos="720" w:leader="none"/>
          <w:tab w:val="left" w:pos="1440" w:leader="none"/>
        </w:tabs>
        <w:bidi w:val="0"/>
        <w:spacing w:lineRule="auto" w:line="240"/>
        <w:ind w:hanging="1440" w:start="1440"/>
        <w:jc w:val="start"/>
        <w:rPr>
          <w:rFonts w:ascii="Times New Roman" w:hAnsi="Times New Roman"/>
          <w:b/>
          <w:i/>
          <w:i/>
          <w:sz w:val="26"/>
        </w:rPr>
      </w:pPr>
      <w:r>
        <w:rPr>
          <w:rFonts w:ascii="Times New Roman" w:hAnsi="Times New Roman"/>
          <w:b/>
          <w:i/>
          <w:sz w:val="26"/>
        </w:rPr>
        <w:tab/>
        <w:t>More Operational Control Needs to Be Ceded to the RTO by All Transmission Owners</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t>SPP's proposal does not surrender complete operational control to the RTO in at least two critical respects.    First, the transmission owners retain the ability to ignore or override decisions of the RTO, and there is no RTO authority to take disciplinary action against a non-compliant owner.    Second, SPP proposes to retain existing control areas and allow them to continue controlling commercial functions, unrelated to maintaining reliability, which should be relinquished to the RTO.</w:t>
      </w:r>
    </w:p>
    <w:p>
      <w:pPr>
        <w:sectPr>
          <w:footnotePr>
            <w:numFmt w:val="decimal"/>
            <w:numRestart w:val="eachSect"/>
          </w:footnotePr>
          <w:type w:val="continuous"/>
          <w:pgSz w:w="12240" w:h="15840"/>
          <w:pgMar w:left="1440" w:right="1440" w:gutter="0" w:header="1440" w:top="1497" w:footer="0" w:bottom="1440"/>
          <w:formProt w:val="false"/>
          <w:titlePg/>
          <w:textDirection w:val="lrTb"/>
          <w:docGrid w:type="default" w:linePitch="600" w:charSpace="40960"/>
        </w:sectPr>
      </w:pPr>
    </w:p>
    <w:p>
      <w:pPr>
        <w:pStyle w:val="Normal"/>
        <w:bidi w:val="0"/>
        <w:spacing w:lineRule="atLeast" w:line="480"/>
        <w:jc w:val="start"/>
        <w:rPr>
          <w:rFonts w:ascii="Times New Roman" w:hAnsi="Times New Roman"/>
          <w:sz w:val="24"/>
        </w:rPr>
      </w:pPr>
      <w:r>
        <w:rPr>
          <w:rFonts w:ascii="Times New Roman" w:hAnsi="Times New Roman"/>
          <w:b/>
          <w:i/>
          <w:sz w:val="24"/>
        </w:rPr>
        <w:tab/>
        <w:t xml:space="preserve">1.          The Proposed RTO Must Be Able to Enforce Its Operational Orders — </w:t>
      </w:r>
      <w:r>
        <w:rPr>
          <w:rFonts w:ascii="Times New Roman" w:hAnsi="Times New Roman"/>
          <w:sz w:val="24"/>
        </w:rPr>
        <w:t>As proposed, the RTO would be a security coordinator authorized to issue operating orders to the transmission owners and control area operators, including the Entergy Transco.    However, there appears to be no authority in the RTO to require compliance with its directives or to penalize violations or rejections of its directives.</w:t>
      </w:r>
    </w:p>
    <w:p>
      <w:pPr>
        <w:pStyle w:val="Normal"/>
        <w:bidi w:val="0"/>
        <w:spacing w:lineRule="atLeast" w:line="480"/>
        <w:jc w:val="start"/>
        <w:rPr>
          <w:rFonts w:ascii="Times New Roman" w:hAnsi="Times New Roman"/>
          <w:sz w:val="24"/>
        </w:rPr>
      </w:pPr>
      <w:r>
        <w:rPr>
          <w:rFonts w:ascii="Times New Roman" w:hAnsi="Times New Roman"/>
          <w:sz w:val="24"/>
        </w:rPr>
        <w:tab/>
        <w:t xml:space="preserve">The issue of operational control is particularly open as it relates to the relationship between the SPP RTO and Entergy's Transco.    According to an SPP witness, far from relinquishing operational control to the RTO, the Entergy "Transco will be responsible for operation of the Transco transmission system . . . relating to service within the Transco and which does not cross any SPP member[s]."    </w:t>
      </w:r>
      <w:r>
        <w:rPr>
          <w:rFonts w:ascii="Times New Roman" w:hAnsi="Times New Roman"/>
          <w:i/>
          <w:sz w:val="24"/>
        </w:rPr>
        <w:t>Test. of Allen E. Anderson</w:t>
      </w:r>
      <w:r>
        <w:rPr>
          <w:rFonts w:ascii="Times New Roman" w:hAnsi="Times New Roman"/>
          <w:sz w:val="24"/>
        </w:rPr>
        <w:t xml:space="preserve"> at 4; </w:t>
      </w:r>
      <w:r>
        <w:rPr>
          <w:rFonts w:ascii="Times New Roman" w:hAnsi="Times New Roman"/>
          <w:i/>
          <w:sz w:val="24"/>
        </w:rPr>
        <w:t>see also Entergy Services, Inc.</w:t>
      </w:r>
      <w:r>
        <w:rPr>
          <w:rFonts w:ascii="Times New Roman" w:hAnsi="Times New Roman"/>
          <w:sz w:val="24"/>
        </w:rPr>
        <w:t xml:space="preserve">, No. RT01- 75-000, </w:t>
      </w:r>
      <w:r>
        <w:rPr>
          <w:rFonts w:ascii="Times New Roman" w:hAnsi="Times New Roman"/>
          <w:i/>
          <w:sz w:val="24"/>
        </w:rPr>
        <w:t>Test. of Frank F. Gallagher</w:t>
      </w:r>
      <w:r>
        <w:rPr>
          <w:rFonts w:ascii="Times New Roman" w:hAnsi="Times New Roman"/>
          <w:sz w:val="24"/>
        </w:rPr>
        <w:t xml:space="preserve"> at 26-29.    This is problematic, to say the least.    It implies that Entergy is part of the RTO for some purposes, but not for others.    For those others, is Entergy Transco operating as its own RTO?    If so, EPMI challenges Entergy's compliance with many of the characteristics of a proper RTO, not the least of which is scope and configuration.    If Entergy can control its own operations with regard to transactions that are on the margin of the SPP region, it can easily function as a toll keeper into SPP.    That should not be permitted.</w:t>
      </w:r>
    </w:p>
    <w:p>
      <w:pPr>
        <w:pStyle w:val="Normal"/>
        <w:bidi w:val="0"/>
        <w:jc w:val="start"/>
        <w:rPr>
          <w:rFonts w:ascii="Times New Roman" w:hAnsi="Times New Roman"/>
          <w:sz w:val="24"/>
        </w:rPr>
      </w:pPr>
      <w:r>
        <w:rPr>
          <w:rFonts w:ascii="Times New Roman" w:hAnsi="Times New Roman"/>
          <w:sz w:val="24"/>
        </w:rPr>
      </w:r>
    </w:p>
    <w:p>
      <w:pPr>
        <w:sectPr>
          <w:footnotePr>
            <w:numFmt w:val="decimal"/>
            <w:numRestart w:val="eachSect"/>
          </w:footnotePr>
          <w:type w:val="continuous"/>
          <w:pgSz w:w="12240" w:h="15840"/>
          <w:pgMar w:left="1440" w:right="1440" w:gutter="0" w:header="1440" w:top="1497" w:footer="0" w:bottom="1440"/>
          <w:formProt w:val="false"/>
          <w:titlePg/>
          <w:textDirection w:val="lrTb"/>
          <w:docGrid w:type="default" w:linePitch="600" w:charSpace="40960"/>
        </w:sectPr>
      </w:pPr>
    </w:p>
    <w:p>
      <w:pPr>
        <w:pStyle w:val="Normal"/>
        <w:bidi w:val="0"/>
        <w:spacing w:lineRule="atLeast" w:line="480"/>
        <w:jc w:val="start"/>
        <w:rPr>
          <w:rFonts w:ascii="Times New Roman" w:hAnsi="Times New Roman"/>
          <w:sz w:val="24"/>
        </w:rPr>
      </w:pPr>
      <w:r>
        <w:rPr>
          <w:rFonts w:ascii="Times New Roman" w:hAnsi="Times New Roman"/>
          <w:b/>
          <w:i/>
          <w:sz w:val="24"/>
        </w:rPr>
        <w:tab/>
        <w:t xml:space="preserve">2.          Certain Commercial Benefits of Control Area Status Must Be Relinquished to the RTO — </w:t>
      </w:r>
      <w:r>
        <w:rPr>
          <w:rFonts w:ascii="Times New Roman" w:hAnsi="Times New Roman"/>
          <w:sz w:val="24"/>
        </w:rPr>
        <w:t xml:space="preserve">As noted earlier, in an ideal RTO, the RTO should be its own control area.    To the extent that existing control areas are retained during a transition period, they must be stripped of their commercial advantages.    Under SPP's proposal, existing control areas, including the Entergy Transco, retain their ability to schedule flexibly transmission in ways denied to all other generators and market participants.    This is unduly discriminatory and must not be permitted.    Instead, control over scheduling should be transferred from the existing control areas to the RTO and the RTO should be charged with establishing and implementing rules for reserving and scheduling that are not discriminatory.    </w:t>
      </w:r>
    </w:p>
    <w:p>
      <w:pPr>
        <w:pStyle w:val="Normal"/>
        <w:bidi w:val="0"/>
        <w:spacing w:lineRule="atLeast" w:line="480"/>
        <w:jc w:val="start"/>
        <w:rPr>
          <w:rFonts w:ascii="Times New Roman" w:hAnsi="Times New Roman"/>
          <w:sz w:val="24"/>
        </w:rPr>
      </w:pPr>
      <w:r>
        <w:rPr>
          <w:rFonts w:ascii="Times New Roman" w:hAnsi="Times New Roman"/>
          <w:sz w:val="24"/>
        </w:rPr>
        <w:tab/>
        <w:t xml:space="preserve">In Order No. 2000, the Commission declined to consolidate existing control areas operating within an RTO region.    Nevertheless, the Commission admonished that "the RTO must perform the control functions required to satisfy the minimum characteristics and functions in this Final Rule, including the transmission control and security coordinator functions discussed above,    </w:t>
      </w:r>
      <w:r>
        <w:rPr>
          <w:rFonts w:ascii="Times New Roman" w:hAnsi="Times New Roman"/>
          <w:i/>
          <w:sz w:val="24"/>
        </w:rPr>
        <w:t>in a non-discriminatory manner for all market participants</w:t>
      </w:r>
      <w:r>
        <w:rPr>
          <w:rFonts w:ascii="Times New Roman" w:hAnsi="Times New Roman"/>
          <w:sz w:val="24"/>
        </w:rPr>
        <w:t xml:space="preserve">." </w:t>
      </w:r>
      <w:r>
        <w:rPr>
          <w:rFonts w:ascii="Times New Roman" w:hAnsi="Times New Roman"/>
          <w:i/>
          <w:sz w:val="24"/>
        </w:rPr>
        <w:t>Order No.    2000</w:t>
      </w:r>
      <w:r>
        <w:rPr>
          <w:rFonts w:ascii="Times New Roman" w:hAnsi="Times New Roman"/>
          <w:sz w:val="24"/>
        </w:rPr>
        <w:t xml:space="preserve"> at 31,091 (footnotes omitted) (emphasis added) (citing </w:t>
      </w:r>
      <w:r>
        <w:rPr>
          <w:rFonts w:ascii="Times New Roman" w:hAnsi="Times New Roman"/>
          <w:i/>
          <w:sz w:val="24"/>
        </w:rPr>
        <w:t>Midwest Independent System Operator</w:t>
      </w:r>
      <w:r>
        <w:rPr>
          <w:rFonts w:ascii="Times New Roman" w:hAnsi="Times New Roman"/>
          <w:sz w:val="24"/>
        </w:rPr>
        <w:t>, 84 F.E.R.C. ¶ 61,231at 62,159 (1998) (ISO must be able to take "</w:t>
      </w:r>
      <w:r>
        <w:rPr>
          <w:rFonts w:ascii="Times New Roman" w:hAnsi="Times New Roman"/>
          <w:i/>
          <w:sz w:val="24"/>
        </w:rPr>
        <w:t>all</w:t>
      </w:r>
      <w:r>
        <w:rPr>
          <w:rFonts w:ascii="Times New Roman" w:hAnsi="Times New Roman"/>
          <w:sz w:val="24"/>
        </w:rPr>
        <w:t xml:space="preserve"> actions necessary to provide nondiscriminatory transmission service" (emphasis in original)).    The SPP RTO proposal fails this admonition.</w:t>
      </w:r>
    </w:p>
    <w:p>
      <w:pPr>
        <w:pStyle w:val="Normal"/>
        <w:bidi w:val="0"/>
        <w:spacing w:lineRule="atLeast" w:line="480"/>
        <w:jc w:val="start"/>
        <w:rPr>
          <w:rFonts w:ascii="Times New Roman" w:hAnsi="Times New Roman"/>
          <w:sz w:val="24"/>
        </w:rPr>
      </w:pPr>
      <w:r>
        <w:rPr>
          <w:rFonts w:ascii="Times New Roman" w:hAnsi="Times New Roman"/>
          <w:sz w:val="24"/>
        </w:rPr>
        <w:tab/>
        <w:t>A critical element of an RTO's required operational authority over all transmission facilities (Characteristic 3) and responsibility for short-term reliability (Characteristic 4) is reserving and scheduling transmission, including interchange.    The SPP proposal fails to provide scheduling in a nondiscriminatory manner for all market participants; rather, it discriminates in favor of generation that is operated or controlled by the existing transmission owners qua control area operators or their affiliates.</w:t>
      </w:r>
    </w:p>
    <w:p>
      <w:pPr>
        <w:pStyle w:val="Normal"/>
        <w:bidi w:val="0"/>
        <w:spacing w:lineRule="atLeast" w:line="480"/>
        <w:jc w:val="start"/>
        <w:rPr>
          <w:rFonts w:ascii="Times New Roman" w:hAnsi="Times New Roman"/>
          <w:sz w:val="24"/>
        </w:rPr>
      </w:pPr>
      <w:r>
        <w:rPr>
          <w:rFonts w:ascii="Times New Roman" w:hAnsi="Times New Roman"/>
          <w:sz w:val="24"/>
        </w:rPr>
        <w:tab/>
        <w:t>The retention of existing control-area practices permits generators or marketers affiliated with existing control areas to schedule transactions with outside generation resources and outside loads, with the affiliated control area serving as a "hub."    This practice, referred to as "parking and hubbing" confers on the control area "flexibility to 'mix and match' [their] resources with [their] customers."</w:t>
      </w:r>
      <w:r>
        <w:rPr>
          <w:rStyle w:val="FootnoteReference"/>
          <w:rFonts w:ascii="Times New Roman" w:hAnsi="Times New Roman"/>
          <w:sz w:val="24"/>
          <w:vertAlign w:val="superscript"/>
        </w:rPr>
        <w:footnoteReference w:id="8"/>
      </w:r>
      <w:r>
        <w:rPr>
          <w:rFonts w:ascii="Times New Roman" w:hAnsi="Times New Roman"/>
          <w:sz w:val="24"/>
        </w:rPr>
        <w:t xml:space="preserve">  In practical effect, this means that the control-area affiliate reserves and schedules a partial transmission path where the sink or source (or both) are not defined until the transaction with the outside generator or load (or both) is tagged, </w:t>
      </w:r>
      <w:r>
        <w:rPr>
          <w:rFonts w:ascii="Times New Roman" w:hAnsi="Times New Roman"/>
          <w:i/>
          <w:sz w:val="24"/>
        </w:rPr>
        <w:t>id.</w:t>
      </w:r>
      <w:r>
        <w:rPr>
          <w:rFonts w:ascii="Times New Roman" w:hAnsi="Times New Roman"/>
          <w:sz w:val="24"/>
        </w:rPr>
        <w:t xml:space="preserve">, typically 20 minutes before the hour. This ability to hub is of enormous commercial value as NERC has recognized, and as this Commission has recognized in the natural gas industry.    </w:t>
      </w:r>
      <w:r>
        <w:rPr>
          <w:rFonts w:ascii="Times New Roman" w:hAnsi="Times New Roman"/>
          <w:i/>
          <w:sz w:val="24"/>
        </w:rPr>
        <w:t>See, e.g.,</w:t>
      </w:r>
      <w:r>
        <w:rPr>
          <w:rFonts w:ascii="Times New Roman" w:hAnsi="Times New Roman"/>
          <w:sz w:val="24"/>
        </w:rPr>
        <w:t xml:space="preserve"> </w:t>
      </w:r>
      <w:r>
        <w:rPr>
          <w:rFonts w:ascii="Times New Roman" w:hAnsi="Times New Roman"/>
          <w:i/>
          <w:sz w:val="24"/>
        </w:rPr>
        <w:t>Regulation of Short-Term Natural Gas Transportation Services, and Regulation of Interstate Natural Gas Transportation Services</w:t>
      </w:r>
      <w:r>
        <w:rPr>
          <w:rFonts w:ascii="Times New Roman" w:hAnsi="Times New Roman"/>
          <w:sz w:val="24"/>
        </w:rPr>
        <w:t xml:space="preserve">, Order No. 637, [1996-2000 Regs. Preambles], III F.E.R.C. ¶ 31,091 at 31,259 (2000) (recognizing "growing importance of market centers"), </w:t>
      </w:r>
      <w:r>
        <w:rPr>
          <w:rFonts w:ascii="Times New Roman" w:hAnsi="Times New Roman"/>
          <w:i/>
          <w:sz w:val="24"/>
        </w:rPr>
        <w:t>order on reh'g</w:t>
      </w:r>
      <w:r>
        <w:rPr>
          <w:rFonts w:ascii="Times New Roman" w:hAnsi="Times New Roman"/>
          <w:sz w:val="24"/>
        </w:rPr>
        <w:t xml:space="preserve">, Order No. 637-A, III F.E.R.C. Stats. &amp; Regs. ¶ 31,099 (2000), </w:t>
      </w:r>
      <w:r>
        <w:rPr>
          <w:rFonts w:ascii="Times New Roman" w:hAnsi="Times New Roman"/>
          <w:i/>
          <w:sz w:val="24"/>
        </w:rPr>
        <w:t>reh'g denied</w:t>
      </w:r>
      <w:r>
        <w:rPr>
          <w:rFonts w:ascii="Times New Roman" w:hAnsi="Times New Roman"/>
          <w:sz w:val="24"/>
        </w:rPr>
        <w:t>, Order No. 637-B, 92 F.E.R.C. ¶ 61062 (2000).</w:t>
      </w:r>
    </w:p>
    <w:p>
      <w:pPr>
        <w:pStyle w:val="Normal"/>
        <w:bidi w:val="0"/>
        <w:spacing w:lineRule="atLeast" w:line="480"/>
        <w:jc w:val="start"/>
        <w:rPr>
          <w:rFonts w:ascii="Times New Roman" w:hAnsi="Times New Roman"/>
          <w:sz w:val="24"/>
        </w:rPr>
      </w:pPr>
      <w:r>
        <w:rPr>
          <w:rFonts w:ascii="Times New Roman" w:hAnsi="Times New Roman"/>
          <w:sz w:val="24"/>
        </w:rPr>
        <w:tab/>
        <w:t>Under the SPP proposal, no other generator or marketer enjoys this ability to hub and park.    In the context of the proposed RTO, this discriminatory practice should be ended.    Subordinate control areas should be stripped of their control over reserving and scheduling transmission.    That responsibility should reside with the RTO and the RTO should be charged with establishing scheduling rules that accord all market participants equal access to hubbing and parking.</w:t>
      </w:r>
    </w:p>
    <w:p>
      <w:pPr>
        <w:pStyle w:val="Normal"/>
        <w:bidi w:val="0"/>
        <w:spacing w:lineRule="atLeast" w:line="480"/>
        <w:jc w:val="start"/>
        <w:rPr>
          <w:rFonts w:ascii="Times New Roman" w:hAnsi="Times New Roman"/>
          <w:sz w:val="24"/>
        </w:rPr>
      </w:pPr>
      <w:r>
        <w:rPr>
          <w:rFonts w:ascii="Times New Roman" w:hAnsi="Times New Roman"/>
          <w:sz w:val="24"/>
        </w:rPr>
      </w:r>
    </w:p>
    <w:p>
      <w:pPr>
        <w:sectPr>
          <w:footnotePr>
            <w:numFmt w:val="decimal"/>
            <w:numRestart w:val="eachSect"/>
          </w:footnotePr>
          <w:type w:val="continuous"/>
          <w:pgSz w:w="12240" w:h="15840"/>
          <w:pgMar w:left="1440" w:right="1440" w:gutter="0" w:header="1440" w:top="1497" w:footer="0" w:bottom="1440"/>
          <w:formProt w:val="false"/>
          <w:titlePg/>
          <w:textDirection w:val="lrTb"/>
          <w:docGrid w:type="default" w:linePitch="600" w:charSpace="40960"/>
        </w:sectPr>
      </w:pPr>
    </w:p>
    <w:p>
      <w:pPr>
        <w:pStyle w:val="1AutoList1"/>
        <w:tabs>
          <w:tab w:val="left" w:pos="720" w:leader="none"/>
          <w:tab w:val="left" w:pos="1440" w:leader="none"/>
        </w:tabs>
        <w:bidi w:val="0"/>
        <w:spacing w:lineRule="auto" w:line="240"/>
        <w:ind w:hanging="1440" w:start="1440"/>
        <w:jc w:val="start"/>
        <w:rPr>
          <w:rFonts w:ascii="Times New Roman" w:hAnsi="Times New Roman"/>
        </w:rPr>
      </w:pPr>
      <w:r>
        <w:rPr>
          <w:rFonts w:ascii="Times New Roman" w:hAnsi="Times New Roman"/>
          <w:b/>
          <w:i/>
        </w:rPr>
        <w:tab/>
      </w:r>
      <w:r>
        <w:rPr>
          <w:rFonts w:ascii="Times New Roman" w:hAnsi="Times New Roman"/>
          <w:b/>
          <w:i/>
          <w:sz w:val="26"/>
        </w:rPr>
        <w:t>Tariff Administration Improperly Excludes Most Uses of the Region's Interstate Grid</w:t>
      </w:r>
    </w:p>
    <w:p>
      <w:pPr>
        <w:pStyle w:val="Normal"/>
        <w:bidi w:val="0"/>
        <w:jc w:val="start"/>
        <w:rPr>
          <w:rFonts w:ascii="Times New Roman" w:hAnsi="Times New Roman"/>
          <w:sz w:val="24"/>
        </w:rPr>
      </w:pPr>
      <w:r>
        <w:rPr>
          <w:rFonts w:ascii="Times New Roman" w:hAnsi="Times New Roman"/>
          <w:sz w:val="24"/>
        </w:rPr>
        <w:tab/>
      </w:r>
    </w:p>
    <w:p>
      <w:pPr>
        <w:pStyle w:val="Normal"/>
        <w:bidi w:val="0"/>
        <w:spacing w:lineRule="atLeast" w:line="480"/>
        <w:jc w:val="start"/>
        <w:rPr>
          <w:rFonts w:ascii="Times New Roman" w:hAnsi="Times New Roman"/>
          <w:sz w:val="24"/>
        </w:rPr>
      </w:pPr>
      <w:r>
        <w:rPr>
          <w:rFonts w:ascii="Times New Roman" w:hAnsi="Times New Roman"/>
          <w:sz w:val="24"/>
        </w:rPr>
        <w:tab/>
        <w:t xml:space="preserve">A very large proportion of the uses of the SPP RTO interstate grid are exempted from the open-access transmission tariff ("OATT") that the RTO will administer.    Specifically, certain existing transmission agreements are indefinitely grandfathered and are not required to be brought into conformity with the OATT.    </w:t>
      </w:r>
      <w:r>
        <w:rPr>
          <w:rFonts w:ascii="Times New Roman" w:hAnsi="Times New Roman"/>
          <w:i/>
          <w:sz w:val="24"/>
        </w:rPr>
        <w:t>Test. of Nicholas A. Brown</w:t>
      </w:r>
      <w:r>
        <w:rPr>
          <w:rFonts w:ascii="Times New Roman" w:hAnsi="Times New Roman"/>
          <w:sz w:val="24"/>
        </w:rPr>
        <w:t xml:space="preserve"> at 16-17.    Likewise, any transmission that is bundled with a transmission owner's retail sales is exempted from the OATT until February 1, 2008.    </w:t>
      </w:r>
      <w:r>
        <w:rPr>
          <w:rFonts w:ascii="Times New Roman" w:hAnsi="Times New Roman"/>
          <w:i/>
          <w:sz w:val="24"/>
        </w:rPr>
        <w:t>Test. of Ricky Bittle</w:t>
      </w:r>
      <w:r>
        <w:rPr>
          <w:rFonts w:ascii="Times New Roman" w:hAnsi="Times New Roman"/>
          <w:sz w:val="24"/>
        </w:rPr>
        <w:t xml:space="preserve"> at 7. As a consequence, well into the future only a small portion of the transmission on the regional grid will be subject to the tariff that the RTO is to administer.    SPP defends these exemptions on the grounds that they are needed to "smooth the transition to an RTO environment" for grandfathered transactions and to recognize "the states' role in regulating the transmission component of bundled rates."    </w:t>
      </w:r>
      <w:r>
        <w:rPr>
          <w:rFonts w:ascii="Times New Roman" w:hAnsi="Times New Roman"/>
          <w:i/>
          <w:sz w:val="24"/>
        </w:rPr>
        <w:t>Test. of Nicholas A. Brown</w:t>
      </w:r>
      <w:r>
        <w:rPr>
          <w:rFonts w:ascii="Times New Roman" w:hAnsi="Times New Roman"/>
          <w:sz w:val="24"/>
        </w:rPr>
        <w:t xml:space="preserve"> at 17.    SPP also advances the view of its transmission owners that, if they have to pay the same Commission-established rates as everyone else for the same interstate transmission, then they will need "a rate recovery mechanism at the state level to recover their payments to SPP" for interstate transmission. </w:t>
      </w:r>
      <w:r>
        <w:rPr>
          <w:rFonts w:ascii="Times New Roman" w:hAnsi="Times New Roman"/>
          <w:i/>
          <w:sz w:val="24"/>
        </w:rPr>
        <w:t>Test. of Ricky Bittle</w:t>
      </w:r>
      <w:r>
        <w:rPr>
          <w:rFonts w:ascii="Times New Roman" w:hAnsi="Times New Roman"/>
          <w:sz w:val="24"/>
        </w:rPr>
        <w:t xml:space="preserve"> at 7.    None of these defenses makes sense or justifies confining open access under the OATT to new (</w:t>
      </w:r>
      <w:r>
        <w:rPr>
          <w:rFonts w:ascii="Times New Roman" w:hAnsi="Times New Roman"/>
          <w:i/>
          <w:sz w:val="24"/>
        </w:rPr>
        <w:t>i.e.</w:t>
      </w:r>
      <w:r>
        <w:rPr>
          <w:rFonts w:ascii="Times New Roman" w:hAnsi="Times New Roman"/>
          <w:sz w:val="24"/>
        </w:rPr>
        <w:t>, non-grandfathered) transmission reservations that are not made in connection with a transmission owner's retail sales.</w:t>
      </w:r>
    </w:p>
    <w:p>
      <w:pPr>
        <w:pStyle w:val="Normal"/>
        <w:bidi w:val="0"/>
        <w:spacing w:lineRule="atLeast" w:line="480"/>
        <w:jc w:val="start"/>
        <w:rPr>
          <w:rFonts w:ascii="Times New Roman" w:hAnsi="Times New Roman"/>
          <w:sz w:val="24"/>
        </w:rPr>
      </w:pPr>
      <w:r>
        <w:rPr>
          <w:rFonts w:ascii="Times New Roman" w:hAnsi="Times New Roman"/>
          <w:sz w:val="24"/>
        </w:rPr>
        <w:tab/>
        <w:t>In the first place, it is far from clear what aspect of the transition to an RTO environment that SPP believes requires smoothing.    To the extent other regional system operators (such as existing ISOs) have felt the need to address transition issues their focus has been on cost shifts.    To prevent cost shifts that would otherwise result from going directly to a region-wide transmission revenue requirement, SPP and others have resorted to the convention of implementing license plate rates.    These permit region-wide access in consideration for payment of a rate that recovers the transmission revenue requirement of the transmission owner to whom either the generator or load is interconnected, while only "through" transmissions are priced based on a region-wide average of revenue requirements.    This completely eliminates cost shifts during a transition period and does not require exempting any use of the interstate grid from the terms and conditions of open access or the OATT.    As SPP already had in effect a license plate rate system, no more smoothing is required.</w:t>
      </w:r>
    </w:p>
    <w:p>
      <w:pPr>
        <w:pStyle w:val="Normal"/>
        <w:bidi w:val="0"/>
        <w:spacing w:lineRule="atLeast" w:line="480"/>
        <w:jc w:val="start"/>
        <w:rPr>
          <w:rFonts w:ascii="Times New Roman" w:hAnsi="Times New Roman"/>
          <w:sz w:val="24"/>
        </w:rPr>
      </w:pPr>
      <w:r>
        <w:rPr>
          <w:rFonts w:ascii="Times New Roman" w:hAnsi="Times New Roman"/>
          <w:sz w:val="24"/>
        </w:rPr>
        <w:tab/>
        <w:t xml:space="preserve">SPP's second defense with respect to the role of states assumes erroneously that states possess a role in the regulation of interstate transmission.    There can be no question that the grid that the SPP RTO will operate is in interstate commerce; it interconnects eight states.    Section 201 of the Federal Power Act confers on the Commission exclusive jurisdiction over transmission of electric energy in interstate commerce, irrespective of how and by whom the power is subsequently sold.    16 U.S.C. § 824(b)(1) (1994).    As noted earlier, a reviewing court has rejected the Commission's earlier assumption that it is states that are responsible for regulating interstate transmission that is bundled with retail sales and that the Commission is without authority to do so.    </w:t>
      </w:r>
      <w:r>
        <w:rPr>
          <w:rFonts w:ascii="Times New Roman" w:hAnsi="Times New Roman"/>
          <w:i/>
          <w:sz w:val="24"/>
        </w:rPr>
        <w:t>TAPS,</w:t>
      </w:r>
      <w:r>
        <w:rPr>
          <w:rFonts w:ascii="Times New Roman" w:hAnsi="Times New Roman"/>
          <w:sz w:val="24"/>
        </w:rPr>
        <w:t xml:space="preserve"> 225 F.3d at 694.</w:t>
      </w:r>
    </w:p>
    <w:p>
      <w:pPr>
        <w:pStyle w:val="Normal"/>
        <w:bidi w:val="0"/>
        <w:spacing w:lineRule="atLeast" w:line="480"/>
        <w:jc w:val="start"/>
        <w:rPr>
          <w:rFonts w:ascii="Times New Roman" w:hAnsi="Times New Roman"/>
          <w:sz w:val="24"/>
        </w:rPr>
      </w:pPr>
      <w:r>
        <w:rPr>
          <w:rFonts w:ascii="Times New Roman" w:hAnsi="Times New Roman"/>
          <w:sz w:val="24"/>
        </w:rPr>
        <w:tab/>
        <w:t>Moreover, there are no insuperable implementation difficulties in subjecting all transmission uses to open access and the OATT administered by the RTO.    The PJM Interconnection has long since applied its OATT to all transmission, bundled and unbundled, with no significant difficulties or conflicts with state regulators.</w:t>
      </w:r>
    </w:p>
    <w:p>
      <w:pPr>
        <w:pStyle w:val="Normal"/>
        <w:bidi w:val="0"/>
        <w:spacing w:lineRule="atLeast" w:line="480"/>
        <w:jc w:val="start"/>
        <w:rPr>
          <w:rFonts w:ascii="Times New Roman" w:hAnsi="Times New Roman"/>
          <w:sz w:val="24"/>
        </w:rPr>
      </w:pPr>
      <w:r>
        <w:rPr>
          <w:rFonts w:ascii="Times New Roman" w:hAnsi="Times New Roman"/>
          <w:sz w:val="24"/>
        </w:rPr>
        <w:tab/>
        <w:t xml:space="preserve">Finally, it flies in the face of black letter law for SPP's transmission owners to complain that federally established rates for interstate transmission might not be recoverable in the rates that states    establish for retail service.    The Supreme Court has instructed on precisely this very issue that states are powerless to deny recovery in retail rates (bundled or not) any rate that was appropriately set at the federal level under the Federal Power Act.    </w:t>
      </w:r>
      <w:r>
        <w:rPr>
          <w:rFonts w:ascii="Times New Roman" w:hAnsi="Times New Roman"/>
          <w:i/>
          <w:sz w:val="24"/>
        </w:rPr>
        <w:t>Nantahala Power &amp; Light Co. v. Thornburg</w:t>
      </w:r>
      <w:r>
        <w:rPr>
          <w:rFonts w:ascii="Times New Roman" w:hAnsi="Times New Roman"/>
          <w:sz w:val="24"/>
        </w:rPr>
        <w:t>, 476 U.S. 953, 966 (1986) (FERC-set rate for wholesale sale must be given binding effect in retail rates that state regulators set for direct retail sales).</w:t>
      </w:r>
    </w:p>
    <w:p>
      <w:pPr>
        <w:pStyle w:val="Normal"/>
        <w:bidi w:val="0"/>
        <w:spacing w:lineRule="atLeast" w:line="480"/>
        <w:jc w:val="start"/>
        <w:rPr>
          <w:rFonts w:ascii="Times New Roman" w:hAnsi="Times New Roman"/>
          <w:sz w:val="24"/>
        </w:rPr>
      </w:pPr>
      <w:r>
        <w:rPr>
          <w:rFonts w:ascii="Times New Roman" w:hAnsi="Times New Roman"/>
          <w:sz w:val="24"/>
        </w:rPr>
      </w:r>
    </w:p>
    <w:p>
      <w:pPr>
        <w:sectPr>
          <w:footnotePr>
            <w:numFmt w:val="decimal"/>
            <w:numRestart w:val="eachSect"/>
          </w:footnotePr>
          <w:type w:val="continuous"/>
          <w:pgSz w:w="12240" w:h="15840"/>
          <w:pgMar w:left="1440" w:right="1440" w:gutter="0" w:header="1440" w:top="1497" w:footer="0" w:bottom="1440"/>
          <w:formProt w:val="false"/>
          <w:titlePg/>
          <w:textDirection w:val="lrTb"/>
          <w:docGrid w:type="default" w:linePitch="600" w:charSpace="40960"/>
        </w:sectPr>
      </w:pPr>
    </w:p>
    <w:p>
      <w:pPr>
        <w:pStyle w:val="1AutoList1"/>
        <w:tabs>
          <w:tab w:val="left" w:pos="720" w:leader="none"/>
          <w:tab w:val="left" w:pos="1440" w:leader="none"/>
        </w:tabs>
        <w:bidi w:val="0"/>
        <w:spacing w:lineRule="auto" w:line="240"/>
        <w:ind w:hanging="1440" w:start="1440"/>
        <w:jc w:val="start"/>
        <w:rPr>
          <w:rFonts w:ascii="Times New Roman" w:hAnsi="Times New Roman"/>
        </w:rPr>
      </w:pPr>
      <w:r>
        <w:rPr>
          <w:rFonts w:ascii="Times New Roman" w:hAnsi="Times New Roman"/>
          <w:b/>
          <w:i/>
        </w:rPr>
        <w:tab/>
      </w:r>
      <w:r>
        <w:rPr>
          <w:rFonts w:ascii="Times New Roman" w:hAnsi="Times New Roman"/>
          <w:b/>
          <w:i/>
          <w:sz w:val="26"/>
        </w:rPr>
        <w:t>The Proposed Market Mechanism for Managing Congestion Will Support a Forward Market, but Is Seriously Flawed in How SPP Proposes to Make It Available</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t xml:space="preserve">SPP proposes for the near term to manage congestion through market-based generation redispatch and rationing using transmission loading relief ("TLR").    By October 1, 2001, SPP proposes to replace that near-term CMS with what it refers to as a hybrid approach.    It relies on a market mechanism to trade physical transmission rights ("PTRs") in forward markets and uses locational marginal pricing ("LMP") for real-time clearing of imbalances, with locations being nodal for generators and zonal for loads.    This hybrid has the potential for promoting both productive and allocative efficiency in transmission.    SPP spoils that potential, however, by allocating the significant majority (and possibly all) of PTRs to existing transmission customers, without regard to their willingness to pay them, thereby depriving the market of </w:t>
      </w:r>
      <w:r>
        <w:rPr>
          <w:rFonts w:ascii="Times New Roman" w:hAnsi="Times New Roman"/>
          <w:i/>
          <w:sz w:val="24"/>
        </w:rPr>
        <w:t>any</w:t>
      </w:r>
      <w:r>
        <w:rPr>
          <w:rFonts w:ascii="Times New Roman" w:hAnsi="Times New Roman"/>
          <w:sz w:val="24"/>
        </w:rPr>
        <w:t xml:space="preserve"> improvement in the allocative efficiency of the transmission market.</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r>
      <w:r>
        <w:rPr>
          <w:rFonts w:ascii="Times New Roman" w:hAnsi="Times New Roman"/>
          <w:b/>
          <w:i/>
          <w:sz w:val="24"/>
        </w:rPr>
        <w:t>1.</w:t>
        <w:tab/>
        <w:t xml:space="preserve">The Hybrid CMS Is Sound and Could Produce Significant Efficiencies — </w:t>
      </w:r>
      <w:r>
        <w:rPr>
          <w:rFonts w:ascii="Times New Roman" w:hAnsi="Times New Roman"/>
          <w:sz w:val="24"/>
        </w:rPr>
        <w:t xml:space="preserve">In Order No. 2000, the Commission directed future RTOs to implement "market mechanisms" for CMS.    </w:t>
      </w:r>
      <w:r>
        <w:rPr>
          <w:rFonts w:ascii="Times New Roman" w:hAnsi="Times New Roman"/>
          <w:i/>
          <w:sz w:val="24"/>
        </w:rPr>
        <w:t>Order No. 2000</w:t>
      </w:r>
      <w:r>
        <w:rPr>
          <w:rFonts w:ascii="Times New Roman" w:hAnsi="Times New Roman"/>
          <w:sz w:val="24"/>
        </w:rPr>
        <w:t xml:space="preserve"> at 31,126.    SPP proposes to do so. It combines a market mechanism that could support a forward market in both transmission and energy with a locational price accounting system in a way that comes close to combining the best of two worlds.    Many existing CMSs rely exclusively on after-the-fact locational marginal pricing ("LMP") (</w:t>
      </w:r>
      <w:r>
        <w:rPr>
          <w:rFonts w:ascii="Times New Roman" w:hAnsi="Times New Roman"/>
          <w:i/>
          <w:sz w:val="24"/>
        </w:rPr>
        <w:t>e.g.</w:t>
      </w:r>
      <w:r>
        <w:rPr>
          <w:rFonts w:ascii="Times New Roman" w:hAnsi="Times New Roman"/>
          <w:sz w:val="24"/>
        </w:rPr>
        <w:t xml:space="preserve">, the PJM Interconnection and the New York ISO).    Because those CMSs offer </w:t>
      </w:r>
      <w:r>
        <w:rPr>
          <w:rFonts w:ascii="Times New Roman" w:hAnsi="Times New Roman"/>
          <w:i/>
          <w:sz w:val="24"/>
        </w:rPr>
        <w:t>no</w:t>
      </w:r>
      <w:r>
        <w:rPr>
          <w:rFonts w:ascii="Times New Roman" w:hAnsi="Times New Roman"/>
          <w:sz w:val="24"/>
        </w:rPr>
        <w:t xml:space="preserve"> advance price certainty and cannot trade in secondary markets, transmission grids operated on this basis deny market participants the stability of forward markets and expose them to volatile, short-term price swings. SPP's proposal overcomes this common trap by confining its version of locational pricing to the process used for clearing energy imbalances in the real-time market.</w:t>
      </w:r>
    </w:p>
    <w:p>
      <w:pPr>
        <w:pStyle w:val="Normal"/>
        <w:bidi w:val="0"/>
        <w:spacing w:lineRule="atLeast" w:line="480"/>
        <w:jc w:val="start"/>
        <w:rPr>
          <w:rFonts w:ascii="Times New Roman" w:hAnsi="Times New Roman"/>
          <w:sz w:val="24"/>
        </w:rPr>
      </w:pPr>
      <w:r>
        <w:rPr>
          <w:rFonts w:ascii="Times New Roman" w:hAnsi="Times New Roman"/>
          <w:sz w:val="24"/>
        </w:rPr>
        <w:tab/>
        <w:t>SPP lays the basis for a true market mechanism for achieving allocative efficiency in dealing with congestion in the long term.    This part of SPP's proposal recognizes that the topology of the grid and its points of constraint are predictable and vary little except in the long term (</w:t>
      </w:r>
      <w:r>
        <w:rPr>
          <w:rFonts w:ascii="Times New Roman" w:hAnsi="Times New Roman"/>
          <w:i/>
          <w:sz w:val="24"/>
        </w:rPr>
        <w:t>i.e.</w:t>
      </w:r>
      <w:r>
        <w:rPr>
          <w:rFonts w:ascii="Times New Roman" w:hAnsi="Times New Roman"/>
          <w:sz w:val="24"/>
        </w:rPr>
        <w:t xml:space="preserve">, greater than one year).    SPP proposes to create use-it-or-lose-it, firm property rights in those areas of the grid that are known or expected to be congested from time to time.    Because such rights would be limited in number and homogeneous — differentiated only by direction of flow and time — they can be expected to be fungible and, for these reasons, tradable in forward markets.    This is a real virtue.    As this Commission has recognized, market designs antagonistic to forward trading are unstable and subject to highly volatile price swings.    </w:t>
      </w:r>
      <w:r>
        <w:rPr>
          <w:rFonts w:ascii="Times New Roman" w:hAnsi="Times New Roman"/>
          <w:i/>
          <w:sz w:val="24"/>
        </w:rPr>
        <w:t>See San Diego Gas &amp; Electric Co. v. Sellers of Energy and Ancillary Services</w:t>
      </w:r>
      <w:r>
        <w:rPr>
          <w:rFonts w:ascii="Times New Roman" w:hAnsi="Times New Roman"/>
          <w:sz w:val="24"/>
        </w:rPr>
        <w:t>, 93 F.E.R.C. ¶ 61,121, slip op. at 13, 21, 23-24 (Nov. 1, 2000).</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r>
      <w:r>
        <w:rPr>
          <w:rFonts w:ascii="Times New Roman" w:hAnsi="Times New Roman"/>
          <w:b/>
          <w:i/>
          <w:sz w:val="24"/>
        </w:rPr>
        <w:t>2.</w:t>
        <w:tab/>
        <w:t xml:space="preserve">Allocating PTRs, Irrespective of Price, to Incumbent Purchasers Robs SPP's CMS Proposal of Its Allocative Efficiency &amp; Should Be Eliminated or, at a Minimum, Rapidly Phased Out — </w:t>
      </w:r>
      <w:r>
        <w:rPr>
          <w:rFonts w:ascii="Times New Roman" w:hAnsi="Times New Roman"/>
          <w:sz w:val="24"/>
        </w:rPr>
        <w:t>SPP should be directed to make PTRs available through a market mechanism.    The proposed PTRs, if offered to market participants in an open market — for example through periodic auctions and, between auctions, through bilateral trading — could produce a high level of allocative efficiency.    Rights to constrained transmission would be appropriately valued in relation to generation and would be distributed to the highest valued uses.    In addition to productive efficiency, this is precisely the type of allocative efficiency that a market mechanism for CMS should produce.</w:t>
      </w:r>
    </w:p>
    <w:p>
      <w:pPr>
        <w:pStyle w:val="Normal"/>
        <w:bidi w:val="0"/>
        <w:spacing w:lineRule="atLeast" w:line="480"/>
        <w:jc w:val="start"/>
        <w:rPr>
          <w:rFonts w:ascii="Times New Roman" w:hAnsi="Times New Roman"/>
          <w:sz w:val="24"/>
        </w:rPr>
      </w:pPr>
      <w:r>
        <w:rPr>
          <w:rFonts w:ascii="Times New Roman" w:hAnsi="Times New Roman"/>
          <w:sz w:val="24"/>
        </w:rPr>
        <w:tab/>
        <w:t>The SPP RTO proposal is near fatally flawed in how it proposes to make PTRs available.    Rather than rely on market mechanisms, it proposes instead to allocate them through administrative processes to certain existing customers.    This will prevent the PTRs from reflecting the relative market value of transmission versus generation over any economically significant time frames.    Indeed, it will offer only a glimpse of market values in the short-term secondary market in which those who receive an administrative allocation can release PTRs.    If the PTRs are to be deprived of any market valuation in this fashion, then the PTRs will be useful only for clearing imbalances.</w:t>
      </w:r>
      <w:r>
        <w:rPr>
          <w:rStyle w:val="FootnoteReference"/>
          <w:rFonts w:ascii="Times New Roman" w:hAnsi="Times New Roman"/>
          <w:sz w:val="24"/>
          <w:vertAlign w:val="superscript"/>
        </w:rPr>
        <w:footnoteReference w:id="9"/>
      </w:r>
      <w:r>
        <w:rPr>
          <w:rFonts w:ascii="Times New Roman" w:hAnsi="Times New Roman"/>
          <w:sz w:val="24"/>
        </w:rPr>
        <w:t xml:space="preserve">    </w:t>
      </w:r>
    </w:p>
    <w:p>
      <w:pPr>
        <w:pStyle w:val="Normal"/>
        <w:bidi w:val="0"/>
        <w:spacing w:lineRule="atLeast" w:line="480"/>
        <w:jc w:val="start"/>
        <w:rPr>
          <w:rFonts w:ascii="Times New Roman" w:hAnsi="Times New Roman"/>
          <w:sz w:val="24"/>
        </w:rPr>
      </w:pPr>
      <w:r>
        <w:rPr>
          <w:rFonts w:ascii="Times New Roman" w:hAnsi="Times New Roman"/>
          <w:sz w:val="24"/>
        </w:rPr>
        <w:tab/>
        <w:t>Further, administrative allocation, as proposed, will mean that only incumbents with captive load will be able to own PTRs.    This will stand in the way of jurisdictions that elect to pursue retail competition.    In a competitive retail market, PTRs should be available to whomever needs to fulfill their obligations to serve load, and not merely to incumbents.</w:t>
      </w:r>
    </w:p>
    <w:p>
      <w:pPr>
        <w:sectPr>
          <w:footnotePr>
            <w:numFmt w:val="decimal"/>
            <w:numRestart w:val="eachSect"/>
          </w:footnotePr>
          <w:type w:val="continuous"/>
          <w:pgSz w:w="12240" w:h="15840"/>
          <w:pgMar w:left="1440" w:right="1440" w:gutter="0" w:header="1440" w:top="1497" w:footer="0" w:bottom="1440"/>
          <w:formProt w:val="false"/>
          <w:titlePg/>
          <w:textDirection w:val="lrTb"/>
          <w:docGrid w:type="default" w:linePitch="600" w:charSpace="40960"/>
        </w:sectPr>
      </w:pPr>
    </w:p>
    <w:p>
      <w:pPr>
        <w:sectPr>
          <w:footnotePr>
            <w:numFmt w:val="decimal"/>
            <w:numRestart w:val="eachSect"/>
          </w:footnotePr>
          <w:type w:val="continuous"/>
          <w:pgSz w:w="12240" w:h="15840"/>
          <w:pgMar w:left="1440" w:right="1440" w:gutter="0" w:header="1440" w:top="1497" w:footer="0" w:bottom="1440"/>
          <w:formProt w:val="false"/>
          <w:titlePg/>
          <w:textDirection w:val="lrTb"/>
          <w:docGrid w:type="default" w:linePitch="600" w:charSpace="40960"/>
        </w:sectPr>
        <w:pStyle w:val="Normal"/>
        <w:bidi w:val="0"/>
        <w:spacing w:lineRule="atLeast" w:line="480"/>
        <w:jc w:val="start"/>
        <w:rPr>
          <w:rFonts w:ascii="Times New Roman" w:hAnsi="Times New Roman"/>
          <w:sz w:val="24"/>
        </w:rPr>
      </w:pPr>
      <w:r>
        <w:rPr>
          <w:rFonts w:ascii="Times New Roman" w:hAnsi="Times New Roman"/>
          <w:sz w:val="24"/>
        </w:rPr>
        <w:tab/>
        <w:t xml:space="preserve">Acceptance of SPP's RTO proposal should be made contingent on replacing the administrative allocation of PTRs with a process for marketing them through periodic auctions and bilateral trading.    </w:t>
      </w:r>
      <w:r>
        <w:br w:type="page"/>
      </w:r>
    </w:p>
    <w:p>
      <w:pPr>
        <w:pStyle w:val="Normal"/>
        <w:bidi w:val="0"/>
        <w:ind w:hanging="0" w:start="720"/>
        <w:jc w:val="start"/>
        <w:rPr>
          <w:rFonts w:ascii="Times New Roman" w:hAnsi="Times New Roman"/>
          <w:b/>
          <w:sz w:val="28"/>
        </w:rPr>
      </w:pPr>
      <w:r>
        <w:rPr>
          <w:rFonts w:ascii="Times New Roman" w:hAnsi="Times New Roman"/>
          <w:b/>
          <w:sz w:val="24"/>
        </w:rPr>
        <w:tab/>
      </w:r>
      <w:r>
        <w:rPr>
          <w:rFonts w:ascii="Times New Roman" w:hAnsi="Times New Roman"/>
          <w:b/>
          <w:sz w:val="28"/>
        </w:rPr>
        <w:t>III.</w:t>
      </w:r>
    </w:p>
    <w:p>
      <w:pPr>
        <w:pStyle w:val="Normal"/>
        <w:bidi w:val="0"/>
        <w:jc w:val="center"/>
        <w:rPr>
          <w:rFonts w:ascii="Times New Roman" w:hAnsi="Times New Roman"/>
          <w:sz w:val="24"/>
        </w:rPr>
      </w:pPr>
      <w:r>
        <w:rPr>
          <w:rFonts w:ascii="Times New Roman" w:hAnsi="Times New Roman"/>
          <w:b/>
          <w:sz w:val="28"/>
        </w:rPr>
        <w:t>CONCLUSION</w:t>
      </w:r>
    </w:p>
    <w:p>
      <w:pPr>
        <w:pStyle w:val="Normal"/>
        <w:bidi w:val="0"/>
        <w:spacing w:lineRule="atLeast" w:line="48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r>
      <w:r>
        <w:rPr>
          <w:rFonts w:ascii="Times New Roman" w:hAnsi="Times New Roman"/>
          <w:b/>
          <w:sz w:val="24"/>
        </w:rPr>
        <w:t>WHEREFORE,</w:t>
      </w:r>
      <w:r>
        <w:rPr>
          <w:rFonts w:ascii="Times New Roman" w:hAnsi="Times New Roman"/>
          <w:sz w:val="24"/>
        </w:rPr>
        <w:t xml:space="preserve"> EPMI moves the Commission to grant its intervention and protest.</w:t>
      </w:r>
    </w:p>
    <w:p>
      <w:pPr>
        <w:pStyle w:val="Normal"/>
        <w:bidi w:val="0"/>
        <w:jc w:val="start"/>
        <w:rPr>
          <w:rFonts w:ascii="Times New Roman" w:hAnsi="Times New Roman"/>
          <w:sz w:val="24"/>
        </w:rPr>
      </w:pPr>
      <w:r>
        <w:rPr>
          <w:rFonts w:ascii="Times New Roman" w:hAnsi="Times New Roman"/>
          <w:sz w:val="24"/>
        </w:rPr>
        <w:tab/>
        <w:tab/>
        <w:tab/>
        <w:tab/>
        <w:tab/>
        <w:tab/>
        <w:t>Respectfully submitted,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r>
    </w:p>
    <w:p>
      <w:pPr>
        <w:pStyle w:val="Normal"/>
        <w:bidi w:val="0"/>
        <w:jc w:val="start"/>
        <w:rPr>
          <w:rFonts w:ascii="Times New Roman" w:hAnsi="Times New Roman"/>
          <w:sz w:val="24"/>
        </w:rPr>
      </w:pPr>
      <w:r>
        <w:rPr>
          <w:rFonts w:ascii="Times New Roman" w:hAnsi="Times New Roman"/>
          <w:sz w:val="24"/>
        </w:rPr>
        <w:tab/>
        <w:tab/>
        <w:tab/>
        <w:tab/>
        <w:tab/>
        <w:tab/>
        <w:t>________________________________</w:t>
        <w:tab/>
      </w:r>
    </w:p>
    <w:p>
      <w:pPr>
        <w:pStyle w:val="Normal"/>
        <w:bidi w:val="0"/>
        <w:jc w:val="start"/>
        <w:rPr>
          <w:rFonts w:ascii="Times New Roman" w:hAnsi="Times New Roman"/>
          <w:sz w:val="24"/>
        </w:rPr>
      </w:pPr>
      <w:r>
        <w:rPr>
          <w:rFonts w:ascii="Times New Roman" w:hAnsi="Times New Roman"/>
          <w:sz w:val="24"/>
        </w:rPr>
        <w:tab/>
        <w:tab/>
        <w:tab/>
        <w:tab/>
        <w:tab/>
        <w:tab/>
        <w:t>Jeffrey D. Watkiss</w:t>
      </w:r>
    </w:p>
    <w:p>
      <w:pPr>
        <w:pStyle w:val="Normal"/>
        <w:bidi w:val="0"/>
        <w:jc w:val="start"/>
        <w:rPr>
          <w:rFonts w:ascii="Times New Roman" w:hAnsi="Times New Roman"/>
          <w:sz w:val="24"/>
        </w:rPr>
      </w:pPr>
      <w:r>
        <w:rPr>
          <w:rFonts w:ascii="Times New Roman" w:hAnsi="Times New Roman"/>
          <w:sz w:val="24"/>
        </w:rPr>
        <w:tab/>
        <w:tab/>
        <w:tab/>
        <w:tab/>
        <w:tab/>
        <w:tab/>
        <w:t>Andrea M. Settanni</w:t>
      </w:r>
    </w:p>
    <w:p>
      <w:pPr>
        <w:pStyle w:val="Normal"/>
        <w:bidi w:val="0"/>
        <w:jc w:val="start"/>
        <w:rPr>
          <w:rFonts w:ascii="Times New Roman" w:hAnsi="Times New Roman"/>
          <w:sz w:val="24"/>
        </w:rPr>
      </w:pPr>
      <w:r>
        <w:rPr>
          <w:rFonts w:ascii="Times New Roman" w:hAnsi="Times New Roman"/>
          <w:sz w:val="24"/>
        </w:rPr>
        <w:tab/>
        <w:tab/>
        <w:tab/>
        <w:tab/>
        <w:tab/>
        <w:tab/>
        <w:t>Bracewell &amp; Patterson, L.L.P.</w:t>
      </w:r>
    </w:p>
    <w:p>
      <w:pPr>
        <w:pStyle w:val="Normal"/>
        <w:bidi w:val="0"/>
        <w:jc w:val="start"/>
        <w:rPr>
          <w:rFonts w:ascii="Times New Roman" w:hAnsi="Times New Roman"/>
          <w:sz w:val="24"/>
        </w:rPr>
      </w:pPr>
      <w:r>
        <w:rPr>
          <w:rFonts w:ascii="Times New Roman" w:hAnsi="Times New Roman"/>
          <w:sz w:val="24"/>
        </w:rPr>
        <w:tab/>
        <w:tab/>
        <w:tab/>
        <w:tab/>
        <w:tab/>
        <w:tab/>
        <w:t>2000 K Street, N.W.</w:t>
      </w:r>
    </w:p>
    <w:p>
      <w:pPr>
        <w:pStyle w:val="Normal"/>
        <w:bidi w:val="0"/>
        <w:jc w:val="start"/>
        <w:rPr>
          <w:rFonts w:ascii="Times New Roman" w:hAnsi="Times New Roman"/>
          <w:sz w:val="24"/>
        </w:rPr>
      </w:pPr>
      <w:r>
        <w:rPr>
          <w:rFonts w:ascii="Times New Roman" w:hAnsi="Times New Roman"/>
          <w:sz w:val="24"/>
        </w:rPr>
        <w:tab/>
        <w:tab/>
        <w:tab/>
        <w:tab/>
        <w:tab/>
        <w:tab/>
        <w:t>Suite 500</w:t>
      </w:r>
    </w:p>
    <w:p>
      <w:pPr>
        <w:pStyle w:val="Normal"/>
        <w:bidi w:val="0"/>
        <w:jc w:val="start"/>
        <w:rPr>
          <w:rFonts w:ascii="Times New Roman" w:hAnsi="Times New Roman"/>
          <w:sz w:val="24"/>
        </w:rPr>
      </w:pPr>
      <w:r>
        <w:rPr>
          <w:rFonts w:ascii="Times New Roman" w:hAnsi="Times New Roman"/>
          <w:sz w:val="24"/>
        </w:rPr>
        <w:tab/>
        <w:tab/>
        <w:tab/>
        <w:tab/>
        <w:tab/>
        <w:tab/>
        <w:t>Washington, DC      20006-1872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Counsel for Enron Power Marketing, Inc.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headerReference w:type="even" r:id="rId5"/>
          <w:headerReference w:type="default" r:id="rId6"/>
          <w:headerReference w:type="first" r:id="rId7"/>
          <w:footnotePr>
            <w:numFmt w:val="decimal"/>
            <w:numRestart w:val="eachSect"/>
          </w:footnotePr>
          <w:type w:val="nextPage"/>
          <w:pgSz w:w="12240" w:h="15840"/>
          <w:pgMar w:left="1440" w:right="1350" w:gutter="0" w:header="1440" w:top="1497" w:footer="0" w:bottom="1440"/>
          <w:pgNumType w:fmt="decimal"/>
          <w:formProt w:val="false"/>
          <w:textDirection w:val="lrTb"/>
          <w:docGrid w:type="default" w:linePitch="600" w:charSpace="40960"/>
        </w:sectPr>
        <w:pStyle w:val="Normal"/>
        <w:bidi w:val="0"/>
        <w:jc w:val="start"/>
        <w:rPr>
          <w:rFonts w:ascii="Times New Roman" w:hAnsi="Times New Roman"/>
          <w:sz w:val="24"/>
        </w:rPr>
      </w:pPr>
      <w:r>
        <w:rPr>
          <w:rFonts w:ascii="Times New Roman" w:hAnsi="Times New Roman"/>
          <w:sz w:val="24"/>
        </w:rPr>
        <w:t>November 20, 2000</w:t>
      </w:r>
      <w:r>
        <w:br w:type="page"/>
      </w:r>
    </w:p>
    <w:p>
      <w:pPr>
        <w:pStyle w:val="Normal"/>
        <w:bidi w:val="0"/>
        <w:jc w:val="start"/>
        <w:rPr>
          <w:sz w:val="24"/>
        </w:rPr>
      </w:pPr>
      <w:r>
        <w:rPr>
          <w:sz w:val="24"/>
        </w:rPr>
      </w:r>
    </w:p>
    <w:p>
      <w:pPr>
        <w:sectPr>
          <w:headerReference w:type="even" r:id="rId8"/>
          <w:headerReference w:type="default" r:id="rId9"/>
          <w:headerReference w:type="first" r:id="rId10"/>
          <w:footnotePr>
            <w:numFmt w:val="decimal"/>
            <w:numRestart w:val="eachSect"/>
          </w:footnotePr>
          <w:type w:val="nextPage"/>
          <w:pgSz w:w="12240" w:h="15840"/>
          <w:pgMar w:left="1440" w:right="1350" w:gutter="0" w:header="1440" w:top="1497" w:footer="0" w:bottom="475"/>
          <w:pgNumType w:fmt="decimal"/>
          <w:formProt w:val="false"/>
          <w:textDirection w:val="lrTb"/>
          <w:docGrid w:type="default" w:linePitch="600" w:charSpace="40960"/>
        </w:sectPr>
      </w:pPr>
    </w:p>
    <w:p>
      <w:pPr>
        <w:pStyle w:val="Normal"/>
        <w:bidi w:val="0"/>
        <w:jc w:val="center"/>
        <w:rPr>
          <w:rFonts w:ascii="Times New Roman" w:hAnsi="Times New Roman"/>
          <w:b/>
          <w:sz w:val="28"/>
        </w:rPr>
      </w:pPr>
      <w:r>
        <w:rPr>
          <w:rFonts w:ascii="Times New Roman" w:hAnsi="Times New Roman"/>
          <w:b/>
          <w:sz w:val="28"/>
        </w:rPr>
        <w:t>UNITED STATES OF AMERICA</w:t>
      </w:r>
    </w:p>
    <w:p>
      <w:pPr>
        <w:pStyle w:val="Normal"/>
        <w:bidi w:val="0"/>
        <w:jc w:val="center"/>
        <w:rPr>
          <w:rFonts w:ascii="Times New Roman" w:hAnsi="Times New Roman"/>
          <w:b/>
          <w:sz w:val="28"/>
        </w:rPr>
      </w:pPr>
      <w:r>
        <w:rPr>
          <w:rFonts w:ascii="Times New Roman" w:hAnsi="Times New Roman"/>
          <w:b/>
          <w:sz w:val="28"/>
        </w:rPr>
        <w:t>BEFORE THE</w:t>
      </w:r>
    </w:p>
    <w:p>
      <w:pPr>
        <w:pStyle w:val="Normal"/>
        <w:bidi w:val="0"/>
        <w:jc w:val="center"/>
        <w:rPr>
          <w:rFonts w:ascii="Times New Roman" w:hAnsi="Times New Roman"/>
          <w:sz w:val="24"/>
        </w:rPr>
      </w:pPr>
      <w:r>
        <w:rPr>
          <w:rFonts w:ascii="Times New Roman" w:hAnsi="Times New Roman"/>
          <w:b/>
          <w:sz w:val="28"/>
        </w:rPr>
        <w:t>FEDERAL ENERGY REGULATORY COMMISSION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____________________________________</w:t>
      </w:r>
    </w:p>
    <w:p>
      <w:pPr>
        <w:pStyle w:val="Normal"/>
        <w:bidi w:val="0"/>
        <w:jc w:val="start"/>
        <w:rPr>
          <w:rFonts w:ascii="Times New Roman" w:hAnsi="Times New Roman"/>
          <w:sz w:val="24"/>
        </w:rPr>
      </w:pPr>
      <w:r>
        <w:rPr>
          <w:rFonts w:ascii="Times New Roman" w:hAnsi="Times New Roman"/>
          <w:sz w:val="24"/>
        </w:rPr>
        <w:tab/>
        <w:tab/>
        <w:tab/>
        <w:tab/>
        <w:tab/>
        <w:tab/>
        <w:t>)</w:t>
      </w:r>
    </w:p>
    <w:p>
      <w:pPr>
        <w:pStyle w:val="Normal"/>
        <w:bidi w:val="0"/>
        <w:jc w:val="start"/>
        <w:rPr>
          <w:rFonts w:ascii="Times New Roman" w:hAnsi="Times New Roman"/>
          <w:sz w:val="24"/>
        </w:rPr>
      </w:pPr>
      <w:r>
        <w:rPr>
          <w:rFonts w:ascii="Times New Roman" w:hAnsi="Times New Roman"/>
          <w:sz w:val="24"/>
        </w:rPr>
        <w:t>Southwest Power Pool</w:t>
        <w:tab/>
        <w:tab/>
        <w:tab/>
        <w:t>)</w:t>
        <w:tab/>
        <w:t>Docket No. RT01-34-000</w:t>
      </w:r>
    </w:p>
    <w:p>
      <w:pPr>
        <w:pStyle w:val="Normal"/>
        <w:bidi w:val="0"/>
        <w:jc w:val="start"/>
        <w:rPr>
          <w:rFonts w:ascii="Times New Roman" w:hAnsi="Times New Roman"/>
          <w:sz w:val="24"/>
        </w:rPr>
      </w:pPr>
      <w:r>
        <w:rPr>
          <w:rFonts w:ascii="Times New Roman" w:hAnsi="Times New Roman"/>
          <w:sz w:val="24"/>
        </w:rPr>
        <w:t>____________________________________)</w:t>
      </w:r>
    </w:p>
    <w:p>
      <w:pPr>
        <w:pStyle w:val="Normal"/>
        <w:bidi w:val="0"/>
        <w:jc w:val="start"/>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CERTIFICATE OF SERVICE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Dated at Washington, D.C., this 20</w:t>
      </w:r>
      <w:r>
        <w:rPr>
          <w:rFonts w:ascii="Times New Roman" w:hAnsi="Times New Roman"/>
          <w:sz w:val="24"/>
          <w:vertAlign w:val="superscript"/>
        </w:rPr>
        <w:t>th</w:t>
      </w:r>
      <w:r>
        <w:rPr>
          <w:rFonts w:ascii="Times New Roman" w:hAnsi="Times New Roman"/>
          <w:sz w:val="24"/>
        </w:rPr>
        <w:t xml:space="preserve"> day of November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____________________________________</w:t>
      </w:r>
    </w:p>
    <w:p>
      <w:pPr>
        <w:pStyle w:val="Normal"/>
        <w:bidi w:val="0"/>
        <w:jc w:val="start"/>
        <w:rPr>
          <w:rFonts w:ascii="Times New Roman" w:hAnsi="Times New Roman"/>
          <w:sz w:val="24"/>
        </w:rPr>
      </w:pPr>
      <w:r>
        <w:rPr>
          <w:rFonts w:ascii="Times New Roman" w:hAnsi="Times New Roman"/>
          <w:sz w:val="24"/>
        </w:rPr>
        <w:tab/>
        <w:tab/>
        <w:tab/>
        <w:tab/>
        <w:tab/>
        <w:tab/>
        <w:tab/>
        <w:t>Andrea M. Settanni</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footnotePr>
            <w:numFmt w:val="decimal"/>
            <w:numRestart w:val="eachSect"/>
          </w:footnotePr>
          <w:type w:val="continuous"/>
          <w:pgSz w:w="12240" w:h="15840"/>
          <w:pgMar w:left="1440" w:right="1350" w:gutter="0" w:header="1440" w:top="1497" w:footer="0" w:bottom="475"/>
          <w:formProt w:val="false"/>
          <w:textDirection w:val="lrTb"/>
          <w:docGrid w:type="default" w:linePitch="600" w:charSpace="40960"/>
        </w:sectPr>
      </w:pPr>
    </w:p>
    <w:p>
      <w:pPr>
        <w:pStyle w:val="Normal"/>
        <w:bidi w:val="0"/>
        <w:jc w:val="start"/>
        <w:rPr>
          <w:rFonts w:ascii="Times New Roman" w:hAnsi="Times New Roman"/>
          <w:sz w:val="24"/>
        </w:rPr>
      </w:pPr>
      <w:r>
        <w:rPr>
          <w:rFonts w:ascii="Times New Roman" w:hAnsi="Times New Roman"/>
          <w:sz w:val="16"/>
        </w:rPr>
        <w:t>134324.2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sz w:val="24"/>
        </w:rPr>
      </w:pPr>
      <w:r>
        <w:rPr>
          <w:rFonts w:ascii="Times New Roman" w:hAnsi="Times New Roman"/>
          <w:sz w:val="24"/>
        </w:rPr>
        <w:tab/>
        <w:tab/>
        <w:tab/>
        <w:tab/>
        <w:tab/>
        <w:tab/>
      </w:r>
    </w:p>
    <w:sectPr>
      <w:footnotePr>
        <w:numFmt w:val="decimal"/>
        <w:numRestart w:val="eachSect"/>
      </w:footnotePr>
      <w:type w:val="continuous"/>
      <w:pgSz w:w="12240" w:h="15840"/>
      <w:pgMar w:left="1440" w:right="1350" w:gutter="0" w:header="1440" w:top="1497" w:footer="0" w:bottom="475"/>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imes New">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i/>
          <w:sz w:val="22"/>
        </w:rPr>
        <w:t>Regional Transmission Organizations</w:t>
      </w:r>
      <w:r>
        <w:rPr>
          <w:rFonts w:ascii="Times New Roman" w:hAnsi="Times New Roman"/>
          <w:sz w:val="22"/>
        </w:rPr>
        <w:t xml:space="preserve">, Order No. 2000  [1996 - 2000 Regs. Preambles] III F.E.R.C. Stats. &amp; Regs. ¶ 31,089 (2000)[hereinafter cited as </w:t>
      </w:r>
      <w:r>
        <w:rPr>
          <w:rFonts w:ascii="Times New Roman" w:hAnsi="Times New Roman"/>
          <w:i/>
          <w:sz w:val="22"/>
        </w:rPr>
        <w:t>Order No. 2000</w:t>
      </w:r>
      <w:r>
        <w:rPr>
          <w:rFonts w:ascii="Times New Roman" w:hAnsi="Times New Roman"/>
          <w:sz w:val="22"/>
        </w:rPr>
        <w:t xml:space="preserve">], </w:t>
      </w:r>
      <w:r>
        <w:rPr>
          <w:rFonts w:ascii="Times New Roman" w:hAnsi="Times New Roman"/>
          <w:i/>
          <w:sz w:val="22"/>
        </w:rPr>
        <w:t>order on reh'g</w:t>
      </w:r>
      <w:r>
        <w:rPr>
          <w:rFonts w:ascii="Times New Roman" w:hAnsi="Times New Roman"/>
          <w:sz w:val="22"/>
        </w:rPr>
        <w:t xml:space="preserve">, Order No. 2000-A, </w:t>
      </w:r>
      <w:r>
        <w:rPr>
          <w:rFonts w:ascii="Times New Roman" w:hAnsi="Times New Roman"/>
          <w:i/>
          <w:sz w:val="22"/>
        </w:rPr>
        <w:t xml:space="preserve">id. </w:t>
      </w:r>
      <w:r>
        <w:rPr>
          <w:rFonts w:ascii="Times New Roman" w:hAnsi="Times New Roman"/>
          <w:sz w:val="22"/>
        </w:rPr>
        <w:t xml:space="preserve"> ¶ 31,092 (2000) [hereinafter cited as </w:t>
      </w:r>
      <w:r>
        <w:rPr>
          <w:rFonts w:ascii="Times New Roman" w:hAnsi="Times New Roman"/>
          <w:i/>
          <w:sz w:val="22"/>
        </w:rPr>
        <w:t>Order No. 2000-A</w:t>
      </w:r>
      <w:r>
        <w:rPr>
          <w:rFonts w:ascii="Times New Roman" w:hAnsi="Times New Roman"/>
          <w:sz w:val="22"/>
        </w:rPr>
        <w:t xml:space="preserve">], </w:t>
      </w:r>
      <w:r>
        <w:rPr>
          <w:rFonts w:ascii="Times New Roman" w:hAnsi="Times New Roman"/>
          <w:i/>
          <w:sz w:val="22"/>
        </w:rPr>
        <w:t>appeal docketed sub nom. Public Utility District No. 1 of Snohomish County, Washington v. FERC</w:t>
      </w:r>
      <w:r>
        <w:rPr>
          <w:rFonts w:ascii="Times New Roman" w:hAnsi="Times New Roman"/>
          <w:sz w:val="22"/>
        </w:rPr>
        <w:t xml:space="preserve">, Nos. 00-1174, </w:t>
      </w:r>
      <w:r>
        <w:rPr>
          <w:rFonts w:ascii="Times New Roman" w:hAnsi="Times New Roman"/>
          <w:i/>
          <w:sz w:val="22"/>
        </w:rPr>
        <w:t>et al</w:t>
      </w:r>
      <w:r>
        <w:rPr>
          <w:rFonts w:ascii="Times New Roman" w:hAnsi="Times New Roman"/>
          <w:sz w:val="22"/>
        </w:rPr>
        <w:t>. (D.C. Cir. April 24, 2000).</w:t>
      </w:r>
    </w:p>
  </w:footnote>
  <w:footnote w:id="3">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2"/>
        </w:rPr>
        <w:t xml:space="preserve"> </w:t>
      </w:r>
      <w:r>
        <w:rPr>
          <w:rFonts w:ascii="Times New Roman" w:hAnsi="Times New Roman"/>
          <w:i/>
          <w:sz w:val="22"/>
        </w:rPr>
        <w:t>Promoting Wholesale Competition Through Open Access Non-Discriminatory Transmission Services by Public Utilities; Recovery of Stranded Costs by Public Utilities and Transmitting Utilities</w:t>
      </w:r>
      <w:r>
        <w:rPr>
          <w:rFonts w:ascii="Times New Roman" w:hAnsi="Times New Roman"/>
          <w:sz w:val="22"/>
        </w:rPr>
        <w:t xml:space="preserve">, Order No. 888, 61 Fed. Reg. 21,540 (May 10, 1996), [1991-96 Reg. Preambles] F.E.R.C. Stats. &amp; Regs. ¶ 31,036 (1996), </w:t>
      </w:r>
      <w:r>
        <w:rPr>
          <w:rFonts w:ascii="Times New Roman" w:hAnsi="Times New Roman"/>
          <w:i/>
          <w:sz w:val="22"/>
        </w:rPr>
        <w:t>clarified</w:t>
      </w:r>
      <w:r>
        <w:rPr>
          <w:rFonts w:ascii="Times New Roman" w:hAnsi="Times New Roman"/>
          <w:sz w:val="22"/>
        </w:rPr>
        <w:t xml:space="preserve">, 76 F.E.R.C. ¶¶ 61,009, 61,347 (1996), </w:t>
      </w:r>
      <w:r>
        <w:rPr>
          <w:rFonts w:ascii="Times New Roman" w:hAnsi="Times New Roman"/>
          <w:i/>
          <w:sz w:val="22"/>
        </w:rPr>
        <w:t>order on reh'g</w:t>
      </w:r>
      <w:r>
        <w:rPr>
          <w:rFonts w:ascii="Times New Roman" w:hAnsi="Times New Roman"/>
          <w:sz w:val="22"/>
        </w:rPr>
        <w:t xml:space="preserve">, Order No. 888-A, 62 Fed. Reg. 12,274 (March 14, 1997), III F.E.R.C. Stats. &amp; Regs. ¶ 31,048 (1997), </w:t>
      </w:r>
      <w:r>
        <w:rPr>
          <w:rFonts w:ascii="Times New Roman" w:hAnsi="Times New Roman"/>
          <w:i/>
          <w:sz w:val="22"/>
        </w:rPr>
        <w:t>order on reh'g</w:t>
      </w:r>
      <w:r>
        <w:rPr>
          <w:rFonts w:ascii="Times New Roman" w:hAnsi="Times New Roman"/>
          <w:sz w:val="22"/>
        </w:rPr>
        <w:t xml:space="preserve">, Order No. 888-B, 62 Fed. Reg. 64,688 (Dec. 9, 1997), 81 F.E.R.C. ¶ 61,248 (1997), </w:t>
      </w:r>
      <w:r>
        <w:rPr>
          <w:rFonts w:ascii="Times New Roman" w:hAnsi="Times New Roman"/>
          <w:i/>
          <w:sz w:val="22"/>
        </w:rPr>
        <w:t>aff'd and remanded sub nom. Transmission Access Policy Study Group v. FERC</w:t>
      </w:r>
      <w:r>
        <w:rPr>
          <w:rFonts w:ascii="Times New Roman" w:hAnsi="Times New Roman"/>
          <w:sz w:val="22"/>
        </w:rPr>
        <w:t xml:space="preserve">, 225 F.3d 667 (D.C. Cir. 2000), </w:t>
      </w:r>
      <w:r>
        <w:rPr>
          <w:rFonts w:ascii="Times New Roman" w:hAnsi="Times New Roman"/>
          <w:i/>
          <w:sz w:val="22"/>
        </w:rPr>
        <w:t>petition for cert. filed sub nom. People of the State of New York and Public Serv. Comm. of the State of New York v. FERC</w:t>
      </w:r>
      <w:r>
        <w:rPr>
          <w:rFonts w:ascii="Times New Roman" w:hAnsi="Times New Roman"/>
          <w:sz w:val="22"/>
        </w:rPr>
        <w:t>,  69 U.S.L.W. 3281 (U.S. Oct. 11, 2000) (No. 00-568).</w:t>
      </w:r>
    </w:p>
  </w:footnote>
  <w:footnote w:id="4">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2"/>
        </w:rPr>
        <w:t xml:space="preserve"> </w:t>
      </w:r>
      <w:r>
        <w:rPr>
          <w:rFonts w:ascii="Times New Roman" w:hAnsi="Times New Roman"/>
          <w:i/>
          <w:sz w:val="22"/>
        </w:rPr>
        <w:t>Open Access Same-Time Information System (Formerly Real-Time Information Networks) and Standards of Conduct</w:t>
      </w:r>
      <w:r>
        <w:rPr>
          <w:rFonts w:ascii="Times New Roman" w:hAnsi="Times New Roman"/>
          <w:sz w:val="22"/>
        </w:rPr>
        <w:t xml:space="preserve">, Order No. 889, 61 Fed. Reg. 21,737 (May 10, 1996), [1991-96 Regs. Preambles] F.E.R.C. Stats. &amp; Regs. ¶ 31,035 (1996), </w:t>
      </w:r>
      <w:r>
        <w:rPr>
          <w:rFonts w:ascii="Times New Roman" w:hAnsi="Times New Roman"/>
          <w:i/>
          <w:sz w:val="22"/>
        </w:rPr>
        <w:t>order on reh’g</w:t>
      </w:r>
      <w:r>
        <w:rPr>
          <w:rFonts w:ascii="Times New Roman" w:hAnsi="Times New Roman"/>
          <w:sz w:val="22"/>
        </w:rPr>
        <w:t xml:space="preserve">, Order No. 889-A, 62 Fed. Reg. 12,484 (March 14, 1997), III F.E.R.C. Stats. &amp; Regs. ¶ 31,049 (1997), </w:t>
      </w:r>
      <w:r>
        <w:rPr>
          <w:rFonts w:ascii="Times New Roman" w:hAnsi="Times New Roman"/>
          <w:i/>
          <w:sz w:val="22"/>
        </w:rPr>
        <w:t>order denying reh’g</w:t>
      </w:r>
      <w:r>
        <w:rPr>
          <w:rFonts w:ascii="Times New Roman" w:hAnsi="Times New Roman"/>
          <w:sz w:val="22"/>
        </w:rPr>
        <w:t xml:space="preserve">, Order No. 889-B, 62 Fed. Reg. 64,715 (Dec. 9, 1997), 81 F.E.R.C. ¶ 61,253 (1997), </w:t>
      </w:r>
      <w:r>
        <w:rPr>
          <w:rFonts w:ascii="Times New Roman" w:hAnsi="Times New Roman"/>
          <w:i/>
          <w:sz w:val="22"/>
        </w:rPr>
        <w:t>aff'd and remanded sub nom.</w:t>
      </w:r>
      <w:r>
        <w:rPr>
          <w:rFonts w:ascii="Times New Roman" w:hAnsi="Times New Roman"/>
          <w:sz w:val="22"/>
        </w:rPr>
        <w:t xml:space="preserve"> </w:t>
      </w:r>
      <w:r>
        <w:rPr>
          <w:rFonts w:ascii="Times New Roman" w:hAnsi="Times New Roman"/>
          <w:i/>
          <w:sz w:val="22"/>
        </w:rPr>
        <w:t>Transmission Access Policy Study Group (TAPS) v. FERC</w:t>
      </w:r>
      <w:r>
        <w:rPr>
          <w:rFonts w:ascii="Times New Roman" w:hAnsi="Times New Roman"/>
          <w:sz w:val="22"/>
        </w:rPr>
        <w:t xml:space="preserve">, 225 F.3d 667 (D.C. Cir. 2000), </w:t>
      </w:r>
      <w:r>
        <w:rPr>
          <w:rFonts w:ascii="Times New Roman" w:hAnsi="Times New Roman"/>
          <w:i/>
          <w:sz w:val="22"/>
        </w:rPr>
        <w:t>petition for cert. filed sub nom. People of the State of New York and Public Serv. Comm. of the State of New York v. FERC</w:t>
      </w:r>
      <w:r>
        <w:rPr>
          <w:rFonts w:ascii="Times New Roman" w:hAnsi="Times New Roman"/>
          <w:sz w:val="22"/>
        </w:rPr>
        <w:t>,  69 U.S.L.W. 3281 (U.S. Oct. 11, 2000) (No. 00-568).</w:t>
      </w:r>
    </w:p>
  </w:footnote>
  <w:footnote w:id="5">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2"/>
        </w:rPr>
        <w:t xml:space="preserve">Notably included in this group are the Antitrust Division of the Department of Justice and the Bureau of Economics of the Federal Trade Commission, both of whom have consistently urged the Commission to recognize that continued vertical integration and the failure to separate transmission monopoly functions from power seller functions perpetuate both the incentive and ability of incumbents to discriminate and block new entry.  </w:t>
      </w:r>
      <w:r>
        <w:rPr>
          <w:rFonts w:ascii="Times New Roman" w:hAnsi="Times New Roman"/>
          <w:i/>
          <w:sz w:val="22"/>
        </w:rPr>
        <w:t>See, e.g.</w:t>
      </w:r>
      <w:r>
        <w:rPr>
          <w:rFonts w:ascii="Times New Roman" w:hAnsi="Times New Roman"/>
          <w:sz w:val="22"/>
        </w:rPr>
        <w:t>,</w:t>
      </w:r>
      <w:r>
        <w:rPr>
          <w:rFonts w:ascii="Times New Roman" w:hAnsi="Times New Roman"/>
          <w:i/>
          <w:sz w:val="22"/>
        </w:rPr>
        <w:t xml:space="preserve"> Order No. 888</w:t>
      </w:r>
      <w:r>
        <w:rPr>
          <w:rFonts w:ascii="Times New Roman" w:hAnsi="Times New Roman"/>
          <w:sz w:val="22"/>
        </w:rPr>
        <w:t xml:space="preserve">, [1991-96 Regs. Preambles] F.E.R.C. at 31,654-55; </w:t>
      </w:r>
      <w:r>
        <w:rPr>
          <w:rFonts w:ascii="Times New Roman" w:hAnsi="Times New Roman"/>
          <w:i/>
          <w:sz w:val="22"/>
        </w:rPr>
        <w:t>Comments of the Staff of the Bureau of Economics of the Federal Trade Commission</w:t>
      </w:r>
      <w:r>
        <w:rPr>
          <w:rFonts w:ascii="Times New Roman" w:hAnsi="Times New Roman"/>
          <w:sz w:val="22"/>
        </w:rPr>
        <w:t xml:space="preserve"> at 3, Docket No. RM95-8-000, et al. (filed Aug. 7, 1995).</w:t>
      </w:r>
    </w:p>
  </w:footnote>
  <w:footnote w:id="6">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i/>
          <w:sz w:val="22"/>
        </w:rPr>
        <w:t xml:space="preserve"> </w:t>
      </w:r>
      <w:r>
        <w:rPr>
          <w:rFonts w:ascii="Times New Roman" w:hAnsi="Times New Roman"/>
          <w:i/>
          <w:sz w:val="22"/>
        </w:rPr>
        <w:t>Basic Operating Functions and Responsibilities: A White Paper by the CACTF</w:t>
      </w:r>
      <w:r>
        <w:rPr>
          <w:rFonts w:ascii="Times New Roman" w:hAnsi="Times New Roman"/>
          <w:sz w:val="22"/>
        </w:rPr>
        <w:t xml:space="preserve"> (Oct. 5, 2000).</w:t>
      </w:r>
    </w:p>
  </w:footnote>
  <w:footnote w:id="7">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2"/>
        </w:rPr>
        <w:t xml:space="preserve"> </w:t>
      </w:r>
      <w:r>
        <w:rPr>
          <w:rFonts w:ascii="Times New Roman" w:hAnsi="Times New Roman"/>
          <w:sz w:val="22"/>
        </w:rPr>
        <w:t>Any uncertainty as to the terms of Entergy's participation should be resolved in the instant proceeding.  For this reason, EPMI joined with Coral Power and Aquila Energy in a November 6, 2000, motion to consolidate with this proceeding those portions of Entergy's filing in Docket No. RT01-75-000 that pertain to Entergy's participation in the proposed SPP RTO and compliance with Order No. 2000.</w:t>
      </w:r>
    </w:p>
  </w:footnote>
  <w:footnote w:id="8">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i/>
          <w:sz w:val="22"/>
        </w:rPr>
        <w:t xml:space="preserve">See Basic Operating Functions and Responsibilities: A White Paper by the CACTF </w:t>
      </w:r>
      <w:r>
        <w:rPr>
          <w:rFonts w:ascii="Times New Roman" w:hAnsi="Times New Roman"/>
          <w:sz w:val="22"/>
        </w:rPr>
        <w:t>at 9 (Oct.  5, 2000).</w:t>
      </w:r>
    </w:p>
  </w:footnote>
  <w:footnote w:id="9">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2"/>
        </w:rPr>
        <w:t xml:space="preserve">Note that this is equally true of other CMS systems, such as ones that use LMP in connection with centralized redispatch based on optimization models.  Because these systems are incapable of generating prices for transmission that are knowable in advance, they resort to financial rights (referred to as fixed or financial transmission rights ("FTRs")) that, at best, provide the holder with a financial hedge against LMP's </w:t>
      </w:r>
      <w:r>
        <w:rPr>
          <w:rFonts w:ascii="Times New Roman" w:hAnsi="Times New Roman"/>
          <w:i/>
          <w:sz w:val="22"/>
        </w:rPr>
        <w:t>ex post</w:t>
      </w:r>
      <w:r>
        <w:rPr>
          <w:rFonts w:ascii="Times New Roman" w:hAnsi="Times New Roman"/>
          <w:sz w:val="22"/>
        </w:rPr>
        <w:t xml:space="preserve"> prices, so long as the holder fulfills its obligation to flow power in a certain direction.  Entergy's centralized LMP redispatch proposal would hedge against LMP in this fashion and would administratively allocate FTRs.  That allocation, just like SPP's proposed allocation of PTRs, deprives them of any market valuation.  </w:t>
      </w:r>
      <w:r>
        <w:rPr>
          <w:rFonts w:ascii="Times New Roman" w:hAnsi="Times New Roman"/>
          <w:i/>
          <w:sz w:val="22"/>
        </w:rPr>
        <w:t>See Entergy Services, Inc.</w:t>
      </w:r>
      <w:r>
        <w:rPr>
          <w:rFonts w:ascii="Times New Roman" w:hAnsi="Times New Roman"/>
          <w:sz w:val="22"/>
        </w:rPr>
        <w:t xml:space="preserve">, No. RT01-75-000, </w:t>
      </w:r>
      <w:r>
        <w:rPr>
          <w:rFonts w:ascii="Times New Roman" w:hAnsi="Times New Roman"/>
          <w:i/>
          <w:sz w:val="22"/>
        </w:rPr>
        <w:t>Test. of Michael M. Schnitzer</w:t>
      </w:r>
      <w:r>
        <w:rPr>
          <w:rFonts w:ascii="Times New Roman" w:hAnsi="Times New Roman"/>
          <w:sz w:val="22"/>
        </w:rPr>
        <w:t xml:space="preserve"> at 15.</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EPMI Intervention and Protest</w:t>
    </w:r>
  </w:p>
  <w:p>
    <w:pPr>
      <w:pStyle w:val="Normal"/>
      <w:bidi w:val="0"/>
      <w:spacing w:lineRule="atLeast" w:line="0"/>
      <w:jc w:val="both"/>
      <w:rPr>
        <w:rFonts w:ascii="Times New" w:hAnsi="Times New"/>
        <w:sz w:val="24"/>
      </w:rPr>
    </w:pPr>
    <w:r>
      <w:rPr>
        <w:rFonts w:ascii="Times New" w:hAnsi="Times New"/>
        <w:sz w:val="24"/>
      </w:rPr>
      <w:t>Docket No. RT01-34-000</w:t>
      <w:tab/>
      <w:t xml:space="preserve">Page </w:t>
    </w:r>
    <w:r>
      <w:rPr>
        <w:rFonts w:ascii="Times New" w:hAnsi="Times New"/>
        <w:sz w:val="24"/>
      </w:rPr>
      <w:fldChar w:fldCharType="begin"/>
    </w:r>
    <w:r>
      <w:rPr>
        <w:sz w:val="24"/>
        <w:rFonts w:ascii="Times New" w:hAnsi="Times New"/>
      </w:rPr>
      <w:instrText xml:space="preserve"> PAGE </w:instrText>
    </w:r>
    <w:r>
      <w:rPr>
        <w:sz w:val="24"/>
        <w:rFonts w:ascii="Times New" w:hAnsi="Times New"/>
      </w:rPr>
      <w:fldChar w:fldCharType="separate"/>
    </w:r>
    <w:r>
      <w:rPr>
        <w:sz w:val="24"/>
        <w:rFonts w:ascii="Times New" w:hAnsi="Times New"/>
      </w:rPr>
      <w:t>17</w:t>
    </w:r>
    <w:r>
      <w:rPr>
        <w:sz w:val="24"/>
        <w:rFonts w:ascii="Times New" w:hAnsi="Times New"/>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EPMI Intervention and Protest</w:t>
    </w:r>
  </w:p>
  <w:p>
    <w:pPr>
      <w:pStyle w:val="Normal"/>
      <w:bidi w:val="0"/>
      <w:spacing w:lineRule="atLeast" w:line="0"/>
      <w:jc w:val="both"/>
      <w:rPr>
        <w:rFonts w:ascii="Times New" w:hAnsi="Times New"/>
        <w:sz w:val="24"/>
      </w:rPr>
    </w:pPr>
    <w:r>
      <w:rPr>
        <w:rFonts w:ascii="Times New" w:hAnsi="Times New"/>
        <w:sz w:val="24"/>
      </w:rPr>
      <w:t>Docket No. RT01-34-000</w:t>
      <w:tab/>
      <w:t xml:space="preserve">Page </w:t>
    </w:r>
    <w:r>
      <w:rPr>
        <w:rFonts w:ascii="Times New" w:hAnsi="Times New"/>
        <w:sz w:val="24"/>
      </w:rPr>
      <w:fldChar w:fldCharType="begin"/>
    </w:r>
    <w:r>
      <w:rPr>
        <w:sz w:val="24"/>
        <w:rFonts w:ascii="Times New" w:hAnsi="Times New"/>
      </w:rPr>
      <w:instrText xml:space="preserve"> PAGE </w:instrText>
    </w:r>
    <w:r>
      <w:rPr>
        <w:sz w:val="24"/>
        <w:rFonts w:ascii="Times New" w:hAnsi="Times New"/>
      </w:rPr>
      <w:fldChar w:fldCharType="separate"/>
    </w:r>
    <w:r>
      <w:rPr>
        <w:sz w:val="24"/>
        <w:rFonts w:ascii="Times New" w:hAnsi="Times New"/>
      </w:rPr>
      <w:t>18</w:t>
    </w:r>
    <w:r>
      <w:rPr>
        <w:sz w:val="24"/>
        <w:rFonts w:ascii="Times New" w:hAnsi="Times New"/>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EPMI Intervention and Protest</w:t>
    </w:r>
  </w:p>
  <w:p>
    <w:pPr>
      <w:pStyle w:val="Normal"/>
      <w:bidi w:val="0"/>
      <w:spacing w:lineRule="atLeast" w:line="0"/>
      <w:jc w:val="both"/>
      <w:rPr>
        <w:rFonts w:ascii="Times New" w:hAnsi="Times New"/>
        <w:sz w:val="24"/>
      </w:rPr>
    </w:pPr>
    <w:r>
      <w:rPr>
        <w:rFonts w:ascii="Times New" w:hAnsi="Times New"/>
        <w:sz w:val="24"/>
      </w:rPr>
      <w:t>Docket No. RT01-34-000</w:t>
      <w:tab/>
      <w:t xml:space="preserve">Page </w:t>
    </w:r>
    <w:r>
      <w:rPr>
        <w:rFonts w:ascii="Times New" w:hAnsi="Times New"/>
        <w:sz w:val="24"/>
      </w:rPr>
      <w:fldChar w:fldCharType="begin"/>
    </w:r>
    <w:r>
      <w:rPr>
        <w:sz w:val="24"/>
        <w:rFonts w:ascii="Times New" w:hAnsi="Times New"/>
      </w:rPr>
      <w:instrText xml:space="preserve"> PAGE </w:instrText>
    </w:r>
    <w:r>
      <w:rPr>
        <w:sz w:val="24"/>
        <w:rFonts w:ascii="Times New" w:hAnsi="Times New"/>
      </w:rPr>
      <w:fldChar w:fldCharType="separate"/>
    </w:r>
    <w:r>
      <w:rPr>
        <w:sz w:val="24"/>
        <w:rFonts w:ascii="Times New" w:hAnsi="Times New"/>
      </w:rPr>
      <w:t>18</w:t>
    </w:r>
    <w:r>
      <w:rPr>
        <w:sz w:val="24"/>
        <w:rFonts w:ascii="Times New" w:hAnsi="Times New"/>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EPMI Intervention and Protest</w:t>
    </w:r>
  </w:p>
  <w:p>
    <w:pPr>
      <w:pStyle w:val="Normal"/>
      <w:bidi w:val="0"/>
      <w:spacing w:lineRule="atLeast" w:line="0"/>
      <w:jc w:val="both"/>
      <w:rPr>
        <w:rFonts w:ascii="Times New" w:hAnsi="Times New"/>
        <w:sz w:val="24"/>
      </w:rPr>
    </w:pPr>
    <w:r>
      <w:rPr>
        <w:rFonts w:ascii="Times New" w:hAnsi="Times New"/>
        <w:sz w:val="24"/>
      </w:rPr>
      <w:t>Docket No. RT01-34-000</w:t>
      <w:tab/>
      <w:t xml:space="preserve">Page </w:t>
    </w:r>
    <w:r>
      <w:rPr>
        <w:rFonts w:ascii="Times New" w:hAnsi="Times New"/>
        <w:sz w:val="24"/>
      </w:rPr>
      <w:fldChar w:fldCharType="begin"/>
    </w:r>
    <w:r>
      <w:rPr>
        <w:sz w:val="24"/>
        <w:rFonts w:ascii="Times New" w:hAnsi="Times New"/>
      </w:rPr>
      <w:instrText xml:space="preserve"> PAGE </w:instrText>
    </w:r>
    <w:r>
      <w:rPr>
        <w:sz w:val="24"/>
        <w:rFonts w:ascii="Times New" w:hAnsi="Times New"/>
      </w:rPr>
      <w:fldChar w:fldCharType="separate"/>
    </w:r>
    <w:r>
      <w:rPr>
        <w:sz w:val="24"/>
        <w:rFonts w:ascii="Times New" w:hAnsi="Times New"/>
      </w:rPr>
      <w:t>19</w:t>
    </w:r>
    <w:r>
      <w:rPr>
        <w:sz w:val="24"/>
        <w:rFonts w:ascii="Times New" w:hAnsi="Times New"/>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EPMI Intervention and Protest</w:t>
    </w:r>
  </w:p>
  <w:p>
    <w:pPr>
      <w:pStyle w:val="Normal"/>
      <w:bidi w:val="0"/>
      <w:spacing w:lineRule="atLeast" w:line="0"/>
      <w:jc w:val="both"/>
      <w:rPr>
        <w:rFonts w:ascii="Times New" w:hAnsi="Times New"/>
        <w:sz w:val="24"/>
      </w:rPr>
    </w:pPr>
    <w:r>
      <w:rPr>
        <w:rFonts w:ascii="Times New" w:hAnsi="Times New"/>
        <w:sz w:val="24"/>
      </w:rPr>
      <w:t>Docket No. RT01-34-000</w:t>
      <w:tab/>
      <w:t xml:space="preserve">Page </w:t>
    </w:r>
    <w:r>
      <w:rPr>
        <w:rFonts w:ascii="Times New" w:hAnsi="Times New"/>
        <w:sz w:val="24"/>
      </w:rPr>
      <w:fldChar w:fldCharType="begin"/>
    </w:r>
    <w:r>
      <w:rPr>
        <w:sz w:val="24"/>
        <w:rFonts w:ascii="Times New" w:hAnsi="Times New"/>
      </w:rPr>
      <w:instrText xml:space="preserve"> PAGE </w:instrText>
    </w:r>
    <w:r>
      <w:rPr>
        <w:sz w:val="24"/>
        <w:rFonts w:ascii="Times New" w:hAnsi="Times New"/>
      </w:rPr>
      <w:fldChar w:fldCharType="separate"/>
    </w:r>
    <w:r>
      <w:rPr>
        <w:sz w:val="24"/>
        <w:rFonts w:ascii="Times New" w:hAnsi="Times New"/>
      </w:rPr>
      <w:t>19</w:t>
    </w:r>
    <w:r>
      <w:rPr>
        <w:sz w:val="24"/>
        <w:rFonts w:ascii="Times New" w:hAnsi="Times New"/>
      </w:rPr>
      <w:fldChar w:fldCharType="end"/>
    </w:r>
  </w:p>
</w:hdr>
</file>

<file path=word/settings.xml><?xml version="1.0" encoding="utf-8"?>
<w:settings xmlns:w="http://schemas.openxmlformats.org/wordprocessingml/2006/main">
  <w:zoom w:percent="100"/>
  <w:defaultTabStop w:val="720"/>
  <w:autoHyphenation w:val="true"/>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Courier" w:hAnsi="Courier" w:eastAsia="Times New" w:cs="Arial"/>
      <w:color w:val="auto"/>
      <w:kern w:val="2"/>
      <w:sz w:val="20"/>
      <w:szCs w:val="24"/>
      <w:lang w:val="en-CA" w:eastAsia="zh-CN" w:bidi="hi-IN"/>
    </w:rPr>
  </w:style>
  <w:style w:type="character" w:styleId="footnotetex">
    <w:name w:val="footnote tex"/>
    <w:qFormat/>
    <w:rPr>
      <w:rFonts w:ascii="Times New Roman" w:hAnsi="Times New Roman"/>
      <w:sz w:val="20"/>
    </w:rPr>
  </w:style>
  <w:style w:type="character" w:styleId="ParNum">
    <w:name w:val="ParNum"/>
    <w:qFormat/>
    <w:rPr>
      <w:b/>
    </w:rPr>
  </w:style>
  <w:style w:type="character" w:styleId="Subheading">
    <w:name w:val="Subheading"/>
    <w:qFormat/>
    <w:rPr>
      <w:b/>
    </w:rPr>
  </w:style>
  <w:style w:type="character" w:styleId="RightPar">
    <w:name w:val="Right Par"/>
    <w:qFormat/>
    <w:rPr>
      <w:b/>
    </w:rPr>
  </w:style>
  <w:style w:type="character" w:styleId="Heading">
    <w:name w:val="Heading"/>
    <w:qFormat/>
    <w:rPr>
      <w:b/>
    </w:rPr>
  </w:style>
  <w:style w:type="character" w:styleId="DocInit">
    <w:name w:val="Doc Init"/>
    <w:qFormat/>
    <w:rPr>
      <w:b/>
    </w:rPr>
  </w:style>
  <w:style w:type="character" w:styleId="Bibliogrphy">
    <w:name w:val="Bibliogrphy"/>
    <w:qFormat/>
    <w:rPr>
      <w:b/>
    </w:rPr>
  </w:style>
  <w:style w:type="character" w:styleId="FootnoteCharacters">
    <w:name w:val="Footnote Characters"/>
    <w:qFormat/>
    <w:rPr/>
  </w:style>
  <w:style w:type="character" w:styleId="EndnoteCharacters">
    <w:name w:val="End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9">
    <w:name w:val="1AutoList9"/>
    <w:qFormat/>
    <w:pPr>
      <w:widowControl w:val="false"/>
      <w:tabs>
        <w:tab w:val="left" w:pos="720" w:leader="none"/>
      </w:tabs>
      <w:bidi w:val="0"/>
      <w:spacing w:lineRule="atLeast" w:line="0"/>
      <w:ind w:hanging="720" w:start="720"/>
      <w:jc w:val="both"/>
    </w:pPr>
    <w:rPr>
      <w:rFonts w:ascii="Courier" w:hAnsi="Courier" w:eastAsia="Times New" w:cs="Arial"/>
      <w:color w:val="auto"/>
      <w:kern w:val="2"/>
      <w:sz w:val="24"/>
      <w:szCs w:val="24"/>
      <w:lang w:val="en-CA" w:eastAsia="zh-CN" w:bidi="hi-IN"/>
    </w:rPr>
  </w:style>
  <w:style w:type="paragraph" w:styleId="2AutoList9">
    <w:name w:val="2AutoList9"/>
    <w:qFormat/>
    <w:pPr>
      <w:widowControl w:val="false"/>
      <w:tabs>
        <w:tab w:val="left" w:pos="720" w:leader="none"/>
        <w:tab w:val="left" w:pos="1440" w:leader="none"/>
      </w:tabs>
      <w:bidi w:val="0"/>
      <w:spacing w:lineRule="atLeast" w:line="0"/>
      <w:ind w:hanging="720" w:start="1440"/>
      <w:jc w:val="both"/>
    </w:pPr>
    <w:rPr>
      <w:rFonts w:ascii="Courier" w:hAnsi="Courier" w:eastAsia="Times New" w:cs="Arial"/>
      <w:color w:val="auto"/>
      <w:kern w:val="2"/>
      <w:sz w:val="24"/>
      <w:szCs w:val="24"/>
      <w:lang w:val="en-CA" w:eastAsia="zh-CN" w:bidi="hi-IN"/>
    </w:rPr>
  </w:style>
  <w:style w:type="paragraph" w:styleId="3AutoList9">
    <w:name w:val="3AutoList9"/>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4AutoList9">
    <w:name w:val="4AutoList9"/>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5AutoList9">
    <w:name w:val="5AutoList9"/>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6AutoList9">
    <w:name w:val="6AutoList9"/>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7AutoList9">
    <w:name w:val="7AutoList9"/>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8AutoList9">
    <w:name w:val="8AutoList9"/>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1AutoList8">
    <w:name w:val="1AutoList8"/>
    <w:qFormat/>
    <w:pPr>
      <w:widowControl w:val="false"/>
      <w:tabs>
        <w:tab w:val="left" w:pos="720" w:leader="none"/>
      </w:tabs>
      <w:bidi w:val="0"/>
      <w:spacing w:lineRule="atLeast" w:line="0"/>
      <w:ind w:hanging="720" w:start="720"/>
      <w:jc w:val="both"/>
    </w:pPr>
    <w:rPr>
      <w:rFonts w:ascii="Courier" w:hAnsi="Courier" w:eastAsia="Times New" w:cs="Arial"/>
      <w:color w:val="auto"/>
      <w:kern w:val="2"/>
      <w:sz w:val="24"/>
      <w:szCs w:val="24"/>
      <w:lang w:val="en-CA" w:eastAsia="zh-CN" w:bidi="hi-IN"/>
    </w:rPr>
  </w:style>
  <w:style w:type="paragraph" w:styleId="2AutoList8">
    <w:name w:val="2AutoList8"/>
    <w:qFormat/>
    <w:pPr>
      <w:widowControl w:val="false"/>
      <w:tabs>
        <w:tab w:val="left" w:pos="720" w:leader="none"/>
        <w:tab w:val="left" w:pos="1440" w:leader="none"/>
      </w:tabs>
      <w:bidi w:val="0"/>
      <w:spacing w:lineRule="atLeast" w:line="0"/>
      <w:ind w:hanging="720" w:start="1440"/>
      <w:jc w:val="both"/>
    </w:pPr>
    <w:rPr>
      <w:rFonts w:ascii="Courier" w:hAnsi="Courier" w:eastAsia="Times New" w:cs="Arial"/>
      <w:color w:val="auto"/>
      <w:kern w:val="2"/>
      <w:sz w:val="24"/>
      <w:szCs w:val="24"/>
      <w:lang w:val="en-CA" w:eastAsia="zh-CN" w:bidi="hi-IN"/>
    </w:rPr>
  </w:style>
  <w:style w:type="paragraph" w:styleId="3AutoList8">
    <w:name w:val="3AutoList8"/>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4AutoList8">
    <w:name w:val="4AutoList8"/>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5AutoList8">
    <w:name w:val="5AutoList8"/>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6AutoList8">
    <w:name w:val="6AutoList8"/>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7AutoList8">
    <w:name w:val="7AutoList8"/>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8AutoList8">
    <w:name w:val="8AutoList8"/>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1AutoList7">
    <w:name w:val="1AutoList7"/>
    <w:qFormat/>
    <w:pPr>
      <w:widowControl w:val="false"/>
      <w:tabs>
        <w:tab w:val="left" w:pos="720" w:leader="none"/>
      </w:tabs>
      <w:bidi w:val="0"/>
      <w:spacing w:lineRule="atLeast" w:line="0"/>
      <w:ind w:hanging="720" w:start="720"/>
      <w:jc w:val="both"/>
    </w:pPr>
    <w:rPr>
      <w:rFonts w:ascii="Courier" w:hAnsi="Courier" w:eastAsia="Times New" w:cs="Arial"/>
      <w:color w:val="auto"/>
      <w:kern w:val="2"/>
      <w:sz w:val="24"/>
      <w:szCs w:val="24"/>
      <w:lang w:val="en-CA" w:eastAsia="zh-CN" w:bidi="hi-IN"/>
    </w:rPr>
  </w:style>
  <w:style w:type="paragraph" w:styleId="2AutoList7">
    <w:name w:val="2AutoList7"/>
    <w:qFormat/>
    <w:pPr>
      <w:widowControl w:val="false"/>
      <w:tabs>
        <w:tab w:val="left" w:pos="720" w:leader="none"/>
        <w:tab w:val="left" w:pos="1440" w:leader="none"/>
      </w:tabs>
      <w:bidi w:val="0"/>
      <w:spacing w:lineRule="atLeast" w:line="0"/>
      <w:ind w:hanging="720" w:start="1440"/>
      <w:jc w:val="both"/>
    </w:pPr>
    <w:rPr>
      <w:rFonts w:ascii="Courier" w:hAnsi="Courier" w:eastAsia="Times New" w:cs="Arial"/>
      <w:color w:val="auto"/>
      <w:kern w:val="2"/>
      <w:sz w:val="24"/>
      <w:szCs w:val="24"/>
      <w:lang w:val="en-CA" w:eastAsia="zh-CN" w:bidi="hi-IN"/>
    </w:rPr>
  </w:style>
  <w:style w:type="paragraph" w:styleId="3AutoList7">
    <w:name w:val="3AutoList7"/>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4AutoList7">
    <w:name w:val="4AutoList7"/>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5AutoList7">
    <w:name w:val="5AutoList7"/>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6AutoList7">
    <w:name w:val="6AutoList7"/>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7AutoList7">
    <w:name w:val="7AutoList7"/>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8AutoList7">
    <w:name w:val="8AutoList7"/>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1AutoList6">
    <w:name w:val="1AutoList6"/>
    <w:qFormat/>
    <w:pPr>
      <w:widowControl w:val="false"/>
      <w:tabs>
        <w:tab w:val="left" w:pos="720" w:leader="none"/>
      </w:tabs>
      <w:bidi w:val="0"/>
      <w:spacing w:lineRule="atLeast" w:line="0"/>
      <w:ind w:hanging="720" w:start="720"/>
      <w:jc w:val="both"/>
    </w:pPr>
    <w:rPr>
      <w:rFonts w:ascii="Courier" w:hAnsi="Courier" w:eastAsia="Times New" w:cs="Arial"/>
      <w:color w:val="auto"/>
      <w:kern w:val="2"/>
      <w:sz w:val="24"/>
      <w:szCs w:val="24"/>
      <w:lang w:val="en-CA" w:eastAsia="zh-CN" w:bidi="hi-IN"/>
    </w:rPr>
  </w:style>
  <w:style w:type="paragraph" w:styleId="2AutoList6">
    <w:name w:val="2AutoList6"/>
    <w:qFormat/>
    <w:pPr>
      <w:widowControl w:val="false"/>
      <w:tabs>
        <w:tab w:val="left" w:pos="720" w:leader="none"/>
        <w:tab w:val="left" w:pos="1440" w:leader="none"/>
      </w:tabs>
      <w:bidi w:val="0"/>
      <w:spacing w:lineRule="atLeast" w:line="0"/>
      <w:ind w:hanging="720" w:start="1440"/>
      <w:jc w:val="both"/>
    </w:pPr>
    <w:rPr>
      <w:rFonts w:ascii="Courier" w:hAnsi="Courier" w:eastAsia="Times New" w:cs="Arial"/>
      <w:color w:val="auto"/>
      <w:kern w:val="2"/>
      <w:sz w:val="24"/>
      <w:szCs w:val="24"/>
      <w:lang w:val="en-CA" w:eastAsia="zh-CN" w:bidi="hi-IN"/>
    </w:rPr>
  </w:style>
  <w:style w:type="paragraph" w:styleId="3AutoList6">
    <w:name w:val="3AutoList6"/>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4AutoList6">
    <w:name w:val="4AutoList6"/>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5AutoList6">
    <w:name w:val="5AutoList6"/>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6AutoList6">
    <w:name w:val="6AutoList6"/>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7AutoList6">
    <w:name w:val="7AutoList6"/>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8AutoList6">
    <w:name w:val="8AutoList6"/>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1AutoList5">
    <w:name w:val="1AutoList5"/>
    <w:qFormat/>
    <w:pPr>
      <w:widowControl w:val="false"/>
      <w:tabs>
        <w:tab w:val="left" w:pos="720" w:leader="none"/>
      </w:tabs>
      <w:bidi w:val="0"/>
      <w:spacing w:lineRule="atLeast" w:line="0"/>
      <w:ind w:hanging="720" w:start="720"/>
      <w:jc w:val="both"/>
    </w:pPr>
    <w:rPr>
      <w:rFonts w:ascii="Courier" w:hAnsi="Courier" w:eastAsia="Times New" w:cs="Arial"/>
      <w:color w:val="auto"/>
      <w:kern w:val="2"/>
      <w:sz w:val="24"/>
      <w:szCs w:val="24"/>
      <w:lang w:val="en-CA" w:eastAsia="zh-CN" w:bidi="hi-IN"/>
    </w:rPr>
  </w:style>
  <w:style w:type="paragraph" w:styleId="2AutoList5">
    <w:name w:val="2AutoList5"/>
    <w:qFormat/>
    <w:pPr>
      <w:widowControl w:val="false"/>
      <w:tabs>
        <w:tab w:val="left" w:pos="720" w:leader="none"/>
        <w:tab w:val="left" w:pos="1440" w:leader="none"/>
      </w:tabs>
      <w:bidi w:val="0"/>
      <w:spacing w:lineRule="atLeast" w:line="0"/>
      <w:ind w:hanging="720" w:start="1440"/>
      <w:jc w:val="both"/>
    </w:pPr>
    <w:rPr>
      <w:rFonts w:ascii="Courier" w:hAnsi="Courier" w:eastAsia="Times New" w:cs="Arial"/>
      <w:color w:val="auto"/>
      <w:kern w:val="2"/>
      <w:sz w:val="24"/>
      <w:szCs w:val="24"/>
      <w:lang w:val="en-CA" w:eastAsia="zh-CN" w:bidi="hi-IN"/>
    </w:rPr>
  </w:style>
  <w:style w:type="paragraph" w:styleId="3AutoList5">
    <w:name w:val="3AutoList5"/>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4AutoList5">
    <w:name w:val="4AutoList5"/>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5AutoList5">
    <w:name w:val="5AutoList5"/>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6AutoList5">
    <w:name w:val="6AutoList5"/>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7AutoList5">
    <w:name w:val="7AutoList5"/>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8AutoList5">
    <w:name w:val="8AutoList5"/>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1AutoList4">
    <w:name w:val="1AutoList4"/>
    <w:qFormat/>
    <w:pPr>
      <w:widowControl w:val="false"/>
      <w:tabs>
        <w:tab w:val="left" w:pos="720" w:leader="none"/>
      </w:tabs>
      <w:bidi w:val="0"/>
      <w:spacing w:lineRule="atLeast" w:line="0"/>
      <w:ind w:hanging="720" w:start="720"/>
      <w:jc w:val="both"/>
    </w:pPr>
    <w:rPr>
      <w:rFonts w:ascii="Courier" w:hAnsi="Courier" w:eastAsia="Times New" w:cs="Arial"/>
      <w:color w:val="auto"/>
      <w:kern w:val="2"/>
      <w:sz w:val="24"/>
      <w:szCs w:val="24"/>
      <w:lang w:val="en-CA" w:eastAsia="zh-CN" w:bidi="hi-IN"/>
    </w:rPr>
  </w:style>
  <w:style w:type="paragraph" w:styleId="2AutoList4">
    <w:name w:val="2AutoList4"/>
    <w:qFormat/>
    <w:pPr>
      <w:widowControl w:val="false"/>
      <w:tabs>
        <w:tab w:val="left" w:pos="720" w:leader="none"/>
        <w:tab w:val="left" w:pos="1440" w:leader="none"/>
      </w:tabs>
      <w:bidi w:val="0"/>
      <w:spacing w:lineRule="atLeast" w:line="0"/>
      <w:ind w:hanging="720" w:start="1440"/>
      <w:jc w:val="both"/>
    </w:pPr>
    <w:rPr>
      <w:rFonts w:ascii="Courier" w:hAnsi="Courier" w:eastAsia="Times New" w:cs="Arial"/>
      <w:color w:val="auto"/>
      <w:kern w:val="2"/>
      <w:sz w:val="24"/>
      <w:szCs w:val="24"/>
      <w:lang w:val="en-CA" w:eastAsia="zh-CN" w:bidi="hi-IN"/>
    </w:rPr>
  </w:style>
  <w:style w:type="paragraph" w:styleId="3AutoList4">
    <w:name w:val="3AutoList4"/>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4AutoList4">
    <w:name w:val="4AutoList4"/>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5AutoList4">
    <w:name w:val="5AutoList4"/>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6AutoList4">
    <w:name w:val="6AutoList4"/>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7AutoList4">
    <w:name w:val="7AutoList4"/>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8AutoList4">
    <w:name w:val="8AutoList4"/>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1AutoList3">
    <w:name w:val="1AutoList3"/>
    <w:qFormat/>
    <w:pPr>
      <w:widowControl w:val="false"/>
      <w:tabs>
        <w:tab w:val="left" w:pos="720" w:leader="none"/>
      </w:tabs>
      <w:bidi w:val="0"/>
      <w:spacing w:lineRule="atLeast" w:line="0"/>
      <w:ind w:hanging="720" w:start="720"/>
      <w:jc w:val="both"/>
    </w:pPr>
    <w:rPr>
      <w:rFonts w:ascii="Courier" w:hAnsi="Courier" w:eastAsia="Times New" w:cs="Arial"/>
      <w:color w:val="auto"/>
      <w:kern w:val="2"/>
      <w:sz w:val="24"/>
      <w:szCs w:val="24"/>
      <w:lang w:val="en-CA" w:eastAsia="zh-CN" w:bidi="hi-IN"/>
    </w:rPr>
  </w:style>
  <w:style w:type="paragraph" w:styleId="2AutoList3">
    <w:name w:val="2AutoList3"/>
    <w:qFormat/>
    <w:pPr>
      <w:widowControl w:val="false"/>
      <w:tabs>
        <w:tab w:val="left" w:pos="720" w:leader="none"/>
        <w:tab w:val="left" w:pos="1440" w:leader="none"/>
      </w:tabs>
      <w:bidi w:val="0"/>
      <w:spacing w:lineRule="atLeast" w:line="0"/>
      <w:ind w:hanging="720" w:start="1440"/>
      <w:jc w:val="both"/>
    </w:pPr>
    <w:rPr>
      <w:rFonts w:ascii="Courier" w:hAnsi="Courier" w:eastAsia="Times New" w:cs="Arial"/>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Courier" w:hAnsi="Courier" w:eastAsia="Times New" w:cs="Arial"/>
      <w:color w:val="auto"/>
      <w:kern w:val="2"/>
      <w:sz w:val="24"/>
      <w:szCs w:val="24"/>
      <w:lang w:val="en-CA" w:eastAsia="zh-CN" w:bidi="hi-IN"/>
    </w:rPr>
  </w:style>
  <w:style w:type="paragraph" w:styleId="2AutoList2">
    <w:name w:val="2AutoList2"/>
    <w:qFormat/>
    <w:pPr>
      <w:widowControl w:val="false"/>
      <w:tabs>
        <w:tab w:val="left" w:pos="720" w:leader="none"/>
        <w:tab w:val="left" w:pos="1440" w:leader="none"/>
      </w:tabs>
      <w:bidi w:val="0"/>
      <w:spacing w:lineRule="atLeast" w:line="0"/>
      <w:ind w:hanging="720" w:start="1440"/>
      <w:jc w:val="both"/>
    </w:pPr>
    <w:rPr>
      <w:rFonts w:ascii="Courier" w:hAnsi="Courier" w:eastAsia="Times New" w:cs="Arial"/>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12">
    <w:name w:val="12"/>
    <w:qFormat/>
    <w:pPr>
      <w:widowControl w:val="false"/>
      <w:tabs>
        <w:tab w:val="left" w:pos="720" w:leader="none"/>
      </w:tabs>
      <w:bidi w:val="0"/>
      <w:spacing w:lineRule="atLeast" w:line="0"/>
      <w:ind w:hanging="1440" w:start="720"/>
      <w:jc w:val="both"/>
    </w:pPr>
    <w:rPr>
      <w:rFonts w:ascii="Courier" w:hAnsi="Courier" w:eastAsia="Times New" w:cs="Arial"/>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spacing w:lineRule="atLeast" w:line="0"/>
      <w:ind w:hanging="2160" w:start="1440"/>
      <w:jc w:val="both"/>
    </w:pPr>
    <w:rPr>
      <w:rFonts w:ascii="Courier" w:hAnsi="Courier" w:eastAsia="Times New" w:cs="Arial"/>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spacing w:lineRule="atLeast" w:line="0"/>
      <w:ind w:hanging="3600" w:start="2160"/>
      <w:jc w:val="both"/>
    </w:pPr>
    <w:rPr>
      <w:rFonts w:ascii="Courier" w:hAnsi="Courier" w:eastAsia="Times New" w:cs="Arial"/>
      <w:color w:val="auto"/>
      <w:kern w:val="2"/>
      <w:sz w:val="24"/>
      <w:szCs w:val="24"/>
      <w:lang w:val="en-CA" w:eastAsia="zh-CN" w:bidi="hi-IN"/>
    </w:rPr>
  </w:style>
  <w:style w:type="paragraph" w:styleId="42">
    <w:name w:val="42"/>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Courier" w:hAnsi="Courier" w:eastAsia="Times New" w:cs="Arial"/>
      <w:color w:val="auto"/>
      <w:kern w:val="2"/>
      <w:sz w:val="24"/>
      <w:szCs w:val="24"/>
      <w:lang w:val="en-CA" w:eastAsia="zh-CN" w:bidi="hi-IN"/>
    </w:rPr>
  </w:style>
  <w:style w:type="paragraph" w:styleId="52">
    <w:name w:val="52"/>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6480" w:start="3600"/>
      <w:jc w:val="both"/>
    </w:pPr>
    <w:rPr>
      <w:rFonts w:ascii="Courier" w:hAnsi="Courier" w:eastAsia="Times New" w:cs="Arial"/>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Courier" w:hAnsi="Courier" w:eastAsia="Times New" w:cs="Arial"/>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Courier" w:hAnsi="Courier" w:eastAsia="Times New" w:cs="Arial"/>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Courier" w:hAnsi="Courier" w:eastAsia="Times New" w:cs="Arial"/>
      <w:color w:val="auto"/>
      <w:kern w:val="2"/>
      <w:sz w:val="24"/>
      <w:szCs w:val="24"/>
      <w:lang w:val="en-CA" w:eastAsia="zh-CN" w:bidi="hi-IN"/>
    </w:rPr>
  </w:style>
  <w:style w:type="paragraph" w:styleId="1Kathy">
    <w:name w:val="1Kathy"/>
    <w:qFormat/>
    <w:pPr>
      <w:widowControl w:val="false"/>
      <w:bidi w:val="0"/>
    </w:pPr>
    <w:rPr>
      <w:rFonts w:ascii="Courier" w:hAnsi="Courier" w:eastAsia="Times New" w:cs="Arial"/>
      <w:color w:val="auto"/>
      <w:kern w:val="2"/>
      <w:sz w:val="24"/>
      <w:szCs w:val="24"/>
      <w:lang w:val="en-CA" w:eastAsia="zh-CN" w:bidi="hi-IN"/>
    </w:rPr>
  </w:style>
  <w:style w:type="paragraph" w:styleId="2Kathy">
    <w:name w:val="2Kathy"/>
    <w:qFormat/>
    <w:pPr>
      <w:widowControl w:val="false"/>
      <w:bidi w:val="0"/>
      <w:spacing w:lineRule="atLeast" w:line="0"/>
      <w:ind w:start="720"/>
      <w:jc w:val="both"/>
    </w:pPr>
    <w:rPr>
      <w:rFonts w:ascii="Courier" w:hAnsi="Courier" w:eastAsia="Times New" w:cs="Arial"/>
      <w:color w:val="auto"/>
      <w:kern w:val="2"/>
      <w:sz w:val="24"/>
      <w:szCs w:val="24"/>
      <w:lang w:val="en-CA" w:eastAsia="zh-CN" w:bidi="hi-IN"/>
    </w:rPr>
  </w:style>
  <w:style w:type="paragraph" w:styleId="3Kathy">
    <w:name w:val="3Kathy"/>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4Kathy">
    <w:name w:val="4Kathy"/>
    <w:qFormat/>
    <w:pPr>
      <w:widowControl w:val="false"/>
      <w:bidi w:val="0"/>
      <w:spacing w:lineRule="atLeast" w:line="0"/>
      <w:ind w:start="2160"/>
      <w:jc w:val="both"/>
    </w:pPr>
    <w:rPr>
      <w:rFonts w:ascii="Courier" w:hAnsi="Courier" w:eastAsia="Times New" w:cs="Arial"/>
      <w:color w:val="auto"/>
      <w:kern w:val="2"/>
      <w:sz w:val="24"/>
      <w:szCs w:val="24"/>
      <w:lang w:val="en-CA" w:eastAsia="zh-CN" w:bidi="hi-IN"/>
    </w:rPr>
  </w:style>
  <w:style w:type="paragraph" w:styleId="5Kathy">
    <w:name w:val="5Kathy"/>
    <w:qFormat/>
    <w:pPr>
      <w:widowControl w:val="false"/>
      <w:bidi w:val="0"/>
      <w:spacing w:lineRule="atLeast" w:line="0"/>
      <w:ind w:start="2880"/>
      <w:jc w:val="both"/>
    </w:pPr>
    <w:rPr>
      <w:rFonts w:ascii="Courier" w:hAnsi="Courier" w:eastAsia="Times New" w:cs="Arial"/>
      <w:color w:val="auto"/>
      <w:kern w:val="2"/>
      <w:sz w:val="24"/>
      <w:szCs w:val="24"/>
      <w:lang w:val="en-CA" w:eastAsia="zh-CN" w:bidi="hi-IN"/>
    </w:rPr>
  </w:style>
  <w:style w:type="paragraph" w:styleId="6Kathy">
    <w:name w:val="6Kathy"/>
    <w:qFormat/>
    <w:pPr>
      <w:widowControl w:val="false"/>
      <w:bidi w:val="0"/>
      <w:spacing w:lineRule="atLeast" w:line="0"/>
      <w:ind w:start="3600"/>
      <w:jc w:val="both"/>
    </w:pPr>
    <w:rPr>
      <w:rFonts w:ascii="Courier" w:hAnsi="Courier" w:eastAsia="Times New" w:cs="Arial"/>
      <w:color w:val="auto"/>
      <w:kern w:val="2"/>
      <w:sz w:val="24"/>
      <w:szCs w:val="24"/>
      <w:lang w:val="en-CA" w:eastAsia="zh-CN" w:bidi="hi-IN"/>
    </w:rPr>
  </w:style>
  <w:style w:type="paragraph" w:styleId="7Kathy">
    <w:name w:val="7Kathy"/>
    <w:qFormat/>
    <w:pPr>
      <w:widowControl w:val="false"/>
      <w:bidi w:val="0"/>
      <w:spacing w:lineRule="atLeast" w:line="0"/>
      <w:ind w:start="4320"/>
      <w:jc w:val="both"/>
    </w:pPr>
    <w:rPr>
      <w:rFonts w:ascii="Courier" w:hAnsi="Courier" w:eastAsia="Times New" w:cs="Arial"/>
      <w:color w:val="auto"/>
      <w:kern w:val="2"/>
      <w:sz w:val="24"/>
      <w:szCs w:val="24"/>
      <w:lang w:val="en-CA" w:eastAsia="zh-CN" w:bidi="hi-IN"/>
    </w:rPr>
  </w:style>
  <w:style w:type="paragraph" w:styleId="8Kathy">
    <w:name w:val="8Kathy"/>
    <w:qFormat/>
    <w:pPr>
      <w:widowControl w:val="false"/>
      <w:bidi w:val="0"/>
      <w:spacing w:lineRule="atLeast" w:line="0"/>
      <w:ind w:start="5040"/>
      <w:jc w:val="both"/>
    </w:pPr>
    <w:rPr>
      <w:rFonts w:ascii="Courier" w:hAnsi="Courier" w:eastAsia="Times New" w:cs="Arial"/>
      <w:color w:val="auto"/>
      <w:kern w:val="2"/>
      <w:sz w:val="24"/>
      <w:szCs w:val="24"/>
      <w:lang w:val="en-CA" w:eastAsia="zh-CN" w:bidi="hi-IN"/>
    </w:rPr>
  </w:style>
  <w:style w:type="paragraph" w:styleId="1AutoList1">
    <w:name w:val="1AutoList1"/>
    <w:qFormat/>
    <w:pPr>
      <w:widowControl w:val="false"/>
      <w:tabs>
        <w:tab w:val="left" w:pos="720" w:leader="none"/>
      </w:tabs>
      <w:bidi w:val="0"/>
      <w:spacing w:lineRule="atLeast" w:line="0"/>
      <w:ind w:hanging="720" w:start="720"/>
      <w:jc w:val="both"/>
    </w:pPr>
    <w:rPr>
      <w:rFonts w:ascii="Courier" w:hAnsi="Courier" w:eastAsia="Times New" w:cs="Arial"/>
      <w:color w:val="auto"/>
      <w:kern w:val="2"/>
      <w:sz w:val="24"/>
      <w:szCs w:val="24"/>
      <w:lang w:val="en-CA" w:eastAsia="zh-CN" w:bidi="hi-IN"/>
    </w:rPr>
  </w:style>
  <w:style w:type="paragraph" w:styleId="2AutoList1">
    <w:name w:val="2AutoList1"/>
    <w:qFormat/>
    <w:pPr>
      <w:widowControl w:val="false"/>
      <w:tabs>
        <w:tab w:val="left" w:pos="720" w:leader="none"/>
        <w:tab w:val="left" w:pos="1440" w:leader="none"/>
      </w:tabs>
      <w:bidi w:val="0"/>
      <w:spacing w:lineRule="atLeast" w:line="0"/>
      <w:ind w:hanging="720" w:start="1440"/>
      <w:jc w:val="both"/>
    </w:pPr>
    <w:rPr>
      <w:rFonts w:ascii="Courier" w:hAnsi="Courier" w:eastAsia="Times New" w:cs="Arial"/>
      <w:color w:val="auto"/>
      <w:kern w:val="2"/>
      <w:sz w:val="24"/>
      <w:szCs w:val="24"/>
      <w:lang w:val="en-CA" w:eastAsia="zh-CN" w:bidi="hi-IN"/>
    </w:rPr>
  </w:style>
  <w:style w:type="paragraph" w:styleId="3AutoList1">
    <w:name w:val="3AutoList1"/>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4AutoList1">
    <w:name w:val="4AutoList1"/>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5AutoList1">
    <w:name w:val="5AutoList1"/>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6AutoList1">
    <w:name w:val="6AutoList1"/>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7AutoList1">
    <w:name w:val="7AutoList1"/>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8AutoList1">
    <w:name w:val="8AutoList1"/>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Courier" w:hAnsi="Courier" w:eastAsia="Times New" w:cs="Arial"/>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Courier" w:hAnsi="Courier" w:eastAsia="Times New" w:cs="Arial"/>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Courier" w:hAnsi="Courier" w:eastAsia="Times New" w:cs="Arial"/>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Courier" w:hAnsi="Courier" w:eastAsia="Times New" w:cs="Arial"/>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Courier" w:hAnsi="Courier" w:eastAsia="Times New" w:cs="Arial"/>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Courier" w:hAnsi="Courier" w:eastAsia="Times New" w:cs="Arial"/>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Courier" w:hAnsi="Courier" w:eastAsia="Times New" w:cs="Arial"/>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Courier" w:hAnsi="Courier" w:eastAsia="Times New" w:cs="Arial"/>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Courier" w:hAnsi="Courier" w:eastAsia="Times New" w:cs="Arial"/>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Courier" w:hAnsi="Courier" w:eastAsia="Times New" w:cs="Arial"/>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Courier" w:hAnsi="Courier" w:eastAsia="Times New" w:cs="Arial"/>
      <w:color w:val="auto"/>
      <w:kern w:val="2"/>
      <w:sz w:val="24"/>
      <w:szCs w:val="24"/>
      <w:lang w:val="en-CA" w:eastAsia="zh-CN" w:bidi="hi-IN"/>
    </w:rPr>
  </w:style>
  <w:style w:type="paragraph" w:styleId="4Document">
    <w:name w:val="4Document"/>
    <w:qFormat/>
    <w:pPr>
      <w:widowControl w:val="false"/>
      <w:bidi w:val="0"/>
    </w:pPr>
    <w:rPr>
      <w:rFonts w:ascii="Courier" w:hAnsi="Courier" w:eastAsia="Times New" w:cs="Arial"/>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Courier" w:hAnsi="Courier" w:eastAsia="Times New" w:cs="Arial"/>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Courier" w:hAnsi="Courier" w:eastAsia="Times New" w:cs="Arial"/>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Courier" w:hAnsi="Courier" w:eastAsia="Times New" w:cs="Arial"/>
      <w:color w:val="auto"/>
      <w:kern w:val="2"/>
      <w:sz w:val="24"/>
      <w:szCs w:val="24"/>
      <w:lang w:val="en-CA" w:eastAsia="zh-CN" w:bidi="hi-IN"/>
    </w:rPr>
  </w:style>
  <w:style w:type="paragraph" w:styleId="KMCLhdFull">
    <w:name w:val="KMC Lhd Full"/>
    <w:qFormat/>
    <w:pPr>
      <w:widowControl w:val="false"/>
      <w:bidi w:val="0"/>
    </w:pPr>
    <w:rPr>
      <w:rFonts w:ascii="Courier" w:hAnsi="Courier" w:eastAsia="Times New" w:cs="Arial"/>
      <w:color w:val="auto"/>
      <w:kern w:val="2"/>
      <w:sz w:val="24"/>
      <w:szCs w:val="24"/>
      <w:lang w:val="en-CA" w:eastAsia="zh-CN" w:bidi="hi-IN"/>
    </w:rPr>
  </w:style>
  <w:style w:type="paragraph" w:styleId="KMSLhdFull">
    <w:name w:val="KMS Lhd Full"/>
    <w:qFormat/>
    <w:pPr>
      <w:widowControl w:val="false"/>
      <w:bidi w:val="0"/>
    </w:pPr>
    <w:rPr>
      <w:rFonts w:ascii="Courier" w:hAnsi="Courier" w:eastAsia="Times New" w:cs="Arial"/>
      <w:color w:val="auto"/>
      <w:kern w:val="2"/>
      <w:sz w:val="24"/>
      <w:szCs w:val="24"/>
      <w:lang w:val="en-CA" w:eastAsia="zh-CN" w:bidi="hi-IN"/>
    </w:rPr>
  </w:style>
  <w:style w:type="paragraph" w:styleId="PGELhdFull">
    <w:name w:val="PGE Lhd Full"/>
    <w:qFormat/>
    <w:pPr>
      <w:widowControl w:val="false"/>
      <w:bidi w:val="0"/>
    </w:pPr>
    <w:rPr>
      <w:rFonts w:ascii="Courier" w:hAnsi="Courier" w:eastAsia="Times New" w:cs="Arial"/>
      <w:color w:val="auto"/>
      <w:kern w:val="2"/>
      <w:sz w:val="24"/>
      <w:szCs w:val="24"/>
      <w:lang w:val="en-CA" w:eastAsia="zh-CN" w:bidi="hi-IN"/>
    </w:rPr>
  </w:style>
  <w:style w:type="paragraph" w:styleId="EWHLhdFull">
    <w:name w:val="EWH Lhd Full"/>
    <w:qFormat/>
    <w:pPr>
      <w:widowControl w:val="false"/>
      <w:bidi w:val="0"/>
    </w:pPr>
    <w:rPr>
      <w:rFonts w:ascii="Courier" w:hAnsi="Courier" w:eastAsia="Times New" w:cs="Arial"/>
      <w:color w:val="auto"/>
      <w:kern w:val="2"/>
      <w:sz w:val="24"/>
      <w:szCs w:val="24"/>
      <w:lang w:val="en-CA" w:eastAsia="zh-CN" w:bidi="hi-IN"/>
    </w:rPr>
  </w:style>
  <w:style w:type="paragraph" w:styleId="KMSPersonal">
    <w:name w:val="KMS Personal"/>
    <w:qFormat/>
    <w:pPr>
      <w:widowControl w:val="false"/>
      <w:bidi w:val="0"/>
    </w:pPr>
    <w:rPr>
      <w:rFonts w:ascii="Courier" w:hAnsi="Courier" w:eastAsia="Times New" w:cs="Arial"/>
      <w:color w:val="auto"/>
      <w:kern w:val="2"/>
      <w:sz w:val="24"/>
      <w:szCs w:val="24"/>
      <w:lang w:val="en-CA" w:eastAsia="zh-CN" w:bidi="hi-IN"/>
    </w:rPr>
  </w:style>
  <w:style w:type="paragraph" w:styleId="DFJPersonal">
    <w:name w:val="DFJ Personal"/>
    <w:qFormat/>
    <w:pPr>
      <w:widowControl w:val="false"/>
      <w:bidi w:val="0"/>
    </w:pPr>
    <w:rPr>
      <w:rFonts w:ascii="Courier" w:hAnsi="Courier" w:eastAsia="Times New" w:cs="Arial"/>
      <w:color w:val="auto"/>
      <w:kern w:val="2"/>
      <w:sz w:val="24"/>
      <w:szCs w:val="24"/>
      <w:lang w:val="en-CA" w:eastAsia="zh-CN" w:bidi="hi-IN"/>
    </w:rPr>
  </w:style>
  <w:style w:type="paragraph" w:styleId="PGEPersonal">
    <w:name w:val="PGE Personal"/>
    <w:qFormat/>
    <w:pPr>
      <w:widowControl w:val="false"/>
      <w:bidi w:val="0"/>
    </w:pPr>
    <w:rPr>
      <w:rFonts w:ascii="Courier" w:hAnsi="Courier" w:eastAsia="Times New" w:cs="Arial"/>
      <w:color w:val="auto"/>
      <w:kern w:val="2"/>
      <w:sz w:val="24"/>
      <w:szCs w:val="24"/>
      <w:lang w:val="en-CA" w:eastAsia="zh-CN" w:bidi="hi-IN"/>
    </w:rPr>
  </w:style>
  <w:style w:type="paragraph" w:styleId="cips">
    <w:name w:val="cips"/>
    <w:qFormat/>
    <w:pPr>
      <w:widowControl w:val="false"/>
      <w:bidi w:val="0"/>
    </w:pPr>
    <w:rPr>
      <w:rFonts w:ascii="Courier" w:hAnsi="Courier" w:eastAsia="Times New" w:cs="Arial"/>
      <w:color w:val="auto"/>
      <w:kern w:val="2"/>
      <w:sz w:val="24"/>
      <w:szCs w:val="24"/>
      <w:lang w:val="en-CA" w:eastAsia="zh-CN" w:bidi="hi-IN"/>
    </w:rPr>
  </w:style>
  <w:style w:type="paragraph" w:styleId="DFJLhdFull">
    <w:name w:val="DFJ Lhd Full"/>
    <w:qFormat/>
    <w:pPr>
      <w:widowControl w:val="false"/>
      <w:bidi w:val="0"/>
    </w:pPr>
    <w:rPr>
      <w:rFonts w:ascii="Courier" w:hAnsi="Courier" w:eastAsia="Times New" w:cs="Arial"/>
      <w:color w:val="auto"/>
      <w:kern w:val="2"/>
      <w:sz w:val="24"/>
      <w:szCs w:val="24"/>
      <w:lang w:val="en-CA" w:eastAsia="zh-CN" w:bidi="hi-IN"/>
    </w:rPr>
  </w:style>
  <w:style w:type="paragraph" w:styleId="FirmLhdFul">
    <w:name w:val="Firm Lhd Ful"/>
    <w:qFormat/>
    <w:pPr>
      <w:widowControl w:val="false"/>
      <w:bidi w:val="0"/>
    </w:pPr>
    <w:rPr>
      <w:rFonts w:ascii="Courier" w:hAnsi="Courier" w:eastAsia="Times New" w:cs="Arial"/>
      <w:color w:val="auto"/>
      <w:kern w:val="2"/>
      <w:sz w:val="24"/>
      <w:szCs w:val="24"/>
      <w:lang w:val="en-CA" w:eastAsia="zh-CN" w:bidi="hi-IN"/>
    </w:rPr>
  </w:style>
  <w:style w:type="paragraph" w:styleId="EWHPersonal">
    <w:name w:val="EWH Personal"/>
    <w:qFormat/>
    <w:pPr>
      <w:widowControl w:val="false"/>
      <w:bidi w:val="0"/>
    </w:pPr>
    <w:rPr>
      <w:rFonts w:ascii="Courier" w:hAnsi="Courier" w:eastAsia="Times New" w:cs="Arial"/>
      <w:color w:val="auto"/>
      <w:kern w:val="2"/>
      <w:sz w:val="24"/>
      <w:szCs w:val="24"/>
      <w:lang w:val="en-CA" w:eastAsia="zh-CN" w:bidi="hi-IN"/>
    </w:rPr>
  </w:style>
  <w:style w:type="paragraph" w:styleId="KMCPersonal">
    <w:name w:val="KMC Personal"/>
    <w:qFormat/>
    <w:pPr>
      <w:widowControl w:val="false"/>
      <w:bidi w:val="0"/>
    </w:pPr>
    <w:rPr>
      <w:rFonts w:ascii="Courier" w:hAnsi="Courier" w:eastAsia="Times New" w:cs="Arial"/>
      <w:color w:val="auto"/>
      <w:kern w:val="2"/>
      <w:sz w:val="24"/>
      <w:szCs w:val="24"/>
      <w:lang w:val="en-CA" w:eastAsia="zh-CN" w:bidi="hi-IN"/>
    </w:rPr>
  </w:style>
  <w:style w:type="paragraph" w:styleId="KMCsLtrhd">
    <w:name w:val="KMC's Ltrhd"/>
    <w:qFormat/>
    <w:pPr>
      <w:widowControl w:val="false"/>
      <w:bidi w:val="0"/>
    </w:pPr>
    <w:rPr>
      <w:rFonts w:ascii="Courier" w:hAnsi="Courier" w:eastAsia="Times New" w:cs="Arial"/>
      <w:color w:val="auto"/>
      <w:kern w:val="2"/>
      <w:sz w:val="24"/>
      <w:szCs w:val="24"/>
      <w:lang w:val="en-CA" w:eastAsia="zh-CN" w:bidi="hi-IN"/>
    </w:rPr>
  </w:style>
  <w:style w:type="paragraph" w:styleId="KMSsLtrhd">
    <w:name w:val="KMS's Ltrhd"/>
    <w:qFormat/>
    <w:pPr>
      <w:widowControl w:val="false"/>
      <w:bidi w:val="0"/>
    </w:pPr>
    <w:rPr>
      <w:rFonts w:ascii="Courier" w:hAnsi="Courier" w:eastAsia="Times New" w:cs="Arial"/>
      <w:color w:val="auto"/>
      <w:kern w:val="2"/>
      <w:sz w:val="24"/>
      <w:szCs w:val="24"/>
      <w:lang w:val="en-CA" w:eastAsia="zh-CN" w:bidi="hi-IN"/>
    </w:rPr>
  </w:style>
  <w:style w:type="paragraph" w:styleId="EWHsLtrhd">
    <w:name w:val="EWH's Ltrhd"/>
    <w:qFormat/>
    <w:pPr>
      <w:widowControl w:val="false"/>
      <w:bidi w:val="0"/>
    </w:pPr>
    <w:rPr>
      <w:rFonts w:ascii="Courier" w:hAnsi="Courier" w:eastAsia="Times New" w:cs="Arial"/>
      <w:color w:val="auto"/>
      <w:kern w:val="2"/>
      <w:sz w:val="24"/>
      <w:szCs w:val="24"/>
      <w:lang w:val="en-CA" w:eastAsia="zh-CN" w:bidi="hi-IN"/>
    </w:rPr>
  </w:style>
  <w:style w:type="paragraph" w:styleId="DFJsLtrhd">
    <w:name w:val="DFJ's Ltrhd"/>
    <w:qFormat/>
    <w:pPr>
      <w:widowControl w:val="false"/>
      <w:bidi w:val="0"/>
    </w:pPr>
    <w:rPr>
      <w:rFonts w:ascii="Courier" w:hAnsi="Courier" w:eastAsia="Times New" w:cs="Arial"/>
      <w:color w:val="auto"/>
      <w:kern w:val="2"/>
      <w:sz w:val="24"/>
      <w:szCs w:val="24"/>
      <w:lang w:val="en-CA" w:eastAsia="zh-CN" w:bidi="hi-IN"/>
    </w:rPr>
  </w:style>
  <w:style w:type="paragraph" w:styleId="PGEsLtrhd">
    <w:name w:val="PGE's Ltrhd"/>
    <w:qFormat/>
    <w:pPr>
      <w:widowControl w:val="false"/>
      <w:bidi w:val="0"/>
    </w:pPr>
    <w:rPr>
      <w:rFonts w:ascii="Courier" w:hAnsi="Courier" w:eastAsia="Times New" w:cs="Arial"/>
      <w:color w:val="auto"/>
      <w:kern w:val="2"/>
      <w:sz w:val="24"/>
      <w:szCs w:val="24"/>
      <w:lang w:val="en-CA" w:eastAsia="zh-CN" w:bidi="hi-IN"/>
    </w:rPr>
  </w:style>
  <w:style w:type="paragraph" w:styleId="FirmLtrhd">
    <w:name w:val="Firm Ltrhd"/>
    <w:qFormat/>
    <w:pPr>
      <w:widowControl w:val="false"/>
      <w:bidi w:val="0"/>
    </w:pPr>
    <w:rPr>
      <w:rFonts w:ascii="Courier" w:hAnsi="Courier" w:eastAsia="Times New" w:cs="Arial"/>
      <w:color w:val="auto"/>
      <w:kern w:val="2"/>
      <w:sz w:val="24"/>
      <w:szCs w:val="24"/>
      <w:lang w:val="en-CA" w:eastAsia="zh-CN" w:bidi="hi-IN"/>
    </w:rPr>
  </w:style>
  <w:style w:type="paragraph" w:styleId="Pleading">
    <w:name w:val="Pleading"/>
    <w:qFormat/>
    <w:pPr>
      <w:widowControl w:val="false"/>
      <w:bidi w:val="0"/>
    </w:pPr>
    <w:rPr>
      <w:rFonts w:ascii="Courier" w:hAnsi="Courier" w:eastAsia="Times New" w:cs="Arial"/>
      <w:color w:val="auto"/>
      <w:kern w:val="2"/>
      <w:sz w:val="24"/>
      <w:szCs w:val="24"/>
      <w:lang w:val="en-CA" w:eastAsia="zh-CN" w:bidi="hi-IN"/>
    </w:rPr>
  </w:style>
  <w:style w:type="paragraph" w:styleId="TechInit">
    <w:name w:val="Tech Init"/>
    <w:qFormat/>
    <w:pPr>
      <w:widowControl w:val="false"/>
      <w:bidi w:val="0"/>
    </w:pPr>
    <w:rPr>
      <w:rFonts w:ascii="Courier" w:hAnsi="Courier" w:eastAsia="Times New" w:cs="Arial"/>
      <w:color w:val="auto"/>
      <w:kern w:val="2"/>
      <w:sz w:val="24"/>
      <w:szCs w:val="24"/>
      <w:lang w:val="en-CA" w:eastAsia="zh-CN" w:bidi="hi-IN"/>
    </w:rPr>
  </w:style>
  <w:style w:type="paragraph" w:styleId="8">
    <w:name w:val="[8]"/>
    <w:qFormat/>
    <w:pPr>
      <w:widowControl w:val="false"/>
      <w:tabs>
        <w:tab w:val="left" w:pos="720" w:leader="none"/>
      </w:tabs>
      <w:bidi w:val="0"/>
      <w:spacing w:lineRule="atLeast" w:line="0"/>
    </w:pPr>
    <w:rPr>
      <w:rFonts w:ascii="Courier" w:hAnsi="Courier" w:eastAsia="Times New" w:cs="Arial"/>
      <w:b/>
      <w:color w:val="auto"/>
      <w:kern w:val="2"/>
      <w:sz w:val="24"/>
      <w:szCs w:val="24"/>
      <w:lang w:val="en-CA" w:eastAsia="zh-CN" w:bidi="hi-IN"/>
    </w:rPr>
  </w:style>
  <w:style w:type="paragraph" w:styleId="7">
    <w:name w:val="[7]"/>
    <w:qFormat/>
    <w:pPr>
      <w:widowControl w:val="false"/>
      <w:bidi w:val="0"/>
      <w:spacing w:lineRule="atLeast" w:line="0"/>
    </w:pPr>
    <w:rPr>
      <w:rFonts w:ascii="Courier" w:hAnsi="Courier" w:eastAsia="Times New" w:cs="Arial"/>
      <w:b/>
      <w:color w:val="auto"/>
      <w:kern w:val="2"/>
      <w:sz w:val="24"/>
      <w:szCs w:val="24"/>
      <w:lang w:val="en-CA" w:eastAsia="zh-CN" w:bidi="hi-IN"/>
    </w:rPr>
  </w:style>
  <w:style w:type="paragraph" w:styleId="6">
    <w:name w:val="[6]"/>
    <w:qFormat/>
    <w:pPr>
      <w:widowControl w:val="false"/>
      <w:bidi w:val="0"/>
      <w:spacing w:lineRule="atLeast" w:line="0"/>
    </w:pPr>
    <w:rPr>
      <w:rFonts w:ascii="Courier" w:hAnsi="Courier" w:eastAsia="Times New" w:cs="Arial"/>
      <w:b/>
      <w:color w:val="auto"/>
      <w:kern w:val="2"/>
      <w:sz w:val="24"/>
      <w:szCs w:val="24"/>
      <w:lang w:val="en-CA" w:eastAsia="zh-CN" w:bidi="hi-IN"/>
    </w:rPr>
  </w:style>
  <w:style w:type="paragraph" w:styleId="5">
    <w:name w:val="[5]"/>
    <w:qFormat/>
    <w:pPr>
      <w:widowControl w:val="false"/>
      <w:bidi w:val="0"/>
      <w:spacing w:lineRule="atLeast" w:line="0"/>
    </w:pPr>
    <w:rPr>
      <w:rFonts w:ascii="Courier" w:hAnsi="Courier" w:eastAsia="Times New" w:cs="Arial"/>
      <w:b/>
      <w:color w:val="auto"/>
      <w:kern w:val="2"/>
      <w:sz w:val="24"/>
      <w:szCs w:val="24"/>
      <w:lang w:val="en-CA" w:eastAsia="zh-CN" w:bidi="hi-IN"/>
    </w:rPr>
  </w:style>
  <w:style w:type="paragraph" w:styleId="1">
    <w:name w:val="[1]"/>
    <w:qFormat/>
    <w:pPr>
      <w:widowControl w:val="false"/>
      <w:bidi w:val="0"/>
      <w:spacing w:lineRule="atLeast" w:line="0"/>
    </w:pPr>
    <w:rPr>
      <w:rFonts w:ascii="Courier" w:hAnsi="Courier" w:eastAsia="Times New" w:cs="Arial"/>
      <w:b/>
      <w:color w:val="auto"/>
      <w:kern w:val="2"/>
      <w:sz w:val="24"/>
      <w:szCs w:val="24"/>
      <w:lang w:val="en-CA" w:eastAsia="zh-CN" w:bidi="hi-IN"/>
    </w:rPr>
  </w:style>
  <w:style w:type="paragraph" w:styleId="2">
    <w:name w:val="[2]"/>
    <w:qFormat/>
    <w:pPr>
      <w:widowControl w:val="false"/>
      <w:bidi w:val="0"/>
      <w:spacing w:lineRule="atLeast" w:line="0"/>
    </w:pPr>
    <w:rPr>
      <w:rFonts w:ascii="Courier" w:hAnsi="Courier" w:eastAsia="Times New" w:cs="Arial"/>
      <w:b/>
      <w:color w:val="auto"/>
      <w:kern w:val="2"/>
      <w:sz w:val="24"/>
      <w:szCs w:val="24"/>
      <w:lang w:val="en-CA" w:eastAsia="zh-CN" w:bidi="hi-IN"/>
    </w:rPr>
  </w:style>
  <w:style w:type="paragraph" w:styleId="4">
    <w:name w:val="[4]"/>
    <w:qFormat/>
    <w:pPr>
      <w:widowControl w:val="false"/>
      <w:bidi w:val="0"/>
      <w:spacing w:lineRule="atLeast" w:line="0"/>
    </w:pPr>
    <w:rPr>
      <w:rFonts w:ascii="Courier" w:hAnsi="Courier" w:eastAsia="Times New" w:cs="Arial"/>
      <w:b/>
      <w:color w:val="auto"/>
      <w:kern w:val="2"/>
      <w:sz w:val="24"/>
      <w:szCs w:val="24"/>
      <w:lang w:val="en-CA" w:eastAsia="zh-CN" w:bidi="hi-IN"/>
    </w:rPr>
  </w:style>
  <w:style w:type="paragraph" w:styleId="3">
    <w:name w:val="[3]"/>
    <w:qFormat/>
    <w:pPr>
      <w:widowControl w:val="false"/>
      <w:bidi w:val="0"/>
      <w:spacing w:lineRule="atLeast" w:line="0"/>
    </w:pPr>
    <w:rPr>
      <w:rFonts w:ascii="Courier" w:hAnsi="Courier" w:eastAsia="Times New" w:cs="Arial"/>
      <w:b/>
      <w:color w:val="auto"/>
      <w:kern w:val="2"/>
      <w:sz w:val="24"/>
      <w:szCs w:val="24"/>
      <w:lang w:val="en-CA" w:eastAsia="zh-CN" w:bidi="hi-IN"/>
    </w:rPr>
  </w:style>
  <w:style w:type="paragraph" w:styleId="FootnoteText">
    <w:name w:val="footnote text"/>
    <w:basedOn w:val="Normal"/>
    <w:pPr/>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footnotes" Target="footnotes.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