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June 04,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CIF Holdings,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>Articles OrigRstAmd:</w:t>
              <w:br/>
              <w:t>Bylaws(D)OrigRstAmd: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1612-CIFH</w:t>
              <w:br/>
              <w:t>Delaware</w:t>
              <w:br/>
              <w:t>EBS</w:t>
              <w:br/>
              <w:t>NONE</w:t>
              <w:br/>
              <w:t>05/29/2001</w:t>
              <w:br/>
              <w:t>05/08/2001</w:t>
              <w:br/>
              <w:t>RHill</w:t>
              <w:br/>
              <w:t>Cert. of Formation O-05/08/2001</w:t>
              <w:br/>
              <w:t>LLC Agmt. O-05/09/2001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Texas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09, 2001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Operating company for meet me rooms.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3389597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08,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05/08/01 -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Sole Member:  Enron Broadband Services, Inc. - 100%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05/09/2001:  Limited Liability Company Agreement entered into: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-Member Managed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164</Words>
  <Characters>1151</Characters>
  <CharactersWithSpaces>938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2001-06-04T14:41:00Z</dcterms:created>
  <dc:creator>Steven D. Gullion</dc:creator>
  <dc:description/>
  <dc:language>en-US</dc:language>
  <cp:lastModifiedBy/>
  <cp:lastPrinted>2001-06-04T14:40:00Z</cp:lastPrinted>
  <dcterms:modified xsi:type="dcterms:W3CDTF">2001-06-04T14:41:00Z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