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CONFIDENTIAL</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BUSINESS PLAN FOR </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BUSINESS CONSULTANTS FRANCHISE (BCF)</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 xml:space="preserve">by </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DAVID LAUFER</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5147 Corbina Way</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Oxnard, California 93035</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Telephone: 805-985-4028</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Facsimile: 805-984-2069</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color w:val="000000"/>
        </w:rPr>
      </w:pPr>
      <w:r>
        <w:rPr>
          <w:rFonts w:eastAsia="Times New Roman" w:cs="Times New Roman" w:ascii="Times New Roman" w:hAnsi="Times New Roman"/>
          <w:b/>
          <w:bCs/>
          <w:color w:val="000000"/>
        </w:rPr>
        <w:t>e-mail: naldl@msn.com</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Description of the Business</w:t>
      </w:r>
      <w:r>
        <w:rPr>
          <w:b w:val="false"/>
          <w:bCs w:val="false"/>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BCF is a multi-disciplinary consulting company selling franchises to qualified consultants with expertise in accounting, acquisitions, advertising, banking, business management, computers, dispute resolution, emerging technologies, engineering, finance, franchising, genetics,  industrial psychology, intellectual property, marketing, mediation, mergers, real estate, reorganization, strategic planning and succession planning (“Consultants”).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The Market.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The market for Consultants based on the Encyclopedia of Associations and the Federal Statistical Abstract (1999) is about three million providers with taxable income of $200+ billion.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Regulations.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There are no regulations governing Consultants per se.  However, the common law duty to meet consultants’ practice standards will apply to the franchisee.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Franchise Regulations.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The regulation of franchise sales, renewals and terminations on the federal and state levels provides the regulatory framework for the enterprise that excludes other forms of state and federal regulations.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Franchise Model.</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The integrated franchise firm will provide an independent source of consulting services to businesses utilizing latest internet commerce software models.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Franchisee Selection and Training.</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The franchise management team will select, train, assist, coordinate and implement a national service model for BCF to promote enterprise success, good will and quality assurance.  The investment made by each franchisee and the standards set out in each franchise contract will reinforce a commitment to excellent service and client good will.</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Initial and Renewal Franchise Fees.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Each franchisee will pay an initial franchisee fee of $10,000 for a five year contract.  Each franchise contract will be for an initial term of five (5) years.  It will be renewable on the terms being offered at the time of renewal if the franchisee is in good standing and pays the renewal fee.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Advertising Fees.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Each franchisee will pay a monthly advertising fee of $450.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Royalty Fees.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Each franchisee will pay a minimum monthly royalty of $350.</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Best Practice Guides.</w:t>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Each franchise will purchase best practice guides and materials from the franchisor at competitive market prices.  BCF will develop Best Practice Guides implementing its marketing plan.</w:t>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Franchise Sales.</w:t>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Franchise sales for the first year of operation will focus on Los Angeles, Orange, San Diego, San Francisco, Santa Barbara and Ventura counties.</w:t>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 xml:space="preserve">These markets offer opportunities for sales to individual franchises by consulting specialty and by geographic area.  With about 64 cities in Los Angeles County and focusing initial sales to accountants, advisors, brokers, consultants, mediators and lawyers, the Los Angles Market will produce sales of about 300 franchises.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 xml:space="preserve"> </w:t>
      </w:r>
      <w:r>
        <w:rPr/>
        <w:t>Franchise Revenue and Profit Margin.</w:t>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Based on sales of 2,000 franchises the revenue stream is:  2,000 franchises sales @ $10,000 = $20,000,000; Royalties and Advertising revenue @ $800/month/franchise is $9,600/year.</w:t>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Annual royalties and advertising revenue based on 2,000 operating franchises is $19,200,000; 5 year revenue based on 2,000 operating franchises is $116,000,000.</w:t>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Net profit margins in years 3 - 5 are expected to be in the range of 18 - 25%.</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Heading1"/>
        <w:tabs>
          <w:tab w:val="clear" w:pos="720"/>
          <w:tab w:val="left" w:pos="0" w:leader="none"/>
        </w:tabs>
        <w:ind w:hanging="720" w:start="0"/>
        <w:rPr/>
      </w:pPr>
      <w:r>
        <w:rPr/>
        <w:t>Funding the Enterprise.</w:t>
      </w:r>
    </w:p>
    <w:p>
      <w:pPr>
        <w:sectPr>
          <w:footerReference w:type="default" r:id="rId2"/>
          <w:footerReference w:type="first" r:id="rId3"/>
          <w:type w:val="nextPage"/>
          <w:pgSz w:w="12240" w:h="15840"/>
          <w:pgMar w:left="1440" w:right="1440" w:gutter="0" w:header="0" w:top="1440" w:footer="432" w:bottom="1008"/>
          <w:pgNumType w:fmt="decimal"/>
          <w:formProt w:val="false"/>
          <w:titlePg/>
          <w:textDirection w:val="lrTb"/>
        </w:sect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b/>
        <w:t>Three million dollars is needed for initial operations (“IO”).  This IO fund will be used for a staff of 6 people, marketing materials, office space and equipment.   An IPO may be a funding option after the franchise model is successfully implemented in one local market.</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DAVID LAUFER</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5147 Corbina Way</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Oxnard, California 93035</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Telephone: 805-985-4028</w:t>
      </w:r>
    </w:p>
    <w:p>
      <w:pPr>
        <w:pStyle w:val="Style0"/>
        <w:tabs>
          <w:tab w:val="clear" w:pos="720"/>
          <w:tab w:val="left" w:pos="1584"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Facsimile: 805-984-2069</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t>e-mail: naldl@msn.com</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eastAsia="Times New Roman" w:cs="Times New Roman"/>
          <w:b/>
          <w:bCs/>
          <w:color w:val="000000"/>
        </w:rPr>
      </w:pPr>
      <w:r>
        <w:rPr>
          <w:rFonts w:eastAsia="Times New Roman" w:cs="Times New Roman" w:ascii="Times New Roman" w:hAnsi="Times New Roman"/>
          <w:b/>
          <w:bCs/>
          <w:color w:val="000000"/>
        </w:rPr>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keepNext w:val="tru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eastAsia="Times New Roman" w:cs="Times New Roman" w:ascii="Times New Roman" w:hAnsi="Times New Roman"/>
          <w:color w:val="000000"/>
        </w:rPr>
        <w:t xml:space="preserve">BA, JD.  Managing Partner of Kindel &amp; Anderson, LLP (4 offices, 100+ lawyers) and partner in charge of Arter &amp; Hadden </w:t>
      </w:r>
      <w:r>
        <w:rPr>
          <w:rFonts w:eastAsia="Times New Roman" w:cs="Times New Roman" w:ascii="Times New Roman" w:hAnsi="Times New Roman"/>
          <w:color w:val="000000"/>
          <w:sz w:val="18"/>
          <w:szCs w:val="18"/>
        </w:rPr>
        <w:t>LLP</w:t>
      </w:r>
      <w:r>
        <w:rPr>
          <w:rFonts w:eastAsia="Times New Roman" w:cs="Times New Roman" w:ascii="Times New Roman" w:hAnsi="Times New Roman"/>
          <w:color w:val="000000"/>
        </w:rPr>
        <w:t xml:space="preserve"> (Woodland Hills Office) responsible for performance of all lawyers and staff.</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 xml:space="preserve">Regional counsel for Century 21 Real Estate Franchise Corporation and negotiated sale of Region 1 and V to HFS (Cendant) for over $70 million.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Regional Counsel for U-Haul Co., responsible for all regulatory and legal issues in Southern California.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Counsel to national and international businesses responsible for advertising, distribution, intellectual property, marketing, product development and sales.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Lead lawyer in acquisitions, advertising, antitrust, franchise , insurance, trademark, partnership, sales and unfair trade practices litigation.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Lead lawyer responsible for responding to FTC, Attorney General and District Attorney investigations and litigation involving claims of false advertising and unfair trade practices.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Regional lawyer responsible for implementing state and federal legislative programs for moving company, petroleum marketers and franchisors.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Chairman of ABA Subcommittee on Franchising, Business Opportunities and Licensing.</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Adjunct Professor of Franchise law, Loyola Marymount School of Law.  Author and lecturer on franchise, marketing and business law.</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Certificate of completion from the National Institute for Advanced Trial Advocacy held at UC Berkeley.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Certificates of completion in Mediation and Advanced Mediation of the Litigated Case from Pepperdine School of Law.</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t>Member of Board of Directors, Audit  and Compensation Committees of public company with annual sales of $90+ million.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eastAsia="Times New Roman" w:cs="Times New Roman"/>
          <w:color w:val="000000"/>
        </w:rPr>
      </w:pPr>
      <w:r>
        <w:rPr>
          <w:rFonts w:eastAsia="Times New Roman" w:cs="Times New Roman" w:ascii="Times New Roman" w:hAnsi="Times New Roman"/>
          <w:color w:val="000000"/>
        </w:rPr>
      </w:r>
    </w:p>
    <w:sectPr>
      <w:footerReference w:type="default" r:id="rId4"/>
      <w:footerReference w:type="first" r:id="rId5"/>
      <w:type w:val="nextPage"/>
      <w:pgSz w:w="12240" w:h="15840"/>
      <w:pgMar w:left="1440" w:right="1440" w:gutter="0" w:header="0" w:top="1440" w:footer="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078"/>
      <w:gridCol w:w="3687"/>
      <w:gridCol w:w="2714"/>
    </w:tblGrid>
    <w:tr>
      <w:trPr/>
      <w:tc>
        <w:tcPr>
          <w:tcW w:w="3078" w:type="dxa"/>
          <w:tcBorders/>
        </w:tcPr>
        <w:p>
          <w:pPr>
            <w:pStyle w:val="FooterTxt"/>
            <w:rPr/>
          </w:pPr>
          <w:r>
            <w:rPr/>
            <w:fldChar w:fldCharType="begin"/>
          </w:r>
          <w:r>
            <w:rPr/>
            <w:instrText xml:space="preserve"> DOCPROPERTY "DocNumber"</w:instrText>
          </w:r>
          <w:r>
            <w:rPr/>
            <w:fldChar w:fldCharType="separate"/>
          </w:r>
          <w:r>
            <w:rPr/>
            <w:t>50407</w:t>
          </w:r>
          <w:r>
            <w:rPr/>
            <w:fldChar w:fldCharType="end"/>
          </w:r>
          <w:r>
            <w:rPr/>
            <w:t>.</w:t>
          </w:r>
          <w:r>
            <w:rPr/>
            <w:fldChar w:fldCharType="begin"/>
          </w:r>
          <w:r>
            <w:rPr/>
            <w:instrText xml:space="preserve"> DOCPROPERTY "DocVersion"</w:instrText>
          </w:r>
          <w:r>
            <w:rPr/>
            <w:fldChar w:fldCharType="separate"/>
          </w:r>
          <w:r>
            <w:rPr/>
            <w:t>3</w:t>
          </w:r>
          <w:r>
            <w:rPr/>
            <w:fldChar w:fldCharType="end"/>
          </w:r>
        </w:p>
        <w:p>
          <w:pPr>
            <w:pStyle w:val="FooterTxt"/>
            <w:rPr/>
          </w:pPr>
          <w:r>
            <w:rPr/>
            <w:fldChar w:fldCharType="begin"/>
          </w:r>
          <w:r>
            <w:rPr/>
            <w:instrText xml:space="preserve"> DOCPROPERTY "Client"</w:instrText>
          </w:r>
          <w:r>
            <w:rPr/>
            <w:fldChar w:fldCharType="separate"/>
          </w:r>
          <w:r>
            <w:rPr/>
            <w:t>00000</w:t>
          </w:r>
          <w:r>
            <w:rPr/>
            <w:fldChar w:fldCharType="end"/>
          </w:r>
          <w:r>
            <w:rPr/>
            <w:t>/</w:t>
          </w:r>
          <w:r>
            <w:rPr/>
            <w:fldChar w:fldCharType="begin"/>
          </w:r>
          <w:r>
            <w:rPr/>
            <w:instrText xml:space="preserve"> DOCPROPERTY "Matter"</w:instrText>
          </w:r>
          <w:r>
            <w:rPr/>
            <w:fldChar w:fldCharType="separate"/>
          </w:r>
          <w:r>
            <w:rPr/>
            <w:t>00850</w:t>
          </w:r>
          <w:r>
            <w:rPr/>
            <w:fldChar w:fldCharType="end"/>
          </w:r>
        </w:p>
        <w:p>
          <w:pPr>
            <w:pStyle w:val="FooterTxt"/>
            <w:rPr/>
          </w:pPr>
          <w:r>
            <w:rPr/>
          </w:r>
        </w:p>
      </w:tc>
      <w:tc>
        <w:tcPr>
          <w:tcW w:w="3687" w:type="dxa"/>
          <w:tcBorders/>
        </w:tcPr>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p>
      </w:tc>
      <w:tc>
        <w:tcPr>
          <w:tcW w:w="2714" w:type="dxa"/>
          <w:tcBorders/>
        </w:tcPr>
        <w:p>
          <w:pPr>
            <w:pStyle w:val="Normal"/>
            <w:jc w:val="end"/>
            <w:rPr>
              <w:color w:val="000000"/>
              <w:sz w:val="16"/>
              <w:szCs w:val="16"/>
            </w:rPr>
          </w:pPr>
          <w:r>
            <w:rPr>
              <w:color w:val="000000"/>
              <w:sz w:val="16"/>
              <w:szCs w:val="16"/>
            </w:rPr>
            <w:t xml:space="preserve">Confidential Copyright David Laufer </w:t>
            <w:br/>
            <w:t>July 1, 2000</w:t>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5" w:type="dxa"/>
      <w:jc w:val="start"/>
      <w:tblInd w:w="0" w:type="dxa"/>
      <w:tblLayout w:type="fixed"/>
      <w:tblCellMar>
        <w:top w:w="0" w:type="dxa"/>
        <w:start w:w="108" w:type="dxa"/>
        <w:bottom w:w="0" w:type="dxa"/>
        <w:end w:w="108" w:type="dxa"/>
      </w:tblCellMar>
    </w:tblPr>
    <w:tblGrid>
      <w:gridCol w:w="2268"/>
      <w:gridCol w:w="4500"/>
      <w:gridCol w:w="2707"/>
    </w:tblGrid>
    <w:tr>
      <w:trPr/>
      <w:tc>
        <w:tcPr>
          <w:tcW w:w="2268" w:type="dxa"/>
          <w:tcBorders/>
        </w:tcPr>
        <w:p>
          <w:pPr>
            <w:pStyle w:val="FooterTxt"/>
            <w:rPr/>
          </w:pPr>
          <w:r>
            <w:rPr/>
            <w:fldChar w:fldCharType="begin"/>
          </w:r>
          <w:r>
            <w:rPr/>
            <w:instrText xml:space="preserve"> DOCPROPERTY "DocNumber"</w:instrText>
          </w:r>
          <w:r>
            <w:rPr/>
            <w:fldChar w:fldCharType="separate"/>
          </w:r>
          <w:r>
            <w:rPr/>
            <w:t>50407</w:t>
          </w:r>
          <w:r>
            <w:rPr/>
            <w:fldChar w:fldCharType="end"/>
          </w:r>
          <w:r>
            <w:rPr/>
            <w:t>.</w:t>
          </w:r>
          <w:r>
            <w:rPr/>
            <w:fldChar w:fldCharType="begin"/>
          </w:r>
          <w:r>
            <w:rPr/>
            <w:instrText xml:space="preserve"> DOCPROPERTY "DocVersion"</w:instrText>
          </w:r>
          <w:r>
            <w:rPr/>
            <w:fldChar w:fldCharType="separate"/>
          </w:r>
          <w:r>
            <w:rPr/>
            <w:t>3</w:t>
          </w:r>
          <w:r>
            <w:rPr/>
            <w:fldChar w:fldCharType="end"/>
          </w:r>
        </w:p>
        <w:p>
          <w:pPr>
            <w:pStyle w:val="FooterTxt"/>
            <w:rPr/>
          </w:pPr>
          <w:r>
            <w:rPr/>
            <w:fldChar w:fldCharType="begin"/>
          </w:r>
          <w:r>
            <w:rPr/>
            <w:instrText xml:space="preserve"> DOCPROPERTY "Client"</w:instrText>
          </w:r>
          <w:r>
            <w:rPr/>
            <w:fldChar w:fldCharType="separate"/>
          </w:r>
          <w:r>
            <w:rPr/>
            <w:t>00000</w:t>
          </w:r>
          <w:r>
            <w:rPr/>
            <w:fldChar w:fldCharType="end"/>
          </w:r>
          <w:r>
            <w:rPr/>
            <w:t>/</w:t>
          </w:r>
          <w:r>
            <w:rPr/>
            <w:fldChar w:fldCharType="begin"/>
          </w:r>
          <w:r>
            <w:rPr/>
            <w:instrText xml:space="preserve"> DOCPROPERTY "Matter"</w:instrText>
          </w:r>
          <w:r>
            <w:rPr/>
            <w:fldChar w:fldCharType="separate"/>
          </w:r>
          <w:r>
            <w:rPr/>
            <w:t>00850</w:t>
          </w:r>
          <w:r>
            <w:rPr/>
            <w:fldChar w:fldCharType="end"/>
          </w:r>
          <w:r>
            <w:rPr>
              <w:color w:val="000000"/>
              <w:sz w:val="20"/>
              <w:szCs w:val="20"/>
            </w:rPr>
            <w:t>.</w:t>
          </w:r>
        </w:p>
      </w:tc>
      <w:tc>
        <w:tcPr>
          <w:tcW w:w="4500" w:type="dxa"/>
          <w:tcBorders/>
        </w:tcPr>
        <w:p>
          <w:pPr>
            <w:pStyle w:val="Normal"/>
            <w:snapToGrid w:val="false"/>
            <w:jc w:val="center"/>
            <w:rPr/>
          </w:pPr>
          <w:r>
            <w:rPr/>
          </w:r>
        </w:p>
      </w:tc>
      <w:tc>
        <w:tcPr>
          <w:tcW w:w="2707" w:type="dxa"/>
          <w:tcBorders/>
        </w:tcPr>
        <w:p>
          <w:pPr>
            <w:pStyle w:val="Normal"/>
            <w:jc w:val="end"/>
            <w:rPr>
              <w:color w:val="000000"/>
              <w:sz w:val="16"/>
              <w:szCs w:val="16"/>
            </w:rPr>
          </w:pPr>
          <w:r>
            <w:rPr>
              <w:color w:val="000000"/>
              <w:sz w:val="16"/>
              <w:szCs w:val="16"/>
            </w:rPr>
            <w:t xml:space="preserve">Confidential Copyright David Laufer </w:t>
            <w:br/>
            <w:t>July 1, 2000</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upperLetter"/>
      <w:lvlText w:val="%2"/>
      <w:lvlJc w:val="start"/>
      <w:pPr>
        <w:tabs>
          <w:tab w:val="num" w:pos="0"/>
        </w:tabs>
        <w:ind w:start="0" w:hanging="0"/>
      </w:pPr>
    </w:lvl>
    <w:lvl w:ilvl="2">
      <w:start w:val="1"/>
      <w:pStyle w:val="Heading3"/>
      <w:numFmt w:val="decimal"/>
      <w:lvlText w:val="%3"/>
      <w:lvlJc w:val="start"/>
      <w:pPr>
        <w:tabs>
          <w:tab w:val="num" w:pos="0"/>
        </w:tabs>
        <w:ind w:start="0" w:hanging="0"/>
      </w:pPr>
    </w:lvl>
    <w:lvl w:ilvl="3">
      <w:start w:val="1"/>
      <w:pStyle w:val="Heading4"/>
      <w:numFmt w:val="lowerLetter"/>
      <w:lvlText w:val="%4"/>
      <w:lvlJc w:val="start"/>
      <w:pPr>
        <w:tabs>
          <w:tab w:val="num" w:pos="0"/>
        </w:tabs>
        <w:ind w:start="0" w:hanging="0"/>
      </w:pPr>
    </w:lvl>
    <w:lvl w:ilvl="4">
      <w:start w:val="1"/>
      <w:pStyle w:val="Heading5"/>
      <w:numFmt w:val="decimal"/>
      <w:lvlText w:val="%5"/>
      <w:lvlJc w:val="start"/>
      <w:pPr>
        <w:tabs>
          <w:tab w:val="num" w:pos="0"/>
        </w:tabs>
        <w:ind w:start="0" w:hanging="0"/>
      </w:pPr>
    </w:lvl>
    <w:lvl w:ilvl="5">
      <w:start w:val="1"/>
      <w:pStyle w:val="Heading6"/>
      <w:numFmt w:val="lowerLetter"/>
      <w:lvlText w:val="%6"/>
      <w:lvlJc w:val="start"/>
      <w:pPr>
        <w:tabs>
          <w:tab w:val="num" w:pos="0"/>
        </w:tabs>
        <w:ind w:start="0" w:hanging="0"/>
      </w:pPr>
    </w:lvl>
    <w:lvl w:ilvl="6">
      <w:start w:val="1"/>
      <w:pStyle w:val="Heading7"/>
      <w:numFmt w:val="lowerRoman"/>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1"/>
      <w:pStyle w:val="Heading9"/>
      <w:numFmt w:val="lowerRoman"/>
      <w:lvlText w:val="%9"/>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Style0"/>
    <w:qFormat/>
    <w:pPr>
      <w:keepNext w:val="true"/>
      <w:keepLines/>
      <w:numPr>
        <w:ilvl w:val="0"/>
        <w:numId w:val="1"/>
      </w:numPr>
      <w:spacing w:before="0" w:after="240"/>
      <w:ind w:hanging="720" w:start="0" w:end="0"/>
      <w:outlineLvl w:val="0"/>
    </w:pPr>
    <w:rPr>
      <w:b/>
      <w:bCs/>
    </w:rPr>
  </w:style>
  <w:style w:type="paragraph" w:styleId="Heading2">
    <w:name w:val="heading 2"/>
    <w:basedOn w:val="Normal"/>
    <w:next w:val="Style0"/>
    <w:qFormat/>
    <w:pPr>
      <w:numPr>
        <w:ilvl w:val="1"/>
        <w:numId w:val="1"/>
      </w:numPr>
      <w:spacing w:before="0" w:after="240"/>
      <w:outlineLvl w:val="1"/>
    </w:pPr>
    <w:rPr>
      <w:b/>
      <w:bCs/>
    </w:rPr>
  </w:style>
  <w:style w:type="paragraph" w:styleId="Heading3">
    <w:name w:val="heading 3"/>
    <w:basedOn w:val="Normal"/>
    <w:next w:val="Style0"/>
    <w:qFormat/>
    <w:pPr>
      <w:numPr>
        <w:ilvl w:val="2"/>
        <w:numId w:val="1"/>
      </w:numPr>
      <w:spacing w:before="0" w:after="240"/>
      <w:ind w:firstLine="720" w:start="0" w:end="0"/>
      <w:outlineLvl w:val="2"/>
    </w:pPr>
    <w:rPr>
      <w:b/>
      <w:bCs/>
    </w:rPr>
  </w:style>
  <w:style w:type="paragraph" w:styleId="Heading4">
    <w:name w:val="heading 4"/>
    <w:basedOn w:val="Normal"/>
    <w:next w:val="Style0"/>
    <w:qFormat/>
    <w:pPr>
      <w:numPr>
        <w:ilvl w:val="3"/>
        <w:numId w:val="1"/>
      </w:numPr>
      <w:spacing w:before="0" w:after="240"/>
      <w:ind w:firstLine="1440" w:start="0" w:end="0"/>
      <w:outlineLvl w:val="3"/>
    </w:pPr>
    <w:rPr>
      <w:b/>
      <w:bCs/>
    </w:rPr>
  </w:style>
  <w:style w:type="paragraph" w:styleId="Heading5">
    <w:name w:val="heading 5"/>
    <w:basedOn w:val="Normal"/>
    <w:next w:val="Style0"/>
    <w:qFormat/>
    <w:pPr>
      <w:numPr>
        <w:ilvl w:val="4"/>
        <w:numId w:val="1"/>
      </w:numPr>
      <w:spacing w:before="0" w:after="240"/>
      <w:ind w:firstLine="2160" w:start="0" w:end="0"/>
      <w:outlineLvl w:val="4"/>
    </w:pPr>
    <w:rPr>
      <w:b/>
      <w:bCs/>
    </w:rPr>
  </w:style>
  <w:style w:type="paragraph" w:styleId="Heading6">
    <w:name w:val="heading 6"/>
    <w:basedOn w:val="Normal"/>
    <w:next w:val="Style0"/>
    <w:qFormat/>
    <w:pPr>
      <w:numPr>
        <w:ilvl w:val="5"/>
        <w:numId w:val="1"/>
      </w:numPr>
      <w:spacing w:before="0" w:after="240"/>
      <w:ind w:firstLine="2880" w:start="0" w:end="0"/>
      <w:outlineLvl w:val="5"/>
    </w:pPr>
    <w:rPr>
      <w:b/>
      <w:bCs/>
    </w:rPr>
  </w:style>
  <w:style w:type="paragraph" w:styleId="Heading7">
    <w:name w:val="heading 7"/>
    <w:basedOn w:val="Normal"/>
    <w:next w:val="Style0"/>
    <w:qFormat/>
    <w:pPr>
      <w:numPr>
        <w:ilvl w:val="6"/>
        <w:numId w:val="1"/>
      </w:numPr>
      <w:spacing w:before="0" w:after="240"/>
      <w:ind w:firstLine="3600" w:start="0" w:end="0"/>
      <w:outlineLvl w:val="6"/>
    </w:pPr>
    <w:rPr>
      <w:b/>
      <w:bCs/>
    </w:rPr>
  </w:style>
  <w:style w:type="paragraph" w:styleId="Heading8">
    <w:name w:val="heading 8"/>
    <w:basedOn w:val="Normal"/>
    <w:next w:val="Style0"/>
    <w:qFormat/>
    <w:pPr>
      <w:numPr>
        <w:ilvl w:val="7"/>
        <w:numId w:val="1"/>
      </w:numPr>
      <w:spacing w:before="0" w:after="240"/>
      <w:ind w:firstLine="4320" w:start="0" w:end="0"/>
      <w:outlineLvl w:val="7"/>
    </w:pPr>
    <w:rPr>
      <w:b/>
      <w:bCs/>
    </w:rPr>
  </w:style>
  <w:style w:type="paragraph" w:styleId="Heading9">
    <w:name w:val="heading 9"/>
    <w:basedOn w:val="Normal"/>
    <w:next w:val="Style0"/>
    <w:qFormat/>
    <w:pPr>
      <w:numPr>
        <w:ilvl w:val="8"/>
        <w:numId w:val="1"/>
      </w:numPr>
      <w:spacing w:before="0" w:after="240"/>
      <w:ind w:firstLine="5040" w:start="0" w:end="0"/>
      <w:outlineLvl w:val="8"/>
    </w:pPr>
    <w:rPr>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Bold">
    <w:name w:val="Bold"/>
    <w:basedOn w:val="DefaultParagraphFont"/>
    <w:qFormat/>
    <w:rPr>
      <w:b/>
      <w:bCs/>
    </w:rPr>
  </w:style>
  <w:style w:type="character" w:styleId="BoldUnd">
    <w:name w:val="BoldUnd"/>
    <w:basedOn w:val="DefaultParagraphFont"/>
    <w:qFormat/>
    <w:rPr>
      <w:b/>
      <w:bCs/>
      <w:u w:val="single"/>
    </w:rPr>
  </w:style>
  <w:style w:type="character" w:styleId="Underline">
    <w:name w:val="Underline"/>
    <w:basedOn w:val="DefaultParagraphFont"/>
    <w:qFormat/>
    <w:rPr>
      <w:u w:val="single"/>
    </w:rPr>
  </w:style>
  <w:style w:type="character" w:styleId="FieldMark">
    <w:name w:val="FieldMark"/>
    <w:basedOn w:val="DefaultParagraphFont"/>
    <w:qFormat/>
    <w:rPr>
      <w:b/>
      <w:bCs/>
      <w:color w:val="0000FF"/>
    </w:rPr>
  </w:style>
  <w:style w:type="character" w:styleId="OptionalParas">
    <w:name w:val="OptionalParas"/>
    <w:basedOn w:val="DefaultParagraphFont"/>
    <w:qFormat/>
    <w:rPr>
      <w:color w:val="0000FF"/>
    </w:rPr>
  </w:style>
  <w:style w:type="character" w:styleId="DocTitle">
    <w:name w:val="DocTitle"/>
    <w:basedOn w:val="DefaultParagraphFont"/>
    <w:qFormat/>
    <w:rPr>
      <w:b/>
      <w:b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Indent">
    <w:name w:val="Body Text Indent"/>
    <w:basedOn w:val="Normal"/>
    <w:pPr>
      <w:spacing w:before="0" w:after="240"/>
      <w:ind w:hanging="0" w:start="1440" w:end="0"/>
    </w:pPr>
    <w:rPr>
      <w:sz w:val="24"/>
      <w:szCs w:val="24"/>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szCs w:val="14"/>
      <w:lang w:val="en-CA"/>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z w:val="24"/>
      <w:szCs w:val="24"/>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z w:val="24"/>
      <w:szCs w:val="24"/>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jc w:val="start"/>
    </w:pPr>
    <w:rPr/>
  </w:style>
  <w:style w:type="paragraph" w:styleId="IndentOneInch">
    <w:name w:val="IndentOneInch"/>
    <w:basedOn w:val="Body"/>
    <w:qFormat/>
    <w:pPr>
      <w:ind w:firstLine="720" w:start="1440" w:end="0"/>
      <w:jc w:val="start"/>
    </w:pPr>
    <w:rPr/>
  </w:style>
  <w:style w:type="paragraph" w:styleId="IndentTwoInches">
    <w:name w:val="IndentTwoInches"/>
    <w:basedOn w:val="Body"/>
    <w:qFormat/>
    <w:pPr>
      <w:ind w:firstLine="720" w:start="2880" w:end="0"/>
      <w:jc w:val="start"/>
    </w:pPr>
    <w:rPr/>
  </w:style>
  <w:style w:type="paragraph" w:styleId="TOC1">
    <w:name w:val="toc 1"/>
    <w:basedOn w:val="Normal"/>
    <w:next w:val="Normal"/>
    <w:pPr>
      <w:tabs>
        <w:tab w:val="left" w:pos="720" w:leader="none"/>
        <w:tab w:val="right" w:pos="9360" w:leader="dot"/>
      </w:tabs>
      <w:spacing w:before="240" w:after="0"/>
      <w:ind w:hanging="720" w:start="720" w:end="1440"/>
    </w:pPr>
    <w:rPr>
      <w:lang w:val="en-CA"/>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lang w:val="en-CA"/>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lang w:val="en-CA"/>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lang w:val="en-CA"/>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Style0">
    <w:name w:val="Style0"/>
    <w:qFormat/>
    <w:pPr>
      <w:widowControl/>
      <w:bidi w:val="0"/>
    </w:pPr>
    <w:rPr>
      <w:rFonts w:ascii="Arial" w:hAnsi="Arial" w:eastAsia="Arial" w:cs="Arial"/>
      <w:color w:val="auto"/>
      <w:sz w:val="24"/>
      <w:szCs w:val="24"/>
      <w:lang w:val="en-US" w:eastAsia="zh-CN" w:bidi="hi-IN"/>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2000-07-17T23:28:00Z</dcterms:created>
  <dc:creator>Arter &amp; Hadden</dc:creator>
  <dc:description/>
  <dc:language>en-CA</dc:language>
  <cp:lastModifiedBy>Arter &amp; Hadden</cp:lastModifiedBy>
  <cp:lastPrinted>2000-07-17T18:57:00Z</cp:lastPrinted>
  <dcterms:modified xsi:type="dcterms:W3CDTF">2000-07-17T23:28:00Z</dcterms:modified>
  <cp:revision>2</cp:revision>
  <dc:subject/>
  <dc:title>INDEPENDENT BUSINESS ADVISORS FRANCHISE CORPORATION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00000</vt:lpwstr>
  </property>
  <property fmtid="{D5CDD505-2E9C-101B-9397-08002B2CF9AE}" pid="3" name="DocNumber">
    <vt:lpwstr>50407</vt:lpwstr>
  </property>
  <property fmtid="{D5CDD505-2E9C-101B-9397-08002B2CF9AE}" pid="4" name="DocVersion">
    <vt:lpwstr>3</vt:lpwstr>
  </property>
  <property fmtid="{D5CDD505-2E9C-101B-9397-08002B2CF9AE}" pid="5" name="Matter">
    <vt:lpwstr>00850</vt:lpwstr>
  </property>
</Properties>
</file>