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sz w:val="24"/>
        </w:rPr>
        <w:t xml:space="preserve">COMM-OPINION-ORDER, 81 FERC ¶61,218, </w:t>
      </w:r>
      <w:r>
        <w:rPr>
          <w:rFonts w:ascii="Times New Roman" w:hAnsi="Times New Roman"/>
          <w:b/>
          <w:sz w:val="24"/>
        </w:rPr>
        <w:t>Williams Natural Gas Company, Docket No. CP97-706-000</w:t>
      </w:r>
      <w:r>
        <w:rPr>
          <w:rFonts w:ascii="Times New Roman" w:hAnsi="Times New Roman"/>
          <w:sz w:val="24"/>
        </w:rPr>
        <w:t>, (Nov. 18,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b/>
          <w:sz w:val="24"/>
        </w:rPr>
      </w:pPr>
      <w:r>
        <w:rPr>
          <w:rFonts w:ascii="Times New Roman" w:hAnsi="Times New Roman"/>
          <w:b/>
          <w:sz w:val="24"/>
        </w:rPr>
        <w:t>Williams Natural Gas Company, Docket No. CP97-706-000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b/>
          <w:sz w:val="24"/>
        </w:rPr>
      </w:pPr>
      <w:r>
        <w:rPr>
          <w:rFonts w:ascii="Times New Roman" w:hAnsi="Times New Roman"/>
          <w:b/>
          <w:sz w:val="24"/>
        </w:rPr>
        <w:t>[61,928]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b/>
          <w:sz w:val="24"/>
        </w:rPr>
      </w:pPr>
      <w:r>
        <w:rPr>
          <w:rFonts w:ascii="Times New Roman" w:hAnsi="Times New Roman"/>
          <w:b/>
          <w:sz w:val="24"/>
        </w:rPr>
        <w:t>[¶61,218]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 xml:space="preserve"> </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b/>
          <w:sz w:val="24"/>
        </w:rPr>
      </w:pPr>
      <w:r>
        <w:rPr>
          <w:rFonts w:ascii="Times New Roman" w:hAnsi="Times New Roman"/>
          <w:b/>
          <w:sz w:val="24"/>
        </w:rPr>
        <w:t>Williams Natural Gas Company, Docket No. CP97-706-000</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sz w:val="24"/>
        </w:rPr>
      </w:pPr>
      <w:r>
        <w:rPr>
          <w:rFonts w:ascii="Times New Roman" w:hAnsi="Times New Roman"/>
          <w:sz w:val="24"/>
        </w:rPr>
        <w:t xml:space="preserve"> </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b/>
          <w:sz w:val="24"/>
        </w:rPr>
      </w:pPr>
      <w:r>
        <w:rPr>
          <w:rFonts w:ascii="Times New Roman" w:hAnsi="Times New Roman"/>
          <w:b/>
          <w:sz w:val="24"/>
        </w:rPr>
        <w:t>Order to Show Cause</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480"/>
        <w:jc w:val="start"/>
        <w:rPr>
          <w:rFonts w:ascii="Times New Roman" w:hAnsi="Times New Roman"/>
          <w:b/>
          <w:sz w:val="24"/>
        </w:rPr>
      </w:pPr>
      <w:r>
        <w:rPr>
          <w:rFonts w:ascii="Times New Roman" w:hAnsi="Times New Roman"/>
          <w:b/>
          <w:sz w:val="24"/>
        </w:rPr>
        <w:t>(Issued November 18,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480"/>
        <w:jc w:val="start"/>
        <w:rPr>
          <w:rFonts w:ascii="Times New Roman" w:hAnsi="Times New Roman"/>
          <w:sz w:val="24"/>
        </w:rPr>
      </w:pPr>
      <w:r>
        <w:rPr>
          <w:rFonts w:ascii="Times New Roman" w:hAnsi="Times New Roman"/>
          <w:sz w:val="24"/>
        </w:rPr>
        <w:t xml:space="preserve"> </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b/>
          <w:sz w:val="24"/>
        </w:rPr>
      </w:pPr>
      <w:r>
        <w:rPr>
          <w:rFonts w:ascii="Times New Roman" w:hAnsi="Times New Roman"/>
          <w:b/>
          <w:sz w:val="24"/>
        </w:rPr>
        <w:t>Before Commissioners: James J. Hoecker, Chairman; Vicky A. Bailey, and William L. Massey.</w:t>
      </w:r>
    </w:p>
    <w:p>
      <w:pPr>
        <w:pStyle w:val="Normal"/>
        <w:tabs>
          <w:tab w:val="clear" w:pos="720"/>
          <w:tab w:val="left" w:pos="-480" w:leader="none"/>
          <w:tab w:val="left" w:pos="0" w:leader="none"/>
          <w:tab w:val="left" w:pos="240" w:leader="none"/>
          <w:tab w:val="left" w:pos="960" w:leader="none"/>
          <w:tab w:val="left" w:pos="1680" w:leader="none"/>
          <w:tab w:val="left" w:pos="2400" w:leader="none"/>
          <w:tab w:val="left" w:pos="3120" w:leader="none"/>
          <w:tab w:val="left" w:pos="3840" w:leader="none"/>
          <w:tab w:val="left" w:pos="4560" w:leader="none"/>
          <w:tab w:val="left" w:pos="5280" w:leader="none"/>
          <w:tab w:val="left" w:pos="6000" w:leader="none"/>
          <w:tab w:val="left" w:pos="6720" w:leader="none"/>
          <w:tab w:val="left" w:pos="7440" w:leader="none"/>
          <w:tab w:val="left" w:pos="8160" w:leader="none"/>
        </w:tabs>
        <w:bidi w:val="0"/>
        <w:spacing w:lineRule="atLeast" w:line="0"/>
        <w:ind w:hanging="48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On August 22, 1997, in Docket No. CP97-706-000, Williams Natural Gas Company (WNG) filed a prior notice request pursuant to sections 157.205 (Prior notice procedure) and 157.212 (Change in delivery points) of the Commission’s Regulations. WNG seeks authorization to utilize for Natural Gas Act section 7 purposes certain facilities that it states were originally constructed pursuant to section 311 of the Natural Gas Policy Act (NGPA). WNG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[61,929]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states it will deliver gas through the facilities to Cotton Valley Compression, LLC (Cotton Valley), a company formed by a group of producers. Cotton Valley will receive the gas from WNG, and transport the gas through its facilities for delivery back to WNG for further interstate transportation. For the reasons discussed below, we will direct Cotton Valley to show cause why the Commission should not find (1) it has violated the NGPA and the NGA, and (2) that Cotton Valley should be required to seek Commission approval under section 7 of the NGA prior to engaging in further jurisdictional service. Additionally, WNG must show it has complied with section 284.102 of our regulations that requires the interstate pipeline to obtain appropriate certification that the “on behalf of entity” qualifies under the regulations prior to commencing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I. Background and Proposal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The WNG facilities at issue consist of a tap, orifice meter, and appurtenant facilities at a delivery point and receipt point in (sections 25 and 26, Township 29 North, Range 13 East, Washington County, Oklahoma). They were installed by WNG (1) to deliver gas from WNG’s 16-inch low pressure Hogshooter Interstate Pipeline (Hogshooter Line) to Cotton Valley pursuant to section 311 of the NGPA, and (2) to receive gas from Cotton Valley to </w:t>
      </w:r>
    </w:p>
    <w:p>
      <w:pPr>
        <w:sectPr>
          <w:type w:val="nextPage"/>
          <w:pgSz w:w="12240" w:h="15840"/>
          <w:pgMar w:left="1440" w:right="1440" w:gutter="0" w:header="0" w:top="1440" w:footer="0" w:bottom="1440"/>
          <w:pgNumType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480"/>
        <w:jc w:val="start"/>
        <w:rPr>
          <w:rFonts w:ascii="Times New Roman" w:hAnsi="Times New Roman"/>
          <w:sz w:val="24"/>
        </w:rPr>
      </w:pPr>
      <w:r>
        <w:rPr>
          <w:rFonts w:ascii="Times New Roman" w:hAnsi="Times New Roman"/>
          <w:sz w:val="24"/>
        </w:rPr>
        <w:t xml:space="preserve">WNG’s 16-inch high pressure Quapaw line. </w:t>
      </w:r>
      <w:r>
        <w:rPr>
          <w:rFonts w:ascii="Times New Roman" w:hAnsi="Times New Roman"/>
          <w:sz w:val="24"/>
          <w:vertAlign w:val="superscript"/>
        </w:rPr>
        <w:t>1</w:t>
      </w:r>
      <w:r>
        <w:rPr>
          <w:rFonts w:ascii="Times New Roman" w:hAnsi="Times New Roman"/>
          <w:sz w:val="24"/>
        </w:rPr>
        <w:t xml:space="preserve"> The Hogshooter Line functions as both a delivery lateral serving the cities of Bartlesville and Nowata, Oklahoma, and several smaller towns in the area, and a receipt lateral for several independent producers. The local production, combined with gas delivered from other WNG lines through the Cotton Valley Compressor Station </w:t>
      </w:r>
      <w:r>
        <w:rPr>
          <w:rFonts w:ascii="Times New Roman" w:hAnsi="Times New Roman"/>
          <w:sz w:val="24"/>
          <w:vertAlign w:val="superscript"/>
        </w:rPr>
        <w:t>2</w:t>
      </w:r>
      <w:r>
        <w:rPr>
          <w:rFonts w:ascii="Times New Roman" w:hAnsi="Times New Roman"/>
          <w:sz w:val="24"/>
        </w:rPr>
        <w:t xml:space="preserve"> when necessary, provides the supply for the delivery points on the 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According to WNG, its Cotton Valley Compressor Station is used primarily during the winter heating season to compress gas moving east into the Cotton Valley-Saginaw (Quapaw) line from two lines separate and apart from the Hogshooter line. </w:t>
      </w:r>
      <w:r>
        <w:rPr>
          <w:rFonts w:ascii="Times New Roman" w:hAnsi="Times New Roman"/>
          <w:sz w:val="24"/>
          <w:vertAlign w:val="superscript"/>
        </w:rPr>
        <w:t>3</w:t>
      </w:r>
      <w:r>
        <w:rPr>
          <w:rFonts w:ascii="Times New Roman" w:hAnsi="Times New Roman"/>
          <w:sz w:val="24"/>
        </w:rPr>
        <w:t xml:space="preserve"> In order to increase production levels and alleviate the problem of production shut-ins on the Hogshooter Line, states WNG, some of the producers in the area formed Cotton Valley. Cotton Valley takes delivery of gas from WNG’s Hogshooter Line and compresses the gas to a pressure sufficient to allow redelivery into WNG’s Quapaw Line downstream of WNG’s Cotton Valley Compressor Station, utilizing compression owned and operated by Cotton Valley. The producers utilizing the service pay for the cost of operating the compression and associated fuel.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WNG began delivering gas to Cotton Valley through the subject facilities on July 29, 1997. The initial delivery was 500 Dth. Cotton Valley estimates the peak day requirement will be approximately 6,000 Dth with an annual volume of 48,000 Dth. The cost to construct WNG’s metering facilities was approximately $53,025. Cotton Valley has entered into a firm transportation agreement with WNG to offset the cost.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II. Public Notice and Responsive Pleadings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vertAlign w:val="superscript"/>
        </w:rPr>
      </w:pPr>
      <w:r>
        <w:rPr>
          <w:rFonts w:ascii="Times New Roman" w:hAnsi="Times New Roman"/>
          <w:sz w:val="24"/>
        </w:rPr>
        <w:t xml:space="preserve">Notice of the prior notice request was published in the </w:t>
      </w:r>
      <w:r>
        <w:rPr>
          <w:rFonts w:ascii="Times New Roman" w:hAnsi="Times New Roman"/>
          <w:i/>
          <w:sz w:val="24"/>
        </w:rPr>
        <w:t>Federal Register</w:t>
      </w:r>
      <w:r>
        <w:rPr>
          <w:rFonts w:ascii="Times New Roman" w:hAnsi="Times New Roman"/>
          <w:sz w:val="24"/>
        </w:rPr>
        <w:t xml:space="preserve"> on September 12, 1997 (62 </w:t>
      </w:r>
      <w:r>
        <w:rPr>
          <w:rFonts w:ascii="Times New Roman" w:hAnsi="Times New Roman"/>
          <w:i/>
          <w:sz w:val="24"/>
        </w:rPr>
        <w:t>Fed.</w:t>
      </w:r>
      <w:r>
        <w:rPr>
          <w:rFonts w:ascii="Times New Roman" w:hAnsi="Times New Roman"/>
          <w:sz w:val="24"/>
        </w:rPr>
        <w:t xml:space="preserve"> </w:t>
      </w:r>
      <w:r>
        <w:rPr>
          <w:rFonts w:ascii="Times New Roman" w:hAnsi="Times New Roman"/>
          <w:i/>
          <w:sz w:val="24"/>
        </w:rPr>
        <w:t>Reg.</w:t>
      </w:r>
      <w:r>
        <w:rPr>
          <w:rFonts w:ascii="Times New Roman" w:hAnsi="Times New Roman"/>
          <w:sz w:val="24"/>
        </w:rPr>
        <w:t xml:space="preserve"> 48,076). Timely, unopposed motions to intervene were filed by Colorado Interstate Gas Company and Exoko LLC (Exoko), an independent producer and customer of WNG. Such motions are granted automatically by operation of rule 214 of the Commission’s Rules of Practice and Procedure. </w:t>
      </w:r>
      <w:r>
        <w:rPr>
          <w:rFonts w:ascii="Times New Roman" w:hAnsi="Times New Roman"/>
          <w:sz w:val="24"/>
          <w:vertAlign w:val="superscript"/>
        </w:rPr>
        <w:t>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The Commission staff and Exoko--an independent producer and customer of WNG--also filed separate protests in opposition to the prior notice request. </w:t>
      </w:r>
      <w:r>
        <w:rPr>
          <w:rFonts w:ascii="Times New Roman" w:hAnsi="Times New Roman"/>
          <w:sz w:val="24"/>
          <w:vertAlign w:val="superscript"/>
        </w:rPr>
        <w:t>5</w:t>
      </w:r>
      <w:r>
        <w:rPr>
          <w:rFonts w:ascii="Times New Roman" w:hAnsi="Times New Roman"/>
          <w:sz w:val="24"/>
        </w:rPr>
        <w:t xml:space="preserve"> The Commission staff expressed concern that the transportation of gas through the proposed facilities never qualified as “on behalf of” NGPA section 311 transportation. Exoko states that although WNG transports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[61,930]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gas from various sources in the states of Texas, Oklahoma, Kansas, Missouri, Colorado, and Wyoming, WNG has overwhelming market power in the involved area of northeast Oklahoma. It states that WNG’s prior notice request should be denied because it is using a third party--Cotton Valley (which is comprised of other producers)--to perform jurisdictional services WNG has declined to provide.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vertAlign w:val="superscript"/>
        </w:rPr>
      </w:pPr>
      <w:r>
        <w:rPr>
          <w:rFonts w:ascii="Times New Roman" w:hAnsi="Times New Roman"/>
          <w:sz w:val="24"/>
        </w:rPr>
        <w:t xml:space="preserve">In particular, Exoko states that instead of providing the needed capacity and/or compression on its Hogshooter system, WNG encouraged a few producers to form Cotton Valley, which would bear the cost of compression as a condition for exclusive transportation of its volumes on the Hogshooter system. Exoko contends that without notice to Exoko and others similarly situated, WNG entered into firm transportation arrangements with Cotton Valley and/or its members. Exoko states that it was excluded from membership in Cotton Valley. Exoko contends that if WNG had installed the compression instead of Cotton Valley, Exoko would have had the opportunity to participate </w:t>
      </w:r>
      <w:r>
        <w:rPr>
          <w:rFonts w:ascii="Times New Roman" w:hAnsi="Times New Roman"/>
          <w:i/>
          <w:sz w:val="24"/>
        </w:rPr>
        <w:t>via</w:t>
      </w:r>
      <w:r>
        <w:rPr>
          <w:rFonts w:ascii="Times New Roman" w:hAnsi="Times New Roman"/>
          <w:sz w:val="24"/>
        </w:rPr>
        <w:t xml:space="preserve"> an open season. </w:t>
      </w:r>
      <w:r>
        <w:rPr>
          <w:rFonts w:ascii="Times New Roman" w:hAnsi="Times New Roman"/>
          <w:sz w:val="24"/>
          <w:vertAlign w:val="superscript"/>
        </w:rPr>
        <w:t>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Exoko states that WNG has facilitated Cotton Valley’s efforts to own and operate compression to boost pressure between two jurisdictional pipeline facilities, which is an attempt to avoid FERC regulation because Cotton Valley’s facilities are in fact jurisdictional and, as such, must first be certificated as a natural gas company by this Commission and have a filed rate to provide open access services. Exoko contends that the attempt to rely on section 311 is erroneous, since Cotton Valley cannot qualify as an intrastate pipeline.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vertAlign w:val="superscript"/>
        </w:rPr>
      </w:pPr>
      <w:r>
        <w:rPr>
          <w:rFonts w:ascii="Times New Roman" w:hAnsi="Times New Roman"/>
          <w:sz w:val="24"/>
        </w:rPr>
        <w:t xml:space="preserve">Exoko asserts that although WNG (as an open access pipeline) is required to unbundle its services and not grant a preference to any class of customers, WNG has refused to allow producers like Exoko to transport via the Hogshooter Line because it has contracted, on a firm basis, with Cotton Valley which has, in effect, paid an unlawful access fee to WNG. Exoko states that WNG’s formation of Cotton Valley, its entering into firm transportation agreements with Cotton Valley and/or its members and its refusal to provide service to Exoko on the Hogshooter system violates section 4(b) of the NGA, section 284.9 of the regulations as promulgated by Order No. 636, </w:t>
      </w:r>
      <w:r>
        <w:rPr>
          <w:rFonts w:ascii="Times New Roman" w:hAnsi="Times New Roman"/>
          <w:sz w:val="24"/>
          <w:vertAlign w:val="superscript"/>
        </w:rPr>
        <w:t>7</w:t>
      </w:r>
      <w:r>
        <w:rPr>
          <w:rFonts w:ascii="Times New Roman" w:hAnsi="Times New Roman"/>
          <w:sz w:val="24"/>
        </w:rPr>
        <w:t xml:space="preserve"> and Commission precedent. </w:t>
      </w:r>
      <w:r>
        <w:rPr>
          <w:rFonts w:ascii="Times New Roman" w:hAnsi="Times New Roman"/>
          <w:sz w:val="24"/>
          <w:vertAlign w:val="superscript"/>
        </w:rPr>
        <w:t>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For the above reasons, Exoko requests that a technical conference be held to ascertain (1) the extent of WNG’s unlawful bundling, (2) illegal preferential treatment for Cotton Valley, (3) discrimination against Exoko, and (4) the attempt to evade FERC’s jurisdiction. Moreover, submits Exoko, there are other issues to be reviewed and resolved at a technical conference, such as: which facilities involved are owned by WNG and Cotton Valley (including the length, diameter and operating pressures of any pipeline and compressor horsepower added by Cotton Valley); how those operations will be coordinated with WNG’s operations of its Cotton Valley Compressor Station and related facilities; how the gas will flow from WNG’s Hogshooter Line through Cotton Valley’s facilities and back into WNG’s Quapaw lines; and whether Cotton Valley is a jurisdictional natural gas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III. Discussion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The jurisdictional issues raised by Exoko and staff hinge on whether Cotton Valley qualifies as a </w:t>
      </w:r>
      <w:r>
        <w:rPr>
          <w:rFonts w:ascii="Times New Roman" w:hAnsi="Times New Roman"/>
          <w:i/>
          <w:sz w:val="24"/>
        </w:rPr>
        <w:t>bona</w:t>
      </w:r>
      <w:r>
        <w:rPr>
          <w:rFonts w:ascii="Times New Roman" w:hAnsi="Times New Roman"/>
          <w:sz w:val="24"/>
        </w:rPr>
        <w:t xml:space="preserve"> </w:t>
      </w:r>
      <w:r>
        <w:rPr>
          <w:rFonts w:ascii="Times New Roman" w:hAnsi="Times New Roman"/>
          <w:i/>
          <w:sz w:val="24"/>
        </w:rPr>
        <w:t>fide</w:t>
      </w:r>
      <w:r>
        <w:rPr>
          <w:rFonts w:ascii="Times New Roman" w:hAnsi="Times New Roman"/>
          <w:sz w:val="24"/>
        </w:rPr>
        <w:t xml:space="preserve"> “on behalf of” entity and whether the facilities that WNG constructed, purportedly pursuant to section 311 of the Natural Gas Policy Act (NGPA) for the transportation of gas to Cotton Valley, are indeed valid NGPA section 311 facilities. Section 311(a)(2) of the NGPA and the Commission’s regulations thereunder permit an existing interstate pipeline to transport natural gas in interstate commerce on behalf of either an intrastate pipeline or local distribution company (LDC). Section 601(a)(2) of the NGPA provides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b/>
          <w:sz w:val="24"/>
        </w:rPr>
      </w:pPr>
      <w:r>
        <w:rPr>
          <w:rFonts w:ascii="Times New Roman" w:hAnsi="Times New Roman"/>
          <w:b/>
          <w:sz w:val="24"/>
        </w:rPr>
        <w:t>[61,931]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that for purposes of section 1(b) of the NGA: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480"/>
        <w:jc w:val="start"/>
        <w:rPr>
          <w:rFonts w:ascii="Times New Roman" w:hAnsi="Times New Roman"/>
          <w:sz w:val="24"/>
        </w:rPr>
      </w:pPr>
      <w:r>
        <w:rPr>
          <w:rFonts w:ascii="Times New Roman" w:hAnsi="Times New Roman"/>
          <w:sz w:val="24"/>
        </w:rPr>
        <w:t xml:space="preserve"> </w:t>
      </w:r>
    </w:p>
    <w:p>
      <w:pPr>
        <w:pStyle w:val="Normal"/>
        <w:tabs>
          <w:tab w:val="clear" w:pos="720"/>
          <w:tab w:val="left" w:pos="-240" w:leader="none"/>
          <w:tab w:val="left" w:pos="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s>
        <w:bidi w:val="0"/>
        <w:spacing w:lineRule="atLeast" w:line="0"/>
        <w:ind w:hanging="0" w:start="240"/>
        <w:jc w:val="start"/>
        <w:rPr>
          <w:rFonts w:ascii="Times New Roman" w:hAnsi="Times New Roman"/>
          <w:sz w:val="24"/>
        </w:rPr>
      </w:pPr>
      <w:r>
        <w:rPr>
          <w:rFonts w:ascii="Times New Roman" w:hAnsi="Times New Roman"/>
          <w:sz w:val="24"/>
        </w:rPr>
        <w:t>the provisions of such Act and the jurisdiction of the Commission under such Act shall not apply to any transportation in interstate commerce of natural gas if such transportation is . . . (ii) authorized by the Commission under [NGPA] section 311(a).</w:t>
      </w:r>
    </w:p>
    <w:p>
      <w:pPr>
        <w:pStyle w:val="Normal"/>
        <w:tabs>
          <w:tab w:val="clear" w:pos="720"/>
          <w:tab w:val="left" w:pos="-240" w:leader="none"/>
          <w:tab w:val="left" w:pos="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Whether the subject facilities are valid section 311 facilities in turn depends on whether Cotton Valley is an “intrastate pipeline” within the meaning of section 311(a)(1). Cotton Valley has provided, through WNG, a brief letter stating that it is an intrastate company, created for the purpose of transporting its “member’s” [sic] gas from the Hogshooter pipeline through Cotton Valley’s “pipeline and compression” into the Quapaw line. Cotton Valley states that all of its transportation facilities are located in Washington County, Oklahoma, “which makes it an Oklahoma Intrastate pipeline.”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Section 2(16) of the NGPA defines “intrastate pipeline” as “any person engaged in natural gas transportation (not including gathering) which is not subject to the jurisdiction of the Commission under the NGA.” However, nothing has been submitted here that shows Cotton Valley to be such a person. The gas transportation to which it refers apparently remains within a particular segment of WNG’s interstate system. Our review of this information indicates the gas moves through an interstate line of WNG, is transported and compressed through Cotton Valley’s facilities, and continues its journey in WNG’s interstate facilities connected to the compression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vertAlign w:val="superscript"/>
        </w:rPr>
      </w:pPr>
      <w:r>
        <w:rPr>
          <w:rFonts w:ascii="Times New Roman" w:hAnsi="Times New Roman"/>
          <w:sz w:val="24"/>
        </w:rPr>
        <w:t xml:space="preserve">WNG states that there is insufficient volume or pressure on the Hogshooter Line to operate the Cotton Valley Station at times, and in order to increase production levels and alleviate the problem of production shut-ins on the Hogshooter Line, Cotton Valley takes delivery of gas from WNG’s Hogshooter Line and compresses the gas to a pressure sufficient to allow redelivery into WNG’s Quapaw Line. WNG has not provided an explanation as to why it is unable to add compression facilities itself. It is not clear to us why the Cotton Valley compression facilities should not be considered normal compression facilities assisting in the operation of the interstate Hogshooter and Quapaw Lines, nor why they should not be considered engaged in natural gas transportation subject to the jurisdiction of this Commission. </w:t>
      </w:r>
      <w:r>
        <w:rPr>
          <w:rFonts w:ascii="Times New Roman" w:hAnsi="Times New Roman"/>
          <w:sz w:val="24"/>
          <w:vertAlign w:val="superscript"/>
        </w:rPr>
        <w:t>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Cotton Valley has not sought a declaration from the Commission that it would qualify as an intrastate pipeline for purposes of section 311(a)(2) transportation. </w:t>
      </w:r>
      <w:r>
        <w:rPr>
          <w:rFonts w:ascii="Times New Roman" w:hAnsi="Times New Roman"/>
          <w:sz w:val="24"/>
          <w:vertAlign w:val="superscript"/>
        </w:rPr>
        <w:t>10</w:t>
      </w:r>
      <w:r>
        <w:rPr>
          <w:rFonts w:ascii="Times New Roman" w:hAnsi="Times New Roman"/>
          <w:sz w:val="24"/>
        </w:rPr>
        <w:t xml:space="preserve"> There is no record evidence that Cotton Valley was “engaged in natural gas transportation (not including gathering) which is not subject to the jurisdiction of the Commission under the NGA” prior to the July 29, 1997 operation of the prior notice facilities. </w:t>
      </w:r>
      <w:r>
        <w:rPr>
          <w:rFonts w:ascii="Times New Roman" w:hAnsi="Times New Roman"/>
          <w:sz w:val="24"/>
          <w:vertAlign w:val="superscript"/>
        </w:rPr>
        <w:t>11</w:t>
      </w:r>
      <w:r>
        <w:rPr>
          <w:rFonts w:ascii="Times New Roman" w:hAnsi="Times New Roman"/>
          <w:sz w:val="24"/>
        </w:rPr>
        <w:t xml:space="preserve"> Nor has WNG shown that it has complied with section 284.102 of the Commission’s regulations, which state the circumstances under which an intrastate pipeline or an LDC is an entity on behalf of which an interstate pipeline provides service under section 311 of the NGPA. </w:t>
      </w:r>
      <w:r>
        <w:rPr>
          <w:rFonts w:ascii="Times New Roman" w:hAnsi="Times New Roman"/>
          <w:i/>
          <w:sz w:val="24"/>
        </w:rPr>
        <w:t>See</w:t>
      </w:r>
      <w:r>
        <w:rPr>
          <w:rFonts w:ascii="Times New Roman" w:hAnsi="Times New Roman"/>
          <w:sz w:val="24"/>
        </w:rPr>
        <w:t xml:space="preserve"> section 284.102(d). It appears that WNG has failed to comply with section 284.102(e), which requires the interstate pipeline to obtain the appropriate certification that the “on behalf of” entity qualifies under the regulations prior to commencing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We are unable to find any indication from the submissions made by WNG and Cotton Valley that either of those parties has complied with applicable requirements. Instead, the facilities appear to have been constructed and used to provide the service of transporting natural gas in interstate commerce, subject to the Commission’s jurisdiction. Consequently, we will require Cotton Valley to show cause why the Commission should not find (1) it has violated the NGPA and the NGA, and (2) that Cotton Valley should be required to obtain NGA section 7 certificate authorization prior to proceeding any further with these described activities. Additionally, WNG must show it has complied with section 284.102 of our regulations that requires the interstate pipeline to obtain appropriate certification that the “on behalf of entity” qualifies under the regulations prior to commencing service. WNG shall include in its filing a response to Exoko’s allegations of discriminatory treatment.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i/>
          <w:sz w:val="24"/>
        </w:rPr>
        <w:t>The Commission orders</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WNG and Cotton Valley are directed to show cause, by means of filings to be made with the Secretary within 30 days of this order, as described in the body of this order.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b/>
          <w:sz w:val="24"/>
        </w:rPr>
      </w:pPr>
      <w:r>
        <w:rPr>
          <w:rFonts w:ascii="Times New Roman" w:hAnsi="Times New Roman"/>
          <w:b/>
          <w:sz w:val="24"/>
        </w:rPr>
        <w:t>[61,932]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firstLine="240" w:start="240"/>
        <w:jc w:val="start"/>
        <w:rPr>
          <w:rFonts w:ascii="Times New Roman" w:hAnsi="Times New Roman"/>
          <w:sz w:val="24"/>
        </w:rPr>
      </w:pPr>
      <w:r>
        <w:rPr/>
        <w:drawing>
          <wp:inline distT="0" distB="0" distL="0" distR="0">
            <wp:extent cx="5850890" cy="7589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5850890" cy="7589520"/>
                    </a:xfrm>
                    <a:prstGeom prst="rect">
                      <a:avLst/>
                    </a:prstGeom>
                    <a:noFill/>
                  </pic:spPr>
                </pic:pic>
              </a:graphicData>
            </a:graphic>
          </wp:inline>
        </w:drawing>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br/>
        <w:t>Delivery &amp; Receipt Sites for Cotton Valley Compression,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b/>
          <w:sz w:val="24"/>
        </w:rPr>
      </w:pPr>
      <w:r>
        <w:rPr>
          <w:rFonts w:ascii="Times New Roman" w:hAnsi="Times New Roman"/>
          <w:b/>
          <w:sz w:val="24"/>
        </w:rPr>
        <w:t>-- Footnotes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b/>
          <w:sz w:val="24"/>
        </w:rPr>
      </w:pPr>
      <w:r>
        <w:rPr>
          <w:rFonts w:ascii="Times New Roman" w:hAnsi="Times New Roman"/>
          <w:b/>
          <w:sz w:val="24"/>
        </w:rPr>
        <w:t>[61,929]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Cotton Valley claims that it is an intrastate pipeline company eligible to receive gas from WNG, compress the gas, and redeliver it to WNG. A diagram showing the location of the facilities at issue here is provided in appendix A of this order.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2</w:t>
      </w:r>
      <w:r>
        <w:rPr>
          <w:rFonts w:ascii="Times New Roman" w:hAnsi="Times New Roman"/>
          <w:sz w:val="24"/>
        </w:rPr>
        <w:t xml:space="preserve"> The Cotton Valley Compressor Station is a WNG-owned compression facility separate from the compression facilities constructed by and operated by the Cotton Valley producers.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3</w:t>
      </w:r>
      <w:r>
        <w:rPr>
          <w:rFonts w:ascii="Times New Roman" w:hAnsi="Times New Roman"/>
          <w:sz w:val="24"/>
        </w:rPr>
        <w:t xml:space="preserve"> The Cotton Valley Station receives gas from the BlackWell- Cotton Valley line and the Drumright-Cotton Valley Line at approximately 400 psig and from the Grabham compressor station at approximately 600 psig and compresses it into the Quapaw Line at approximately 800-900 psig. WNG states that because that intake pressure of 800-900 psig is well above the prevailing pressure (240 psig) on the Hogshooter Line, the Cotton Valley Station cannot be used to compress Hogshooter Line gas and eliminate existing production shut-ins.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4</w:t>
      </w:r>
      <w:r>
        <w:rPr>
          <w:rFonts w:ascii="Times New Roman" w:hAnsi="Times New Roman"/>
          <w:sz w:val="24"/>
        </w:rPr>
        <w:t xml:space="preserve"> 18 C.F.R. §385.214.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5</w:t>
      </w:r>
      <w:r>
        <w:rPr>
          <w:rFonts w:ascii="Times New Roman" w:hAnsi="Times New Roman"/>
          <w:sz w:val="24"/>
        </w:rPr>
        <w:t xml:space="preserve"> Section 157.212 of the Commission’s regulations automatically authorizes a blanket certificate holder, among other things, to construct and operate new delivery points and appurtenant facilities unless protests are filed within 45 days of the issuance of the notice of the request. If a protest is not withdrawn by 30 days (reconciliation period) after the end of the 45-day notice period, the prior notice request is treated automatically as a case-specific NGA section 7(c) application. (</w:t>
      </w:r>
      <w:r>
        <w:rPr>
          <w:rFonts w:ascii="Times New Roman" w:hAnsi="Times New Roman"/>
          <w:i/>
          <w:sz w:val="24"/>
        </w:rPr>
        <w:t>See</w:t>
      </w:r>
      <w:r>
        <w:rPr>
          <w:rFonts w:ascii="Times New Roman" w:hAnsi="Times New Roman"/>
          <w:sz w:val="24"/>
        </w:rPr>
        <w:t xml:space="preserve"> 18 C.F.R. §157.205(g).) The deadlines for the notice period and the reconciliation period are October 23, 1997 and November 24, 1997, respectively.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b/>
          <w:sz w:val="24"/>
        </w:rPr>
      </w:pPr>
      <w:r>
        <w:rPr>
          <w:rFonts w:ascii="Times New Roman" w:hAnsi="Times New Roman"/>
          <w:b/>
          <w:sz w:val="24"/>
        </w:rPr>
        <w:t>[61,930]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6</w:t>
      </w:r>
      <w:r>
        <w:rPr>
          <w:rFonts w:ascii="Times New Roman" w:hAnsi="Times New Roman"/>
          <w:sz w:val="24"/>
        </w:rPr>
        <w:t xml:space="preserve"> Exoko notes that even as of the date of its filing of its protest, it has pending with WNG an unfulfilled request for firm transportation. WNG states that such transportation is subject to the consent of Cotton Valley.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7</w:t>
      </w:r>
      <w:r>
        <w:rPr>
          <w:rFonts w:ascii="Times New Roman" w:hAnsi="Times New Roman"/>
          <w:sz w:val="24"/>
        </w:rPr>
        <w:t xml:space="preserve"> </w:t>
      </w:r>
      <w:r>
        <w:rPr>
          <w:rFonts w:ascii="Times New Roman" w:hAnsi="Times New Roman"/>
          <w:i/>
          <w:sz w:val="24"/>
        </w:rPr>
        <w:t>Pipeline Service Obligations and Revisions to Regulations Governing Self-Implementing Transportation and Regulation of Natural Gas Pipelines After Partial Wellhead Decontrol</w:t>
      </w:r>
      <w:r>
        <w:rPr>
          <w:rFonts w:ascii="Times New Roman" w:hAnsi="Times New Roman"/>
          <w:sz w:val="24"/>
        </w:rPr>
        <w:t xml:space="preserve">, Order No. 636, 57 </w:t>
      </w:r>
      <w:r>
        <w:rPr>
          <w:rFonts w:ascii="Times New Roman" w:hAnsi="Times New Roman"/>
          <w:i/>
          <w:sz w:val="24"/>
        </w:rPr>
        <w:t>Fed.</w:t>
      </w:r>
      <w:r>
        <w:rPr>
          <w:rFonts w:ascii="Times New Roman" w:hAnsi="Times New Roman"/>
          <w:sz w:val="24"/>
        </w:rPr>
        <w:t xml:space="preserve"> </w:t>
      </w:r>
      <w:r>
        <w:rPr>
          <w:rFonts w:ascii="Times New Roman" w:hAnsi="Times New Roman"/>
          <w:i/>
          <w:sz w:val="24"/>
        </w:rPr>
        <w:t>Reg.</w:t>
      </w:r>
      <w:r>
        <w:rPr>
          <w:rFonts w:ascii="Times New Roman" w:hAnsi="Times New Roman"/>
          <w:sz w:val="24"/>
        </w:rPr>
        <w:t xml:space="preserve"> 13267 (April 16, 1992), </w:t>
      </w:r>
      <w:r>
        <w:rPr>
          <w:rFonts w:ascii="Times New Roman" w:hAnsi="Times New Roman"/>
          <w:i/>
          <w:sz w:val="24"/>
        </w:rPr>
        <w:t>reh’g</w:t>
      </w:r>
      <w:r>
        <w:rPr>
          <w:rFonts w:ascii="Times New Roman" w:hAnsi="Times New Roman"/>
          <w:sz w:val="24"/>
        </w:rPr>
        <w:t xml:space="preserve"> </w:t>
      </w:r>
      <w:r>
        <w:rPr>
          <w:rFonts w:ascii="Times New Roman" w:hAnsi="Times New Roman"/>
          <w:i/>
          <w:sz w:val="24"/>
        </w:rPr>
        <w:t>granted and denied in part</w:t>
      </w:r>
      <w:r>
        <w:rPr>
          <w:rFonts w:ascii="Times New Roman" w:hAnsi="Times New Roman"/>
          <w:sz w:val="24"/>
        </w:rPr>
        <w:t xml:space="preserve">, Order No. 636-A, 57 </w:t>
      </w:r>
      <w:r>
        <w:rPr>
          <w:rFonts w:ascii="Times New Roman" w:hAnsi="Times New Roman"/>
          <w:i/>
          <w:sz w:val="24"/>
        </w:rPr>
        <w:t>Fed.</w:t>
      </w:r>
      <w:r>
        <w:rPr>
          <w:rFonts w:ascii="Times New Roman" w:hAnsi="Times New Roman"/>
          <w:sz w:val="24"/>
        </w:rPr>
        <w:t xml:space="preserve"> </w:t>
      </w:r>
      <w:r>
        <w:rPr>
          <w:rFonts w:ascii="Times New Roman" w:hAnsi="Times New Roman"/>
          <w:i/>
          <w:sz w:val="24"/>
        </w:rPr>
        <w:t>Reg.</w:t>
      </w:r>
      <w:r>
        <w:rPr>
          <w:rFonts w:ascii="Times New Roman" w:hAnsi="Times New Roman"/>
          <w:sz w:val="24"/>
        </w:rPr>
        <w:t xml:space="preserve">, 36,128 (August 12, 1992), </w:t>
      </w:r>
      <w:r>
        <w:rPr>
          <w:rFonts w:ascii="Times New Roman" w:hAnsi="Times New Roman"/>
          <w:i/>
          <w:sz w:val="24"/>
        </w:rPr>
        <w:t>FERC Statutes and Regulations, Regulations Preambles January 1991-June 1996</w:t>
      </w:r>
      <w:r>
        <w:rPr>
          <w:rFonts w:ascii="Times New Roman" w:hAnsi="Times New Roman"/>
          <w:sz w:val="24"/>
        </w:rPr>
        <w:t xml:space="preserve"> ¶30,950 (August 12,1992), </w:t>
      </w:r>
      <w:r>
        <w:rPr>
          <w:rFonts w:ascii="Times New Roman" w:hAnsi="Times New Roman"/>
          <w:i/>
          <w:sz w:val="24"/>
        </w:rPr>
        <w:t>order on reh’g,</w:t>
      </w:r>
      <w:r>
        <w:rPr>
          <w:rFonts w:ascii="Times New Roman" w:hAnsi="Times New Roman"/>
          <w:sz w:val="24"/>
        </w:rPr>
        <w:t xml:space="preserve"> Order No. 636-B, 57 </w:t>
      </w:r>
      <w:r>
        <w:rPr>
          <w:rFonts w:ascii="Times New Roman" w:hAnsi="Times New Roman"/>
          <w:i/>
          <w:sz w:val="24"/>
        </w:rPr>
        <w:t>Fed.</w:t>
      </w:r>
      <w:r>
        <w:rPr>
          <w:rFonts w:ascii="Times New Roman" w:hAnsi="Times New Roman"/>
          <w:sz w:val="24"/>
        </w:rPr>
        <w:t xml:space="preserve"> </w:t>
      </w:r>
      <w:r>
        <w:rPr>
          <w:rFonts w:ascii="Times New Roman" w:hAnsi="Times New Roman"/>
          <w:i/>
          <w:sz w:val="24"/>
        </w:rPr>
        <w:t>Reg.</w:t>
      </w:r>
      <w:r>
        <w:rPr>
          <w:rFonts w:ascii="Times New Roman" w:hAnsi="Times New Roman"/>
          <w:sz w:val="24"/>
        </w:rPr>
        <w:t xml:space="preserve"> 57,911 (December 8, 1992), 61 FERC ¶61,272 (1992), Notice of Denial of Rehearing (January 8, 1993), 62 FERC 61,007 (1993), </w:t>
      </w:r>
      <w:r>
        <w:rPr>
          <w:rFonts w:ascii="Times New Roman" w:hAnsi="Times New Roman"/>
          <w:i/>
          <w:sz w:val="24"/>
        </w:rPr>
        <w:t>aff’d in part and vacated and remanded in part</w:t>
      </w:r>
      <w:r>
        <w:rPr>
          <w:rFonts w:ascii="Times New Roman" w:hAnsi="Times New Roman"/>
          <w:sz w:val="24"/>
        </w:rPr>
        <w:t xml:space="preserve">, </w:t>
      </w:r>
      <w:r>
        <w:rPr>
          <w:rFonts w:ascii="Times New Roman" w:hAnsi="Times New Roman"/>
          <w:i/>
          <w:sz w:val="24"/>
        </w:rPr>
        <w:t>United Distribution Companies v. FERC</w:t>
      </w:r>
      <w:r>
        <w:rPr>
          <w:rFonts w:ascii="Times New Roman" w:hAnsi="Times New Roman"/>
          <w:sz w:val="24"/>
        </w:rPr>
        <w:t xml:space="preserve">, 88 F.3d 1105 (D.C. Cir. 1996), </w:t>
      </w:r>
      <w:r>
        <w:rPr>
          <w:rFonts w:ascii="Times New Roman" w:hAnsi="Times New Roman"/>
          <w:i/>
          <w:sz w:val="24"/>
        </w:rPr>
        <w:t>order on remand</w:t>
      </w:r>
      <w:r>
        <w:rPr>
          <w:rFonts w:ascii="Times New Roman" w:hAnsi="Times New Roman"/>
          <w:sz w:val="24"/>
        </w:rPr>
        <w:t xml:space="preserve">, Order No. 636-C, 78 FERC ¶61,186 (1997), </w:t>
      </w:r>
      <w:r>
        <w:rPr>
          <w:rFonts w:ascii="Times New Roman" w:hAnsi="Times New Roman"/>
          <w:i/>
          <w:sz w:val="24"/>
        </w:rPr>
        <w:t>cert denied</w:t>
      </w:r>
      <w:r>
        <w:rPr>
          <w:rFonts w:ascii="Times New Roman" w:hAnsi="Times New Roman"/>
          <w:sz w:val="24"/>
        </w:rPr>
        <w:t>, 117 S.Ct. 1723 (1997).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8</w:t>
      </w:r>
      <w:r>
        <w:rPr>
          <w:rFonts w:ascii="Times New Roman" w:hAnsi="Times New Roman"/>
          <w:sz w:val="24"/>
        </w:rPr>
        <w:t xml:space="preserve"> </w:t>
      </w:r>
      <w:r>
        <w:rPr>
          <w:rFonts w:ascii="Times New Roman" w:hAnsi="Times New Roman"/>
          <w:i/>
          <w:sz w:val="24"/>
        </w:rPr>
        <w:t>Citing</w:t>
      </w:r>
      <w:r>
        <w:rPr>
          <w:rFonts w:ascii="Times New Roman" w:hAnsi="Times New Roman"/>
          <w:sz w:val="24"/>
        </w:rPr>
        <w:t xml:space="preserve"> </w:t>
      </w:r>
      <w:r>
        <w:rPr>
          <w:rFonts w:ascii="Times New Roman" w:hAnsi="Times New Roman"/>
          <w:i/>
          <w:sz w:val="24"/>
        </w:rPr>
        <w:t>ANR Pipeline Company,</w:t>
      </w:r>
      <w:r>
        <w:rPr>
          <w:rFonts w:ascii="Times New Roman" w:hAnsi="Times New Roman"/>
          <w:sz w:val="24"/>
        </w:rPr>
        <w:t xml:space="preserve"> 62 FERC ¶61,079 (1993), </w:t>
      </w:r>
      <w:r>
        <w:rPr>
          <w:rFonts w:ascii="Times New Roman" w:hAnsi="Times New Roman"/>
          <w:i/>
          <w:sz w:val="24"/>
        </w:rPr>
        <w:t>order on reh’g</w:t>
      </w:r>
      <w:r>
        <w:rPr>
          <w:rFonts w:ascii="Times New Roman" w:hAnsi="Times New Roman"/>
          <w:sz w:val="24"/>
        </w:rPr>
        <w:t xml:space="preserve">, 64 FERC ¶61,140 (1993) (striking down unlawful bundling arrangements even if the pipeline did not have market power); and </w:t>
      </w:r>
      <w:r>
        <w:rPr>
          <w:rFonts w:ascii="Times New Roman" w:hAnsi="Times New Roman"/>
          <w:i/>
          <w:sz w:val="24"/>
        </w:rPr>
        <w:t>Williams Natural Gas Company</w:t>
      </w:r>
      <w:r>
        <w:rPr>
          <w:rFonts w:ascii="Times New Roman" w:hAnsi="Times New Roman"/>
          <w:sz w:val="24"/>
        </w:rPr>
        <w:t>, 79 FERC ¶61,055 (1997) (“The . . . goal in restructuring pipelines has been to require unbundling of services, including gathering or production services from transportation” (</w:t>
      </w:r>
      <w:r>
        <w:rPr>
          <w:rFonts w:ascii="Times New Roman" w:hAnsi="Times New Roman"/>
          <w:i/>
          <w:sz w:val="24"/>
        </w:rPr>
        <w:t>mimeo</w:t>
      </w:r>
      <w:r>
        <w:rPr>
          <w:rFonts w:ascii="Times New Roman" w:hAnsi="Times New Roman"/>
          <w:sz w:val="24"/>
        </w:rPr>
        <w:t>, at 4, footnote omitted)).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b/>
          <w:sz w:val="24"/>
        </w:rPr>
      </w:pPr>
      <w:r>
        <w:rPr>
          <w:rFonts w:ascii="Times New Roman" w:hAnsi="Times New Roman"/>
          <w:b/>
          <w:sz w:val="24"/>
        </w:rPr>
        <w:t>[61,931]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9</w:t>
      </w:r>
      <w:r>
        <w:rPr>
          <w:rFonts w:ascii="Times New Roman" w:hAnsi="Times New Roman"/>
          <w:sz w:val="24"/>
        </w:rPr>
        <w:t xml:space="preserve">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e.g.</w:t>
      </w:r>
      <w:r>
        <w:rPr>
          <w:rFonts w:ascii="Times New Roman" w:hAnsi="Times New Roman"/>
          <w:sz w:val="24"/>
        </w:rPr>
        <w:t xml:space="preserve">, </w:t>
      </w:r>
      <w:r>
        <w:rPr>
          <w:rFonts w:ascii="Times New Roman" w:hAnsi="Times New Roman"/>
          <w:i/>
          <w:sz w:val="24"/>
        </w:rPr>
        <w:t>California v. Lo-Voca Gathering Company</w:t>
      </w:r>
      <w:r>
        <w:rPr>
          <w:rFonts w:ascii="Times New Roman" w:hAnsi="Times New Roman"/>
          <w:sz w:val="24"/>
        </w:rPr>
        <w:t xml:space="preserve"> (</w:t>
      </w:r>
      <w:r>
        <w:rPr>
          <w:rFonts w:ascii="Times New Roman" w:hAnsi="Times New Roman"/>
          <w:i/>
          <w:sz w:val="24"/>
        </w:rPr>
        <w:t>LoVoca</w:t>
      </w:r>
      <w:r>
        <w:rPr>
          <w:rFonts w:ascii="Times New Roman" w:hAnsi="Times New Roman"/>
          <w:sz w:val="24"/>
        </w:rPr>
        <w:t xml:space="preserve">), 379 U.S. 366, 369-70 (1965); </w:t>
      </w:r>
      <w:r>
        <w:rPr>
          <w:rFonts w:ascii="Times New Roman" w:hAnsi="Times New Roman"/>
          <w:i/>
          <w:sz w:val="24"/>
        </w:rPr>
        <w:t>Lee 8 Storage Partnership</w:t>
      </w:r>
      <w:r>
        <w:rPr>
          <w:rFonts w:ascii="Times New Roman" w:hAnsi="Times New Roman"/>
          <w:sz w:val="24"/>
        </w:rPr>
        <w:t>, 73 FERC ¶61,159, at p. 61,478 (1996) (citing the Lo-Voca line of cases).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10</w:t>
      </w:r>
      <w:r>
        <w:rPr>
          <w:rFonts w:ascii="Times New Roman" w:hAnsi="Times New Roman"/>
          <w:sz w:val="24"/>
        </w:rPr>
        <w:t xml:space="preserve">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e.g.</w:t>
      </w:r>
      <w:r>
        <w:rPr>
          <w:rFonts w:ascii="Times New Roman" w:hAnsi="Times New Roman"/>
          <w:sz w:val="24"/>
        </w:rPr>
        <w:t xml:space="preserve">, Order No. 46, </w:t>
      </w:r>
      <w:r>
        <w:rPr>
          <w:rFonts w:ascii="Times New Roman" w:hAnsi="Times New Roman"/>
          <w:i/>
          <w:sz w:val="24"/>
        </w:rPr>
        <w:t>FERC Statutes and Regulations</w:t>
      </w:r>
      <w:r>
        <w:rPr>
          <w:rFonts w:ascii="Times New Roman" w:hAnsi="Times New Roman"/>
          <w:sz w:val="24"/>
        </w:rPr>
        <w:t xml:space="preserve">, </w:t>
      </w:r>
      <w:r>
        <w:rPr>
          <w:rFonts w:ascii="Times New Roman" w:hAnsi="Times New Roman"/>
          <w:i/>
          <w:sz w:val="24"/>
        </w:rPr>
        <w:t>Regulations Preambles 1977-1981</w:t>
      </w:r>
      <w:r>
        <w:rPr>
          <w:rFonts w:ascii="Times New Roman" w:hAnsi="Times New Roman"/>
          <w:sz w:val="24"/>
        </w:rPr>
        <w:t xml:space="preserve"> ¶30,081, at p. 30,536, </w:t>
      </w:r>
      <w:r>
        <w:rPr>
          <w:rFonts w:ascii="Times New Roman" w:hAnsi="Times New Roman"/>
          <w:i/>
          <w:sz w:val="24"/>
        </w:rPr>
        <w:t>order on rehearing</w:t>
      </w:r>
      <w:r>
        <w:rPr>
          <w:rFonts w:ascii="Times New Roman" w:hAnsi="Times New Roman"/>
          <w:sz w:val="24"/>
        </w:rPr>
        <w:t xml:space="preserve">, </w:t>
      </w:r>
      <w:r>
        <w:rPr>
          <w:rFonts w:ascii="Times New Roman" w:hAnsi="Times New Roman"/>
          <w:i/>
          <w:sz w:val="24"/>
        </w:rPr>
        <w:t>FERC Statutes and Regulations</w:t>
      </w:r>
      <w:r>
        <w:rPr>
          <w:rFonts w:ascii="Times New Roman" w:hAnsi="Times New Roman"/>
          <w:sz w:val="24"/>
        </w:rPr>
        <w:t xml:space="preserve">, </w:t>
      </w:r>
      <w:r>
        <w:rPr>
          <w:rFonts w:ascii="Times New Roman" w:hAnsi="Times New Roman"/>
          <w:i/>
          <w:sz w:val="24"/>
        </w:rPr>
        <w:t>Regulations Preambles 1977-1981</w:t>
      </w:r>
      <w:r>
        <w:rPr>
          <w:rFonts w:ascii="Times New Roman" w:hAnsi="Times New Roman"/>
          <w:sz w:val="24"/>
        </w:rPr>
        <w:t xml:space="preserve"> ¶30,736 (Prior to engaging in transportation a new pipeline may seek a declaration or interpretation that it will qualify as an intrastate pipeline for section 311(a)(2) transportation.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240"/>
        <w:jc w:val="start"/>
        <w:rPr>
          <w:rFonts w:ascii="Times New Roman" w:hAnsi="Times New Roman"/>
          <w:sz w:val="24"/>
        </w:rPr>
      </w:pPr>
      <w:r>
        <w:rPr>
          <w:rFonts w:ascii="Times New Roman" w:hAnsi="Times New Roman"/>
          <w:sz w:val="24"/>
          <w:vertAlign w:val="superscript"/>
        </w:rPr>
        <w:t>11</w:t>
      </w:r>
      <w:r>
        <w:rPr>
          <w:rFonts w:ascii="Times New Roman" w:hAnsi="Times New Roman"/>
          <w:sz w:val="24"/>
        </w:rPr>
        <w:t xml:space="preserve">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Lee 8 Storage Partnership</w:t>
      </w:r>
      <w:r>
        <w:rPr>
          <w:rFonts w:ascii="Times New Roman" w:hAnsi="Times New Roman"/>
          <w:sz w:val="24"/>
        </w:rPr>
        <w:t xml:space="preserve">, </w:t>
      </w:r>
      <w:r>
        <w:rPr>
          <w:rFonts w:ascii="Times New Roman" w:hAnsi="Times New Roman"/>
          <w:i/>
          <w:sz w:val="24"/>
        </w:rPr>
        <w:t>supra</w:t>
      </w:r>
      <w:r>
        <w:rPr>
          <w:rFonts w:ascii="Times New Roman" w:hAnsi="Times New Roman"/>
          <w:sz w:val="24"/>
        </w:rPr>
        <w:t>, note 9, 73 FERC at p. 61,478.</w:t>
      </w:r>
    </w:p>
    <w:sectPr>
      <w:type w:val="continuous"/>
      <w:pgSz w:w="12240" w:h="15840"/>
      <w:pgMar w:left="1440" w:right="1440" w:gutter="0" w:header="0" w:top="1440" w:footer="0" w:bottom="14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