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end"/>
        <w:rPr>
          <w:sz w:val="28"/>
        </w:rPr>
      </w:pPr>
      <w:r>
        <w:rPr>
          <w:b/>
          <w:sz w:val="28"/>
          <w:u w:val="single"/>
        </w:rPr>
        <w:t>D R A F T</w:t>
      </w:r>
    </w:p>
    <w:p>
      <w:pPr>
        <w:pStyle w:val="Normal"/>
        <w:bidi w:val="0"/>
        <w:ind w:hanging="0" w:start="0" w:end="0"/>
        <w:jc w:val="center"/>
        <w:rPr>
          <w:b/>
          <w:u w:val="single"/>
        </w:rPr>
      </w:pPr>
      <w:r>
        <w:rPr>
          <w:b/>
          <w:u w:val="single"/>
        </w:rPr>
      </w:r>
    </w:p>
    <w:p>
      <w:pPr>
        <w:pStyle w:val="Heading1"/>
        <w:bidi w:val="0"/>
        <w:rPr>
          <w:rFonts w:ascii="Times New Roman" w:hAnsi="Times New Roman"/>
          <w:sz w:val="24"/>
        </w:rPr>
      </w:pPr>
      <w:r>
        <w:rPr>
          <w:sz w:val="24"/>
        </w:rPr>
        <w:t>AGREEMENT AND RELEASE</w:t>
      </w:r>
    </w:p>
    <w:p>
      <w:pPr>
        <w:pStyle w:val="Normal"/>
        <w:bidi w:val="0"/>
        <w:ind w:hanging="0" w:start="0" w:end="0"/>
        <w:jc w:val="center"/>
        <w:rPr>
          <w:sz w:val="24"/>
        </w:rPr>
      </w:pPr>
      <w:r>
        <w:rPr>
          <w:sz w:val="24"/>
        </w:rPr>
      </w:r>
    </w:p>
    <w:p>
      <w:pPr>
        <w:pStyle w:val="BodyText"/>
        <w:bidi w:val="0"/>
        <w:rPr>
          <w:rFonts w:ascii="Times New Roman" w:hAnsi="Times New Roman"/>
          <w:sz w:val="24"/>
        </w:rPr>
      </w:pPr>
      <w:r>
        <w:rPr>
          <w:sz w:val="24"/>
        </w:rPr>
        <w:tab/>
        <w:t>This Agreement is entered into between Enron North America, Enron Corp. and their affiliates, parents, subsidiaries, directors, officers, representatives, successors and assigns (collectively referred to as “Enron”) and Lynda Clemmons (“Clemmons”), to be effective April 25, 2000.</w:t>
      </w:r>
    </w:p>
    <w:p>
      <w:pPr>
        <w:pStyle w:val="Normal"/>
        <w:bidi w:val="0"/>
        <w:ind w:hanging="0" w:start="0" w:end="0"/>
        <w:jc w:val="both"/>
        <w:rPr>
          <w:sz w:val="24"/>
        </w:rPr>
      </w:pPr>
      <w:r>
        <w:rPr>
          <w:sz w:val="24"/>
        </w:rPr>
      </w:r>
    </w:p>
    <w:p>
      <w:pPr>
        <w:pStyle w:val="Normal"/>
        <w:bidi w:val="0"/>
        <w:ind w:hanging="0" w:start="0" w:end="0"/>
        <w:jc w:val="both"/>
        <w:rPr>
          <w:sz w:val="24"/>
        </w:rPr>
      </w:pPr>
      <w:r>
        <w:rPr>
          <w:sz w:val="24"/>
        </w:rPr>
        <w:tab/>
        <w:t>In consideration for their mutual promises contained in this Agreement and other good and valuable consideration, Enron and Clemmons agree as follows:</w:t>
      </w:r>
    </w:p>
    <w:p>
      <w:pPr>
        <w:pStyle w:val="Normal"/>
        <w:bidi w:val="0"/>
        <w:ind w:hanging="0" w:start="0" w:end="0"/>
        <w:jc w:val="both"/>
        <w:rPr>
          <w:sz w:val="24"/>
        </w:rPr>
      </w:pPr>
      <w:r>
        <w:rPr>
          <w:sz w:val="24"/>
        </w:rPr>
      </w:r>
    </w:p>
    <w:p>
      <w:pPr>
        <w:pStyle w:val="Normal"/>
        <w:bidi w:val="0"/>
        <w:ind w:hanging="0" w:start="0" w:end="0"/>
        <w:jc w:val="both"/>
        <w:rPr>
          <w:sz w:val="24"/>
        </w:rPr>
      </w:pPr>
      <w:r>
        <w:rPr>
          <w:sz w:val="24"/>
        </w:rPr>
        <w:tab/>
        <w:t>1.</w:t>
        <w:tab/>
        <w:t>For a period of five (5) months from the date of her resignation from Enron on March 6, 2000, or up to and including August 6, 2000 (the “Restriction Period.”), Clemmons agrees that she will refrain from performing or assisting in the performance of any of the following acts or transactions, for herself or on behalf of others:</w:t>
      </w:r>
    </w:p>
    <w:p>
      <w:pPr>
        <w:pStyle w:val="Normal"/>
        <w:bidi w:val="0"/>
        <w:ind w:hanging="0" w:start="0" w:end="0"/>
        <w:jc w:val="both"/>
        <w:rPr>
          <w:sz w:val="24"/>
        </w:rPr>
      </w:pPr>
      <w:r>
        <w:rPr>
          <w:sz w:val="24"/>
        </w:rPr>
      </w:r>
    </w:p>
    <w:p>
      <w:pPr>
        <w:pStyle w:val="Normal"/>
        <w:bidi w:val="0"/>
        <w:ind w:hanging="0" w:start="0" w:end="0"/>
        <w:jc w:val="both"/>
        <w:rPr>
          <w:sz w:val="24"/>
        </w:rPr>
      </w:pPr>
      <w:r>
        <w:rPr>
          <w:sz w:val="24"/>
        </w:rPr>
        <w:tab/>
        <w:t>A.</w:t>
        <w:tab/>
        <w:t>Executing any transaction involving weather-based insurance, products or services to control or manage weather-related risks, or any other weather products, including but not limited to weather derivatives; for purposes of this Agreement, “executing any transaction” is defined as the completion of the sale or purchase of any proscribed product or service with any company other than Enron or its affiliates;</w:t>
      </w:r>
    </w:p>
    <w:p>
      <w:pPr>
        <w:pStyle w:val="Normal"/>
        <w:bidi w:val="0"/>
        <w:ind w:hanging="0" w:start="1440" w:end="0"/>
        <w:jc w:val="both"/>
        <w:rPr>
          <w:sz w:val="24"/>
        </w:rPr>
      </w:pPr>
      <w:r>
        <w:rPr>
          <w:sz w:val="24"/>
        </w:rPr>
      </w:r>
    </w:p>
    <w:p>
      <w:pPr>
        <w:pStyle w:val="Normal"/>
        <w:bidi w:val="0"/>
        <w:ind w:hanging="0" w:start="0" w:end="0"/>
        <w:jc w:val="both"/>
        <w:rPr>
          <w:sz w:val="24"/>
        </w:rPr>
      </w:pPr>
      <w:r>
        <w:rPr>
          <w:sz w:val="24"/>
        </w:rPr>
        <w:tab/>
        <w:t>B.</w:t>
        <w:tab/>
        <w:t>Execute or otherwise structure any transaction of a weather-related product, including without limitation weather insurance or weather derivatives, with or for the benefit of an Enron customer who purchased, sold or traded weather-related products through Enron any time during the twelve-month period from March 1, 1999 through March 1, 2000;</w:t>
      </w:r>
    </w:p>
    <w:p>
      <w:pPr>
        <w:pStyle w:val="Normal"/>
        <w:bidi w:val="0"/>
        <w:ind w:hanging="0" w:start="0" w:end="0"/>
        <w:jc w:val="both"/>
        <w:rPr>
          <w:sz w:val="24"/>
        </w:rPr>
      </w:pPr>
      <w:r>
        <w:rPr>
          <w:sz w:val="24"/>
        </w:rPr>
      </w:r>
    </w:p>
    <w:p>
      <w:pPr>
        <w:pStyle w:val="BodyText"/>
        <w:bidi w:val="0"/>
        <w:ind w:firstLine="720" w:start="0" w:end="0"/>
        <w:rPr>
          <w:rFonts w:ascii="Times New Roman" w:hAnsi="Times New Roman"/>
          <w:sz w:val="24"/>
        </w:rPr>
      </w:pPr>
      <w:r>
        <w:rPr>
          <w:sz w:val="24"/>
        </w:rPr>
        <w:t>C.</w:t>
        <w:tab/>
        <w:t>Engage in the business of buying, trading, structuring or executing transactions in any commodities, assets or products in which Enron has done business in the preceding twelve-month period, including but not limited to, gas, electricity, coal, chilled water, clean fuel, energy assets, paper, pulp, packaging, metals, interest rates, currencies, securities, or other commodities (including without limitation other energy commodities), or any futures, derivatives, or equities related to any of the foregoing, whether at wholesale or retail, or the development of systems, information technology, accounting or risk management with respect to any of the foregoing, provided that this restriction shall not include weather-based insurance, products or services to control or manage weather-related risks or any other weather products, including but not limited to weather derivatives, as these products are addressed in Paragraphs 1.A and 1.B.;</w:t>
      </w:r>
    </w:p>
    <w:p>
      <w:pPr>
        <w:pStyle w:val="Normal"/>
        <w:bidi w:val="0"/>
        <w:ind w:hanging="0" w:start="0" w:end="0"/>
        <w:jc w:val="both"/>
        <w:rPr>
          <w:sz w:val="24"/>
        </w:rPr>
      </w:pPr>
      <w:r>
        <w:rPr>
          <w:sz w:val="24"/>
        </w:rPr>
      </w:r>
    </w:p>
    <w:p>
      <w:pPr>
        <w:pStyle w:val="Normal"/>
        <w:bidi w:val="0"/>
        <w:ind w:hanging="0" w:start="0" w:end="0"/>
        <w:jc w:val="both"/>
        <w:rPr>
          <w:sz w:val="24"/>
        </w:rPr>
      </w:pPr>
      <w:r>
        <w:rPr>
          <w:sz w:val="24"/>
        </w:rPr>
        <w:tab/>
        <w:t>D.</w:t>
        <w:tab/>
        <w:t xml:space="preserve">Employ, call on, recruit or solicit for employment any current employee or officer of Enron.  This provision does not apply to former Enron employees who </w:t>
        <w:tab/>
        <w:t>have separated from Enron prior to the execution of this Agreement, who may be employed by, assist or render services to Clemmons or any business with which she is associated so long as these former Enron employees also agree to be bound by all of the restrictions applicable to Clemmons during the Restriction Period.</w:t>
      </w:r>
    </w:p>
    <w:p>
      <w:pPr>
        <w:sectPr>
          <w:type w:val="nextPage"/>
          <w:pgSz w:w="12240" w:h="15840"/>
          <w:pgMar w:left="1440" w:right="1440" w:gutter="0" w:header="0" w:top="1440" w:footer="0" w:bottom="720"/>
          <w:pgNumType w:fmt="decimal"/>
          <w:formProt w:val="false"/>
          <w:textDirection w:val="lrTb"/>
          <w:docGrid w:type="default" w:linePitch="600" w:charSpace="40960"/>
        </w:sectPr>
      </w:pPr>
    </w:p>
    <w:p>
      <w:pPr>
        <w:pStyle w:val="Normal"/>
        <w:bidi w:val="0"/>
        <w:ind w:hanging="0" w:start="0" w:end="0"/>
        <w:jc w:val="both"/>
        <w:rPr>
          <w:sz w:val="24"/>
        </w:rPr>
      </w:pPr>
      <w:r>
        <w:rPr>
          <w:sz w:val="24"/>
        </w:rPr>
        <w:tab/>
        <w:t>2.</w:t>
        <w:tab/>
        <w:t>Nothing in this Agreement prohibits Clemmons from being employed by, owning, or managing any business so long as that business does not execute or structure a transaction in the above-described products prior to the end of the Restriction Period, and further provided that that business also observes all of the restrictions applicable to Clemmons during the Restriction Period.  Otherwise, Clemmons may compete with Enron.</w:t>
      </w:r>
    </w:p>
    <w:p>
      <w:pPr>
        <w:pStyle w:val="Normal"/>
        <w:bidi w:val="0"/>
        <w:ind w:hanging="0" w:start="0" w:end="0"/>
        <w:jc w:val="both"/>
        <w:rPr>
          <w:sz w:val="24"/>
        </w:rPr>
      </w:pPr>
      <w:r>
        <w:rPr>
          <w:sz w:val="24"/>
        </w:rPr>
      </w:r>
    </w:p>
    <w:p>
      <w:pPr>
        <w:pStyle w:val="Normal"/>
        <w:bidi w:val="0"/>
        <w:ind w:hanging="0" w:start="0" w:end="0"/>
        <w:jc w:val="both"/>
        <w:rPr>
          <w:sz w:val="24"/>
        </w:rPr>
      </w:pPr>
      <w:r>
        <w:rPr>
          <w:sz w:val="24"/>
        </w:rPr>
        <w:tab/>
        <w:t>3.</w:t>
        <w:tab/>
        <w:t>In consideration of the promises contained herein and for other good and valuable consideration, Clemmons for herself and her heirs, executors, administrators and representatives and Enron, its predecessors, successors, parents, subsidiaries, affiliates, insurers, directors, officers, shareholders, employees, attorneys, representatives and agents hereby unconditionally and irrevocably release and forever discharge each other of and from any and all complaints, actions, liabilities, obligations, promises, agreements, controversies, damages, claims, causes of actions, lawsuits, debts, judgments, awards, demands, costs, losses, rights or charges that they had, now have or may have against each other of any nature whatsoever, whether known or unknown, asserted or unasserted, up through the execution date of this Agreement, including without limitation any claims, theories, allegations or causes of action referred to in draft unfiled petition captioned as “</w:t>
      </w:r>
      <w:r>
        <w:rPr>
          <w:i/>
          <w:sz w:val="24"/>
        </w:rPr>
        <w:t>Enron North America Corp. v. Lynda Clemmons</w:t>
      </w:r>
      <w:r>
        <w:rPr>
          <w:sz w:val="24"/>
        </w:rPr>
        <w:t>” which was transmitted to Clemmons from Mark E. Haedicke through a cover letter dated March 28, 2000.</w:t>
      </w:r>
    </w:p>
    <w:p>
      <w:pPr>
        <w:pStyle w:val="Normal"/>
        <w:bidi w:val="0"/>
        <w:ind w:hanging="0" w:start="0" w:end="0"/>
        <w:jc w:val="both"/>
        <w:rPr>
          <w:sz w:val="24"/>
        </w:rPr>
      </w:pPr>
      <w:r>
        <w:rPr>
          <w:sz w:val="24"/>
        </w:rPr>
      </w:r>
    </w:p>
    <w:p>
      <w:pPr>
        <w:pStyle w:val="Normal"/>
        <w:bidi w:val="0"/>
        <w:ind w:hanging="0" w:start="0" w:end="0"/>
        <w:jc w:val="both"/>
        <w:rPr>
          <w:sz w:val="24"/>
        </w:rPr>
      </w:pPr>
      <w:r>
        <w:rPr>
          <w:sz w:val="24"/>
        </w:rPr>
        <w:tab/>
        <w:t>4.</w:t>
        <w:tab/>
        <w:t>Clemmons and Enron, its officers, directors, employees, attorneys, agents and representatives shall not make any disparaging remarks which have the effect of discrediting or damaging the business, reputation, or abilities of either party.</w:t>
      </w:r>
    </w:p>
    <w:p>
      <w:pPr>
        <w:pStyle w:val="Normal"/>
        <w:bidi w:val="0"/>
        <w:ind w:hanging="0" w:start="0" w:end="0"/>
        <w:jc w:val="both"/>
        <w:rPr>
          <w:sz w:val="24"/>
        </w:rPr>
      </w:pPr>
      <w:r>
        <w:rPr>
          <w:sz w:val="24"/>
        </w:rPr>
        <w:tab/>
      </w:r>
    </w:p>
    <w:p>
      <w:pPr>
        <w:pStyle w:val="Normal"/>
        <w:bidi w:val="0"/>
        <w:ind w:hanging="0" w:start="0" w:end="0"/>
        <w:jc w:val="both"/>
        <w:rPr>
          <w:sz w:val="24"/>
        </w:rPr>
      </w:pPr>
      <w:r>
        <w:rPr>
          <w:sz w:val="24"/>
        </w:rPr>
        <w:tab/>
        <w:t>5.</w:t>
        <w:tab/>
        <w:t>As a former vice president of Enron, Clemmons acknowledges and agrees that she has certain fiduciary obligations which survive the period of her employment with Enron, which specifically include the following:</w:t>
      </w:r>
    </w:p>
    <w:p>
      <w:pPr>
        <w:pStyle w:val="Normal"/>
        <w:bidi w:val="0"/>
        <w:ind w:hanging="0" w:start="0" w:end="0"/>
        <w:jc w:val="both"/>
        <w:rPr>
          <w:sz w:val="24"/>
        </w:rPr>
      </w:pPr>
      <w:r>
        <w:rPr>
          <w:sz w:val="24"/>
        </w:rPr>
        <w:tab/>
      </w:r>
    </w:p>
    <w:p>
      <w:pPr>
        <w:pStyle w:val="Normal"/>
        <w:bidi w:val="0"/>
        <w:ind w:hanging="0" w:start="0" w:end="0"/>
        <w:jc w:val="both"/>
        <w:rPr>
          <w:sz w:val="24"/>
        </w:rPr>
      </w:pPr>
      <w:r>
        <w:rPr>
          <w:sz w:val="24"/>
        </w:rPr>
        <w:tab/>
        <w:t>A.</w:t>
        <w:tab/>
        <w:t xml:space="preserve">Clemmons agrees that she has not and will not, at any time during or after her employment with Enron, make any unauthorized disclosure of any confidential information or trade secrets of Enron, or their affiliates, or make any use thereof.  Clemmons agrees to preserve and protect the confidentiality of </w:t>
        <w:tab/>
        <w:t>Enron’s trade secrets and not use them to Enron’s competitive disadvantage;</w:t>
      </w:r>
    </w:p>
    <w:p>
      <w:pPr>
        <w:pStyle w:val="Normal"/>
        <w:bidi w:val="0"/>
        <w:ind w:hanging="0" w:start="0" w:end="0"/>
        <w:jc w:val="both"/>
        <w:rPr>
          <w:sz w:val="24"/>
        </w:rPr>
      </w:pPr>
      <w:r>
        <w:rPr>
          <w:sz w:val="24"/>
        </w:rPr>
        <w:tab/>
      </w:r>
    </w:p>
    <w:p>
      <w:pPr>
        <w:pStyle w:val="Normal"/>
        <w:bidi w:val="0"/>
        <w:ind w:hanging="0" w:start="0" w:end="0"/>
        <w:jc w:val="both"/>
        <w:rPr>
          <w:sz w:val="24"/>
        </w:rPr>
      </w:pPr>
      <w:r>
        <w:rPr>
          <w:sz w:val="24"/>
        </w:rPr>
        <w:tab/>
        <w:t>B.</w:t>
        <w:tab/>
        <w:t>Clemmons acknowledges that all written materials, records, data and other documents prepared or possessed by her during her employment with Enron, and furnished by Enron, are Enron property.  Clemmons represents and warrants to Enron that she has not taken or removed any Enron property from Enron after her employment, or that any items remaining in her possession and all copies or duplicates thereof have been returned to Enron prior to the execution of this Agreement.</w:t>
      </w:r>
    </w:p>
    <w:p>
      <w:pPr>
        <w:pStyle w:val="Normal"/>
        <w:bidi w:val="0"/>
        <w:ind w:hanging="0" w:start="0" w:end="0"/>
        <w:jc w:val="both"/>
        <w:rPr>
          <w:sz w:val="24"/>
        </w:rPr>
      </w:pPr>
      <w:r>
        <w:rPr>
          <w:sz w:val="24"/>
        </w:rPr>
      </w:r>
    </w:p>
    <w:p>
      <w:pPr>
        <w:pStyle w:val="Normal"/>
        <w:bidi w:val="0"/>
        <w:ind w:hanging="0" w:start="0" w:end="0"/>
        <w:jc w:val="both"/>
        <w:rPr>
          <w:sz w:val="24"/>
        </w:rPr>
      </w:pPr>
      <w:r>
        <w:rPr>
          <w:sz w:val="24"/>
        </w:rPr>
        <w:tab/>
        <w:t>As used herein,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records; internal business records; contracts benefitting or obligating Enron; bids or proposals submitted to any third party; training methods and training processes; personnel information including salaries of personnel; and other such confidential and proprietary information developed or used by Enron and/or not readily obtainable by third parties from outside sources.</w:t>
      </w:r>
    </w:p>
    <w:p>
      <w:pPr>
        <w:pStyle w:val="Normal"/>
        <w:bidi w:val="0"/>
        <w:ind w:hanging="0" w:start="0" w:end="0"/>
        <w:jc w:val="both"/>
        <w:rPr>
          <w:sz w:val="24"/>
        </w:rPr>
      </w:pPr>
      <w:r>
        <w:rPr>
          <w:sz w:val="24"/>
        </w:rPr>
      </w:r>
    </w:p>
    <w:p>
      <w:pPr>
        <w:pStyle w:val="Normal"/>
        <w:bidi w:val="0"/>
        <w:ind w:hanging="0" w:start="0" w:end="0"/>
        <w:jc w:val="both"/>
        <w:rPr>
          <w:sz w:val="24"/>
        </w:rPr>
      </w:pPr>
      <w:r>
        <w:rPr>
          <w:sz w:val="24"/>
        </w:rPr>
        <w:tab/>
        <w:t>6.</w:t>
        <w:tab/>
        <w:t xml:space="preserve">This Agreement contains the entire agreement of the parties.  Neither party is relying upon any oral representations or separate agreements not memorialized </w:t>
        <w:tab/>
        <w:t xml:space="preserve">herein.  Both parties acknowledge and agree that the terms of this Agreement and Release shall remain confidential.  This Agreement shall be binding upon and enured to the benefit of Enron and Clemmons, and their successors, associates, representatives or assigns.  </w:t>
      </w:r>
    </w:p>
    <w:p>
      <w:pPr>
        <w:pStyle w:val="Normal"/>
        <w:bidi w:val="0"/>
        <w:ind w:hanging="0" w:start="0" w:end="0"/>
        <w:jc w:val="both"/>
        <w:rPr>
          <w:sz w:val="24"/>
        </w:rPr>
      </w:pPr>
      <w:r>
        <w:rPr>
          <w:sz w:val="24"/>
        </w:rPr>
      </w:r>
    </w:p>
    <w:p>
      <w:pPr>
        <w:pStyle w:val="Normal"/>
        <w:bidi w:val="0"/>
        <w:ind w:hanging="0" w:start="0" w:end="0"/>
        <w:jc w:val="both"/>
        <w:rPr>
          <w:sz w:val="24"/>
        </w:rPr>
      </w:pPr>
      <w:r>
        <w:rPr>
          <w:sz w:val="24"/>
        </w:rPr>
        <w:tab/>
        <w:t>7.</w:t>
        <w:tab/>
        <w:t>This Agreement is governed by Texas law.  Any dispute or claim arising hereunder shall be submitted to arbitration in Houston, Texas pursuant to the commercial Arbitration Rules of the American Arbitration Association.  The arbitration award shall be final and binding on the parties, and may be submitted to a court of competent jurisdiction in Houston, Texas for entry of a judgment thereon.  The parties consent to jurisdiction and venue in Houston, Texas for any and all proceedings required to interpret, construe or enforce this Agreement.</w:t>
      </w:r>
    </w:p>
    <w:p>
      <w:pPr>
        <w:pStyle w:val="Normal"/>
        <w:bidi w:val="0"/>
        <w:ind w:hanging="0" w:start="0" w:end="0"/>
        <w:jc w:val="both"/>
        <w:rPr>
          <w:sz w:val="24"/>
        </w:rPr>
      </w:pPr>
      <w:r>
        <w:rPr>
          <w:sz w:val="24"/>
        </w:rPr>
      </w:r>
    </w:p>
    <w:p>
      <w:pPr>
        <w:pStyle w:val="Normal"/>
        <w:bidi w:val="0"/>
        <w:ind w:hanging="0" w:start="0" w:end="0"/>
        <w:jc w:val="both"/>
        <w:rPr>
          <w:sz w:val="24"/>
        </w:rPr>
      </w:pPr>
      <w:r>
        <w:rPr>
          <w:sz w:val="24"/>
        </w:rPr>
        <w:tab/>
        <w:t>8.</w:t>
        <w:tab/>
        <w:t xml:space="preserve">The provisions of this Agreement are severable.  If any court of competent jurisdiction finds any provision invalid, unlawful or unenforceable, that determination will not affect the enforceability of the remaining provisions, and </w:t>
        <w:tab/>
        <w:t>the court shall have authority to modify those provisions that are found invalid, unlawful or unenforceable so that they are enforceable in accordance with Texas law.</w:t>
      </w:r>
    </w:p>
    <w:p>
      <w:pPr>
        <w:pStyle w:val="Normal"/>
        <w:bidi w:val="0"/>
        <w:ind w:hanging="0" w:start="0" w:end="0"/>
        <w:jc w:val="both"/>
        <w:rPr>
          <w:sz w:val="24"/>
        </w:rPr>
      </w:pPr>
      <w:r>
        <w:rPr>
          <w:sz w:val="24"/>
        </w:rPr>
      </w:r>
    </w:p>
    <w:p>
      <w:pPr>
        <w:pStyle w:val="Normal"/>
        <w:bidi w:val="0"/>
        <w:ind w:hanging="0" w:start="0" w:end="0"/>
        <w:jc w:val="both"/>
        <w:rPr>
          <w:sz w:val="24"/>
        </w:rPr>
      </w:pPr>
      <w:r>
        <w:rPr>
          <w:sz w:val="24"/>
        </w:rPr>
        <w:tab/>
        <w:t>IN WITNESS WHEREOF, and intending to be legally bound hereby, Enron and Clemmons have executed this Agreement to be effective as of this ____ day of May, 2000.</w:t>
      </w:r>
    </w:p>
    <w:p>
      <w:pPr>
        <w:pStyle w:val="Normal"/>
        <w:bidi w:val="0"/>
        <w:ind w:hanging="0" w:start="0" w:end="0"/>
        <w:jc w:val="both"/>
        <w:rPr>
          <w:sz w:val="24"/>
        </w:rPr>
      </w:pPr>
      <w:r>
        <w:rPr>
          <w:sz w:val="24"/>
        </w:rPr>
      </w:r>
    </w:p>
    <w:p>
      <w:pPr>
        <w:pStyle w:val="Normal"/>
        <w:bidi w:val="0"/>
        <w:ind w:hanging="0" w:start="0" w:end="0"/>
        <w:jc w:val="both"/>
        <w:rPr>
          <w:sz w:val="24"/>
        </w:rPr>
      </w:pPr>
      <w:r>
        <w:rPr>
          <w:sz w:val="24"/>
        </w:rPr>
      </w:r>
    </w:p>
    <w:p>
      <w:pPr>
        <w:pStyle w:val="Normal"/>
        <w:tabs>
          <w:tab w:val="clear" w:pos="720"/>
          <w:tab w:val="left" w:pos="0" w:leader="none"/>
          <w:tab w:val="left" w:pos="486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4"/>
        </w:rPr>
      </w:pPr>
      <w:r>
        <w:rPr>
          <w:sz w:val="24"/>
        </w:rPr>
        <w:t>Enron North America Corp.</w:t>
        <w:tab/>
        <w:t>Lynda Clemmons</w:t>
      </w:r>
    </w:p>
    <w:p>
      <w:pPr>
        <w:pStyle w:val="Normal"/>
        <w:tabs>
          <w:tab w:val="clear" w:pos="720"/>
          <w:tab w:val="left" w:pos="0" w:leader="none"/>
          <w:tab w:val="left" w:pos="486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4"/>
        </w:rPr>
      </w:pPr>
      <w:r>
        <w:rPr>
          <w:sz w:val="24"/>
        </w:rPr>
      </w:r>
    </w:p>
    <w:p>
      <w:pPr>
        <w:pStyle w:val="Normal"/>
        <w:tabs>
          <w:tab w:val="clear" w:pos="720"/>
          <w:tab w:val="left" w:pos="0" w:leader="none"/>
          <w:tab w:val="left" w:pos="486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4"/>
        </w:rPr>
      </w:pPr>
      <w:r>
        <w:rPr>
          <w:sz w:val="24"/>
        </w:rPr>
      </w:r>
    </w:p>
    <w:p>
      <w:pPr>
        <w:pStyle w:val="Normal"/>
        <w:tabs>
          <w:tab w:val="clear" w:pos="720"/>
          <w:tab w:val="left" w:pos="0" w:leader="none"/>
          <w:tab w:val="left" w:pos="3870" w:leader="none"/>
          <w:tab w:val="left" w:pos="486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4"/>
          <w:u w:val="single"/>
        </w:rPr>
      </w:pPr>
      <w:r>
        <w:rPr>
          <w:sz w:val="24"/>
        </w:rPr>
        <w:t>By:</w:t>
      </w:r>
      <w:r>
        <w:rPr>
          <w:sz w:val="24"/>
          <w:u w:val="single"/>
        </w:rPr>
        <w:tab/>
      </w:r>
      <w:r>
        <w:rPr>
          <w:sz w:val="24"/>
        </w:rPr>
        <w:t xml:space="preserve">  </w:t>
        <w:tab/>
      </w:r>
      <w:r>
        <w:rPr>
          <w:sz w:val="24"/>
          <w:u w:val="single"/>
        </w:rPr>
        <w:tab/>
        <w:tab/>
        <w:tab/>
        <w:tab/>
        <w:tab/>
        <w:tab/>
      </w:r>
    </w:p>
    <w:p>
      <w:pPr>
        <w:pStyle w:val="Normal"/>
        <w:tabs>
          <w:tab w:val="clear" w:pos="720"/>
          <w:tab w:val="left" w:pos="0" w:leader="none"/>
          <w:tab w:val="left" w:pos="3870" w:leader="none"/>
          <w:tab w:val="left" w:pos="486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4"/>
          <w:u w:val="single"/>
        </w:rPr>
      </w:pPr>
      <w:r>
        <w:rPr>
          <w:sz w:val="24"/>
        </w:rPr>
        <w:t>Name:</w:t>
      </w:r>
      <w:r>
        <w:rPr>
          <w:sz w:val="24"/>
          <w:u w:val="single"/>
        </w:rPr>
        <w:tab/>
      </w:r>
      <w:r>
        <w:rPr>
          <w:sz w:val="24"/>
        </w:rPr>
        <w:tab/>
        <w:t xml:space="preserve">Date:  </w:t>
      </w:r>
      <w:r>
        <w:rPr>
          <w:sz w:val="24"/>
          <w:u w:val="single"/>
        </w:rPr>
        <w:tab/>
        <w:tab/>
        <w:tab/>
        <w:tab/>
        <w:tab/>
      </w:r>
    </w:p>
    <w:p>
      <w:pPr>
        <w:pStyle w:val="Normal"/>
        <w:tabs>
          <w:tab w:val="clear" w:pos="720"/>
          <w:tab w:val="left" w:pos="0" w:leader="none"/>
          <w:tab w:val="left" w:pos="3870" w:leader="none"/>
          <w:tab w:val="left" w:pos="486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4"/>
          <w:u w:val="single"/>
        </w:rPr>
      </w:pPr>
      <w:r>
        <w:rPr>
          <w:sz w:val="24"/>
        </w:rPr>
        <w:t>Title:</w:t>
      </w:r>
      <w:r>
        <w:rPr>
          <w:sz w:val="24"/>
          <w:u w:val="single"/>
        </w:rPr>
        <w:tab/>
      </w:r>
    </w:p>
    <w:p>
      <w:pPr>
        <w:pStyle w:val="Normal"/>
        <w:tabs>
          <w:tab w:val="left" w:pos="0" w:leader="none"/>
          <w:tab w:val="left" w:pos="720" w:leader="none"/>
          <w:tab w:val="left" w:pos="1440" w:leader="none"/>
          <w:tab w:val="left" w:pos="2160" w:leader="none"/>
          <w:tab w:val="left" w:pos="2880" w:leader="none"/>
          <w:tab w:val="left" w:pos="387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4"/>
          <w:u w:val="single"/>
        </w:rPr>
      </w:pPr>
      <w:r>
        <w:rPr>
          <w:sz w:val="24"/>
        </w:rPr>
        <w:t xml:space="preserve">Date:  </w:t>
      </w:r>
      <w:r>
        <w:rPr>
          <w:sz w:val="24"/>
          <w:u w:val="single"/>
        </w:rPr>
        <w:tab/>
        <w:tab/>
        <w:tab/>
        <w:tab/>
        <w:tab/>
      </w:r>
    </w:p>
    <w:sectPr>
      <w:type w:val="continuous"/>
      <w:pgSz w:w="12240" w:h="15840"/>
      <w:pgMar w:left="1440" w:right="1440" w:gutter="0" w:header="0" w:top="1440" w:footer="0" w:bottom="720"/>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2"/>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paragraph" w:styleId="Heading1">
    <w:name w:val="heading 1"/>
    <w:basedOn w:val="Normal"/>
    <w:next w:val="Normal"/>
    <w:qFormat/>
    <w:pPr>
      <w:keepNext w:val="true"/>
      <w:widowControl w:val="false"/>
      <w:ind w:hanging="0" w:start="0" w:end="0"/>
      <w:jc w:val="center"/>
      <w:textAlignment w:val="auto"/>
      <w:outlineLvl w:val="0"/>
    </w:pPr>
    <w:rPr>
      <w:b/>
      <w:sz w:val="20"/>
      <w:u w:val="single"/>
      <w:lang w:val="en-US" w:eastAsia="en-US"/>
    </w:rPr>
  </w:style>
  <w:style w:type="character" w:styleId="DefaultParagraphFont">
    <w:name w:val="Default Paragraph Font"/>
    <w:qFormat/>
    <w:rPr/>
  </w:style>
  <w:style w:type="character" w:styleId="DefaultPara">
    <w:name w:val="Default Para"/>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hanging="0" w:start="0" w:end="0"/>
      <w:jc w:val="both"/>
      <w:textAlignment w:val="auto"/>
    </w:pPr>
    <w:rPr>
      <w:sz w:val="20"/>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1284</Words>
  <Characters>0</Characters>
  <CharactersWithSpaces>7321</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2000-05-15T15:52:00Z</dcterms:created>
  <dc:creator>tsweet</dc:creator>
  <dc:description/>
  <dc:language>en-CA</dc:language>
  <cp:lastModifiedBy/>
  <cp:lastPrinted>2000-05-16T11:51:00Z</cp:lastPrinted>
  <dcterms:modified xsi:type="dcterms:W3CDTF">2000-05-16T11:51:00Z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tsweet</vt:lpwstr>
  </property>
</Properties>
</file>