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pBdr>
          <w:top w:val="threeDEngrave" w:sz="36" w:space="15" w:color="008000" w:shadow="1"/>
          <w:left w:val="threeDEngrave" w:sz="36" w:space="2" w:color="008000" w:shadow="1"/>
          <w:bottom w:val="threeDEmboss" w:sz="36" w:space="15" w:color="008000" w:shadow="1"/>
          <w:right w:val="threeDEmboss" w:sz="36" w:space="2" w:color="008000" w:shadow="1"/>
        </w:pBdr>
        <w:ind w:hanging="0" w:start="0"/>
        <w:jc w:val="center"/>
        <w:rPr>
          <w:rFonts w:ascii="Maiandra GD" w:hAnsi="Maiandra GD" w:cs="Maiandra GD"/>
          <w:b w:val="false"/>
          <w:bCs w:val="false"/>
          <w:sz w:val="56"/>
        </w:rPr>
      </w:pPr>
      <w:r>
        <w:rPr>
          <w:rFonts w:cs="Maiandra GD" w:ascii="Maiandra GD" w:hAnsi="Maiandra GD"/>
          <w:b w:val="false"/>
          <w:bCs w:val="false"/>
          <w:sz w:val="56"/>
        </w:rPr>
        <w:t>G L O S S A R Y</w:t>
      </w:r>
    </w:p>
    <w:p>
      <w:pPr>
        <w:pStyle w:val="Normal"/>
        <w:pBdr>
          <w:top w:val="threeDEngrave" w:sz="36" w:space="15" w:color="008000" w:shadow="1"/>
          <w:left w:val="threeDEngrave" w:sz="36" w:space="2" w:color="008000" w:shadow="1"/>
          <w:bottom w:val="threeDEmboss" w:sz="36" w:space="15" w:color="008000" w:shadow="1"/>
          <w:right w:val="threeDEmboss" w:sz="36" w:space="2" w:color="008000" w:shadow="1"/>
        </w:pBdr>
        <w:jc w:val="center"/>
        <w:rPr>
          <w:rFonts w:ascii="Maiandra GD" w:hAnsi="Maiandra GD" w:cs="Maiandra GD"/>
          <w:b/>
          <w:bCs/>
          <w:color w:val="FF0000"/>
          <w:sz w:val="56"/>
        </w:rPr>
      </w:pPr>
      <w:r>
        <w:rPr>
          <w:rFonts w:cs="Maiandra GD" w:ascii="Maiandra GD" w:hAnsi="Maiandra GD"/>
          <w:b/>
          <w:bCs/>
          <w:color w:val="FF0000"/>
          <w:sz w:val="56"/>
        </w:rPr>
      </w:r>
    </w:p>
    <w:p>
      <w:pPr>
        <w:pStyle w:val="Heading8"/>
        <w:pBdr>
          <w:top w:val="threeDEngrave" w:sz="36" w:space="15" w:color="008000" w:shadow="1"/>
          <w:left w:val="threeDEngrave" w:sz="36" w:space="2" w:color="008000" w:shadow="1"/>
          <w:bottom w:val="threeDEmboss" w:sz="36" w:space="15" w:color="008000" w:shadow="1"/>
          <w:right w:val="threeDEmboss" w:sz="36" w:space="2" w:color="008000" w:shadow="1"/>
        </w:pBdr>
        <w:ind w:hanging="0" w:start="0"/>
        <w:rPr/>
      </w:pPr>
      <w:r>
        <w:rPr/>
        <w:t>O F</w:t>
      </w:r>
    </w:p>
    <w:p>
      <w:pPr>
        <w:pStyle w:val="Normal"/>
        <w:pBdr>
          <w:top w:val="threeDEngrave" w:sz="36" w:space="15" w:color="008000" w:shadow="1"/>
          <w:left w:val="threeDEngrave" w:sz="36" w:space="2" w:color="008000" w:shadow="1"/>
          <w:bottom w:val="threeDEmboss" w:sz="36" w:space="15" w:color="008000" w:shadow="1"/>
          <w:right w:val="threeDEmboss" w:sz="36" w:space="2" w:color="008000" w:shadow="1"/>
        </w:pBdr>
        <w:jc w:val="center"/>
        <w:rPr>
          <w:rFonts w:ascii="Maiandra GD" w:hAnsi="Maiandra GD" w:cs="Maiandra GD"/>
          <w:color w:val="FF0000"/>
          <w:sz w:val="56"/>
        </w:rPr>
      </w:pPr>
      <w:r>
        <w:rPr>
          <w:rFonts w:cs="Maiandra GD" w:ascii="Maiandra GD" w:hAnsi="Maiandra GD"/>
          <w:color w:val="FF0000"/>
          <w:sz w:val="56"/>
        </w:rPr>
      </w:r>
    </w:p>
    <w:p>
      <w:pPr>
        <w:sectPr>
          <w:footerReference w:type="default" r:id="rId2"/>
          <w:footerReference w:type="first" r:id="rId3"/>
          <w:type w:val="nextPage"/>
          <w:pgSz w:w="12240" w:h="15840"/>
          <w:pgMar w:left="1440" w:right="1440" w:gutter="0" w:header="0" w:top="1440" w:footer="720" w:bottom="1440"/>
          <w:pgNumType w:start="0" w:fmt="decimal"/>
          <w:formProt w:val="false"/>
          <w:vAlign w:val="center"/>
          <w:titlePg/>
          <w:textDirection w:val="lrTb"/>
          <w:docGrid w:type="default" w:linePitch="360" w:charSpace="0"/>
        </w:sectPr>
        <w:pStyle w:val="Normal"/>
        <w:pBdr>
          <w:top w:val="threeDEngrave" w:sz="36" w:space="15" w:color="008000" w:shadow="1"/>
          <w:left w:val="threeDEngrave" w:sz="36" w:space="2" w:color="008000" w:shadow="1"/>
          <w:bottom w:val="threeDEmboss" w:sz="36" w:space="15" w:color="008000" w:shadow="1"/>
          <w:right w:val="threeDEmboss" w:sz="36" w:space="2" w:color="008000" w:shadow="1"/>
        </w:pBdr>
        <w:jc w:val="center"/>
        <w:rPr>
          <w:color w:val="00FF00"/>
        </w:rPr>
      </w:pPr>
      <w:r>
        <w:rPr>
          <w:rFonts w:cs="Maiandra GD" w:ascii="Maiandra GD" w:hAnsi="Maiandra GD"/>
          <w:color w:val="00FF00"/>
          <w:sz w:val="56"/>
        </w:rPr>
        <w:t>L I N K S</w:t>
      </w:r>
    </w:p>
    <w:p>
      <w:pPr>
        <w:pStyle w:val="Heading2"/>
        <w:pBdr>
          <w:top w:val="single" w:sz="12" w:space="1" w:color="000000" w:shadow="1"/>
          <w:left w:val="single" w:sz="12" w:space="1" w:color="000000" w:shadow="1"/>
          <w:bottom w:val="single" w:sz="12" w:space="1" w:color="000000" w:shadow="1"/>
          <w:right w:val="single" w:sz="12" w:space="1" w:color="000000" w:shadow="1"/>
        </w:pBdr>
        <w:ind w:hanging="0" w:start="0"/>
        <w:rPr>
          <w:rFonts w:ascii="Maiandra GD" w:hAnsi="Maiandra GD" w:cs="Maiandra GD"/>
          <w:smallCaps/>
          <w:color w:val="FF0000"/>
          <w:sz w:val="28"/>
        </w:rPr>
      </w:pPr>
      <w:r>
        <w:rPr>
          <w:rFonts w:cs="Maiandra GD" w:ascii="Maiandra GD" w:hAnsi="Maiandra GD"/>
          <w:smallCaps/>
          <w:color w:val="FF0000"/>
          <w:sz w:val="28"/>
        </w:rPr>
        <w:t>Links</w:t>
      </w:r>
    </w:p>
    <w:p>
      <w:pPr>
        <w:pStyle w:val="Style11"/>
        <w:rPr>
          <w:rFonts w:ascii="Maiandra GD" w:hAnsi="Maiandra GD" w:cs="Maiandra GD"/>
          <w:smallCaps/>
          <w:color w:val="FF0000"/>
          <w:sz w:val="28"/>
        </w:rPr>
      </w:pPr>
      <w:r>
        <w:rPr>
          <w:rFonts w:cs="Maiandra GD" w:ascii="Maiandra GD" w:hAnsi="Maiandra GD"/>
          <w:smallCaps/>
          <w:color w:val="FF0000"/>
          <w:sz w:val="28"/>
        </w:rPr>
      </w:r>
    </w:p>
    <w:p>
      <w:pPr>
        <w:pStyle w:val="Heading1"/>
        <w:ind w:hanging="0" w:start="0"/>
        <w:rPr>
          <w:rFonts w:ascii="Maiandra GD" w:hAnsi="Maiandra GD" w:cs="Maiandra GD"/>
          <w:u w:val="single"/>
        </w:rPr>
      </w:pPr>
      <w:r>
        <w:rPr>
          <w:rStyle w:val="Hyperlink"/>
          <w:b/>
          <w:bCs/>
          <w:emboss/>
          <w:color w:val="0000FF"/>
          <w:u w:val="single"/>
        </w:rPr>
        <w:t>Adjacent Holidays</w:t>
      </w:r>
      <w:r>
        <w:rPr>
          <w:rFonts w:cs="Maiandra GD" w:ascii="Maiandra GD" w:hAnsi="Maiandra GD"/>
          <w:b w:val="false"/>
          <w:bCs w:val="false"/>
        </w:rPr>
        <w:t xml:space="preserve"> – One additional day off adjacent to Thanksgiving Day and one additional day off adjacent to Christmas Day.</w:t>
      </w:r>
    </w:p>
    <w:p>
      <w:pPr>
        <w:pStyle w:val="Heading1"/>
        <w:ind w:hanging="0" w:start="0"/>
        <w:rPr>
          <w:rFonts w:ascii="Maiandra GD" w:hAnsi="Maiandra GD" w:cs="Maiandra GD"/>
          <w:u w:val="single"/>
        </w:rPr>
      </w:pPr>
      <w:r>
        <w:rPr>
          <w:rFonts w:cs="Maiandra GD" w:ascii="Maiandra GD" w:hAnsi="Maiandra GD"/>
          <w:u w:val="single"/>
        </w:rPr>
      </w:r>
    </w:p>
    <w:p>
      <w:pPr>
        <w:pStyle w:val="Heading1"/>
        <w:ind w:hanging="0" w:start="0"/>
        <w:rPr/>
      </w:pPr>
      <w:r>
        <w:rPr>
          <w:b w:val="false"/>
          <w:bCs w:val="false"/>
          <w:emboss/>
          <w:color w:val="0000FF"/>
          <w:u w:val="single"/>
        </w:rPr>
        <w:t>Affirmative Action Plan (AAP</w:t>
      </w:r>
      <w:r>
        <w:rPr>
          <w:b w:val="false"/>
          <w:bCs w:val="false"/>
          <w:emboss/>
          <w:color w:val="0000FF"/>
          <w:sz w:val="24"/>
          <w:u w:val="single"/>
        </w:rPr>
        <w:t>)</w:t>
      </w:r>
      <w:r>
        <w:rPr>
          <w:sz w:val="24"/>
        </w:rPr>
        <w:t xml:space="preserve"> </w:t>
      </w:r>
      <w:r>
        <w:rPr>
          <w:rFonts w:cs="Maiandra GD" w:ascii="Maiandra GD" w:hAnsi="Maiandra GD"/>
          <w:b w:val="false"/>
          <w:bCs w:val="false"/>
        </w:rPr>
        <w:t>– A plan updated yearly, as required by law, to promote employment opportunities for minorities, women, the disabled, and Vietnam-era and special disabled veterans.</w:t>
      </w:r>
      <w:r>
        <w:rPr>
          <w:rFonts w:cs="Maiandra GD" w:ascii="Maiandra GD" w:hAnsi="Maiandra GD"/>
        </w:rPr>
        <w:t xml:space="preserve">  </w:t>
      </w:r>
      <w:r>
        <w:rPr>
          <w:rFonts w:cs="Maiandra GD" w:ascii="Maiandra GD" w:hAnsi="Maiandra GD"/>
          <w:b w:val="false"/>
          <w:bCs w:val="false"/>
        </w:rPr>
        <w:t>Affirmative Action promotes equitable treatment that benefits all employees and job applicants and supports a workforce diverse and enriched in terms of capabilities and multicultural involvement.  Affirmative Action involves:</w:t>
      </w:r>
    </w:p>
    <w:p>
      <w:pPr>
        <w:pStyle w:val="Normal"/>
        <w:jc w:val="both"/>
        <w:rPr>
          <w:rFonts w:ascii="Maiandra GD" w:hAnsi="Maiandra GD" w:cs="Maiandra GD"/>
          <w:b/>
          <w:bCs/>
          <w:sz w:val="22"/>
        </w:rPr>
      </w:pPr>
      <w:r>
        <w:rPr>
          <w:rFonts w:cs="Maiandra GD" w:ascii="Maiandra GD" w:hAnsi="Maiandra GD"/>
          <w:b/>
          <w:bCs/>
          <w:sz w:val="22"/>
        </w:rPr>
      </w:r>
    </w:p>
    <w:p>
      <w:pPr>
        <w:pStyle w:val="Normal"/>
        <w:numPr>
          <w:ilvl w:val="0"/>
          <w:numId w:val="7"/>
        </w:numPr>
        <w:ind w:hanging="360" w:start="720" w:end="360"/>
        <w:jc w:val="both"/>
        <w:rPr>
          <w:rFonts w:ascii="Maiandra GD" w:hAnsi="Maiandra GD" w:cs="Maiandra GD"/>
          <w:sz w:val="22"/>
        </w:rPr>
      </w:pPr>
      <w:r>
        <w:rPr>
          <w:rFonts w:cs="Maiandra GD" w:ascii="Maiandra GD" w:hAnsi="Maiandra GD"/>
          <w:i/>
          <w:iCs/>
          <w:sz w:val="22"/>
        </w:rPr>
        <w:t>Recruitment of Underrepresented Groups</w:t>
      </w:r>
      <w:r>
        <w:rPr>
          <w:rFonts w:cs="Maiandra GD" w:ascii="Maiandra GD" w:hAnsi="Maiandra GD"/>
          <w:sz w:val="22"/>
        </w:rPr>
        <w:t xml:space="preserve"> – seeking applicants from groups that are underrepresented in the employer’s workforce.</w:t>
      </w:r>
    </w:p>
    <w:p>
      <w:pPr>
        <w:pStyle w:val="Normal"/>
        <w:numPr>
          <w:ilvl w:val="0"/>
          <w:numId w:val="7"/>
        </w:numPr>
        <w:ind w:hanging="360" w:start="720" w:end="360"/>
        <w:jc w:val="both"/>
        <w:rPr>
          <w:rFonts w:ascii="Maiandra GD" w:hAnsi="Maiandra GD" w:cs="Maiandra GD"/>
          <w:sz w:val="22"/>
        </w:rPr>
      </w:pPr>
      <w:r>
        <w:rPr>
          <w:rFonts w:cs="Maiandra GD" w:ascii="Maiandra GD" w:hAnsi="Maiandra GD"/>
          <w:i/>
          <w:iCs/>
          <w:sz w:val="22"/>
        </w:rPr>
        <w:t xml:space="preserve">Changing Management Attitudes </w:t>
      </w:r>
      <w:r>
        <w:rPr>
          <w:rFonts w:cs="Maiandra GD" w:ascii="Maiandra GD" w:hAnsi="Maiandra GD"/>
          <w:sz w:val="22"/>
        </w:rPr>
        <w:t>– trying to eliminate conscious and unconscious prejudices that individual managers and supervisors may have toward groups that are underrepresented in the employer’s workforce.</w:t>
      </w:r>
    </w:p>
    <w:p>
      <w:pPr>
        <w:pStyle w:val="BodyTextIndent"/>
        <w:numPr>
          <w:ilvl w:val="0"/>
          <w:numId w:val="7"/>
        </w:numPr>
        <w:ind w:hanging="360" w:start="720" w:end="360"/>
        <w:jc w:val="both"/>
        <w:rPr>
          <w:rFonts w:ascii="Maiandra GD" w:hAnsi="Maiandra GD" w:cs="Maiandra GD"/>
          <w:sz w:val="22"/>
        </w:rPr>
      </w:pPr>
      <w:r>
        <w:rPr>
          <w:rFonts w:cs="Maiandra GD" w:ascii="Maiandra GD" w:hAnsi="Maiandra GD"/>
          <w:i/>
          <w:iCs/>
          <w:sz w:val="22"/>
        </w:rPr>
        <w:t>Removing Discriminatory Obstacles</w:t>
      </w:r>
      <w:r>
        <w:rPr>
          <w:rFonts w:cs="Maiandra GD" w:ascii="Maiandra GD" w:hAnsi="Maiandra GD"/>
          <w:sz w:val="22"/>
        </w:rPr>
        <w:t xml:space="preserve"> – identifying employment practices that work to the disadvantage of groups that are underrepresented in the employer’s workforce and replacing them with practices that do not work to the disadvantage of those groups.</w:t>
      </w:r>
    </w:p>
    <w:p>
      <w:pPr>
        <w:pStyle w:val="Normal"/>
        <w:numPr>
          <w:ilvl w:val="0"/>
          <w:numId w:val="7"/>
        </w:numPr>
        <w:ind w:hanging="360" w:start="720" w:end="360"/>
        <w:jc w:val="both"/>
        <w:rPr>
          <w:rFonts w:ascii="Maiandra GD" w:hAnsi="Maiandra GD" w:cs="Maiandra GD"/>
          <w:sz w:val="22"/>
        </w:rPr>
      </w:pPr>
      <w:r>
        <w:rPr>
          <w:rFonts w:cs="Maiandra GD" w:ascii="Maiandra GD" w:hAnsi="Maiandra GD"/>
          <w:i/>
          <w:iCs/>
          <w:sz w:val="22"/>
        </w:rPr>
        <w:t>Setting Goals</w:t>
      </w:r>
      <w:r>
        <w:rPr>
          <w:rFonts w:cs="Maiandra GD" w:ascii="Maiandra GD" w:hAnsi="Maiandra GD"/>
          <w:sz w:val="22"/>
        </w:rPr>
        <w:t xml:space="preserve"> – Setting goals for groups that are underrepresented in the employer’s workforce.</w:t>
      </w:r>
    </w:p>
    <w:p>
      <w:pPr>
        <w:pStyle w:val="Normal"/>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b/>
          <w:bCs/>
          <w:i/>
          <w:i/>
          <w:iCs/>
          <w:sz w:val="22"/>
          <w:szCs w:val="20"/>
        </w:rPr>
      </w:pPr>
      <w:r>
        <w:rPr>
          <w:emboss/>
          <w:color w:val="0000FF"/>
          <w:sz w:val="22"/>
          <w:u w:val="single"/>
        </w:rPr>
        <w:t>Age</w:t>
      </w:r>
      <w:r>
        <w:rPr>
          <w:rFonts w:cs="Maiandra GD" w:ascii="Maiandra GD" w:hAnsi="Maiandra GD"/>
          <w:sz w:val="22"/>
        </w:rPr>
        <w:t xml:space="preserve"> – A p</w:t>
      </w:r>
      <w:r>
        <w:rPr>
          <w:rFonts w:cs="Maiandra GD" w:ascii="Maiandra GD" w:hAnsi="Maiandra GD"/>
          <w:sz w:val="22"/>
          <w:szCs w:val="20"/>
        </w:rPr>
        <w:t>otentially unlawful factor for denying equal employment opportunity to a person of legal working age.  Typically, these are persons of the age 40 and over.</w:t>
      </w:r>
    </w:p>
    <w:p>
      <w:pPr>
        <w:pStyle w:val="Normal"/>
        <w:jc w:val="both"/>
        <w:rPr>
          <w:rFonts w:ascii="Maiandra GD" w:hAnsi="Maiandra GD" w:cs="Maiandra GD"/>
          <w:b/>
          <w:bCs/>
          <w:i/>
          <w:i/>
          <w:iCs/>
          <w:sz w:val="22"/>
          <w:szCs w:val="20"/>
        </w:rPr>
      </w:pPr>
      <w:r>
        <w:rPr>
          <w:rFonts w:cs="Maiandra GD" w:ascii="Maiandra GD" w:hAnsi="Maiandra GD"/>
          <w:b/>
          <w:bCs/>
          <w:i/>
          <w:iCs/>
          <w:sz w:val="22"/>
          <w:szCs w:val="20"/>
        </w:rPr>
      </w:r>
    </w:p>
    <w:p>
      <w:pPr>
        <w:pStyle w:val="content9pt"/>
        <w:spacing w:lineRule="auto" w:line="240" w:before="0" w:after="0"/>
        <w:jc w:val="both"/>
        <w:rPr/>
      </w:pPr>
      <w:r>
        <w:rPr>
          <w:rStyle w:val="content9ptbold1"/>
          <w:rFonts w:eastAsia="Times New Roman" w:cs="Times New Roman" w:ascii="Times New Roman" w:hAnsi="Times New Roman"/>
          <w:b w:val="false"/>
          <w:bCs w:val="false"/>
          <w:emboss/>
          <w:color w:val="0000FF"/>
          <w:sz w:val="22"/>
          <w:szCs w:val="24"/>
          <w:u w:val="single"/>
        </w:rPr>
        <w:t>Alternative Work Schedules</w:t>
      </w:r>
      <w:r>
        <w:rPr>
          <w:rStyle w:val="content9ptbold1"/>
          <w:rFonts w:cs="Times New Roman" w:ascii="Maiandra GD" w:hAnsi="Maiandra GD"/>
          <w:b w:val="false"/>
          <w:bCs w:val="false"/>
          <w:color w:val="000000"/>
          <w:sz w:val="22"/>
        </w:rPr>
        <w:t xml:space="preserve"> – Employees </w:t>
      </w:r>
      <w:r>
        <w:rPr>
          <w:rFonts w:cs="Times New Roman" w:ascii="Maiandra GD" w:hAnsi="Maiandra GD"/>
          <w:color w:val="000000"/>
          <w:sz w:val="22"/>
        </w:rPr>
        <w:t xml:space="preserve">may work a flexible work schedule with supervisor approval and based upon business need.  All employees work the core business hours of 9:00 a.m. to 4:00 p.m. but may have start and stop hours according to the following schedule:      </w:t>
      </w:r>
    </w:p>
    <w:p>
      <w:pPr>
        <w:pStyle w:val="content9pt"/>
        <w:spacing w:lineRule="auto" w:line="240" w:before="0" w:after="0"/>
        <w:jc w:val="both"/>
        <w:rPr>
          <w:rFonts w:ascii="Maiandra GD" w:hAnsi="Maiandra GD" w:cs="Times New Roman"/>
          <w:color w:val="000000"/>
          <w:sz w:val="22"/>
        </w:rPr>
      </w:pPr>
      <w:r>
        <w:rPr>
          <w:rFonts w:cs="Times New Roman" w:ascii="Maiandra GD" w:hAnsi="Maiandra GD"/>
          <w:color w:val="000000"/>
          <w:sz w:val="22"/>
        </w:rPr>
      </w:r>
    </w:p>
    <w:p>
      <w:pPr>
        <w:pStyle w:val="content9pt"/>
        <w:spacing w:lineRule="auto" w:line="240" w:before="0" w:after="0"/>
        <w:ind w:start="360" w:end="0"/>
        <w:jc w:val="both"/>
        <w:rPr>
          <w:rFonts w:ascii="Maiandra GD" w:hAnsi="Maiandra GD" w:cs="Times New Roman"/>
          <w:color w:val="000000"/>
          <w:sz w:val="22"/>
        </w:rPr>
      </w:pPr>
      <w:r>
        <w:rPr>
          <w:rFonts w:cs="Times New Roman" w:ascii="Maiandra GD" w:hAnsi="Maiandra GD"/>
          <w:color w:val="000000"/>
          <w:sz w:val="22"/>
        </w:rPr>
        <w:t>Begin:</w:t>
        <w:tab/>
        <w:t>7:00 a.m. – 9:00 a.m.</w:t>
      </w:r>
    </w:p>
    <w:p>
      <w:pPr>
        <w:pStyle w:val="content9pt"/>
        <w:spacing w:lineRule="auto" w:line="240" w:before="0" w:after="0"/>
        <w:ind w:start="360" w:end="0"/>
        <w:jc w:val="both"/>
        <w:rPr>
          <w:rFonts w:ascii="Maiandra GD" w:hAnsi="Maiandra GD" w:cs="Times New Roman"/>
          <w:color w:val="000000"/>
          <w:sz w:val="22"/>
        </w:rPr>
      </w:pPr>
      <w:r>
        <w:rPr>
          <w:rFonts w:cs="Times New Roman" w:ascii="Maiandra GD" w:hAnsi="Maiandra GD"/>
          <w:color w:val="000000"/>
          <w:sz w:val="22"/>
        </w:rPr>
        <w:t>End:</w:t>
        <w:tab/>
        <w:t>4:00 p.m. – 6:00 p.m.</w:t>
      </w:r>
    </w:p>
    <w:p>
      <w:pPr>
        <w:pStyle w:val="content9pt"/>
        <w:spacing w:lineRule="auto" w:line="240" w:before="0" w:after="0"/>
        <w:jc w:val="both"/>
        <w:rPr>
          <w:rFonts w:ascii="Maiandra GD" w:hAnsi="Maiandra GD" w:cs="Times New Roman"/>
          <w:color w:val="000000"/>
          <w:sz w:val="22"/>
        </w:rPr>
      </w:pPr>
      <w:r>
        <w:rPr>
          <w:rFonts w:cs="Times New Roman" w:ascii="Maiandra GD" w:hAnsi="Maiandra GD"/>
          <w:color w:val="000000"/>
          <w:sz w:val="22"/>
        </w:rPr>
      </w:r>
    </w:p>
    <w:p>
      <w:pPr>
        <w:pStyle w:val="content9pt"/>
        <w:spacing w:lineRule="auto" w:line="240" w:before="0" w:after="0"/>
        <w:jc w:val="both"/>
        <w:rPr>
          <w:rFonts w:ascii="Maiandra GD" w:hAnsi="Maiandra GD" w:cs="Times New Roman"/>
          <w:color w:val="000000"/>
          <w:sz w:val="22"/>
        </w:rPr>
      </w:pPr>
      <w:r>
        <w:rPr>
          <w:rFonts w:cs="Times New Roman" w:ascii="Maiandra GD" w:hAnsi="Maiandra GD"/>
          <w:color w:val="000000"/>
          <w:sz w:val="22"/>
        </w:rPr>
        <w:t xml:space="preserve">Enron offers several options for flexible work schedules. With supervisor approval, employees may have the opportunity to work 4-10s (10 hours per day, 4 days a week), 9-80s (9 hours per day on Monday through Thursday, with every other Friday off and every other Friday working an 8-hour day), traditional part-time (20-29 hours per week), and reduced-hours (30-39 hours per week). </w:t>
      </w:r>
    </w:p>
    <w:p>
      <w:pPr>
        <w:pStyle w:val="content9pt"/>
        <w:spacing w:lineRule="auto" w:line="240" w:before="0" w:after="0"/>
        <w:jc w:val="both"/>
        <w:rPr>
          <w:rFonts w:ascii="Maiandra GD" w:hAnsi="Maiandra GD" w:cs="Times New Roman"/>
          <w:color w:val="000000"/>
          <w:sz w:val="22"/>
        </w:rPr>
      </w:pPr>
      <w:r>
        <w:rPr>
          <w:rFonts w:cs="Times New Roman" w:ascii="Maiandra GD" w:hAnsi="Maiandra GD"/>
          <w:color w:val="000000"/>
          <w:sz w:val="22"/>
        </w:rPr>
      </w:r>
    </w:p>
    <w:p>
      <w:pPr>
        <w:pStyle w:val="Normal"/>
        <w:jc w:val="both"/>
        <w:rPr>
          <w:rFonts w:ascii="Maiandra GD" w:hAnsi="Maiandra GD" w:cs="Maiandra GD"/>
          <w:sz w:val="22"/>
        </w:rPr>
      </w:pPr>
      <w:r>
        <w:rPr>
          <w:rFonts w:cs="Maiandra GD" w:ascii="Maiandra GD" w:hAnsi="Maiandra GD"/>
          <w:sz w:val="22"/>
        </w:rPr>
        <w:t>Schedules that differ from the normal business hours or the standard workweek require approval from Human Resources.  All work-related activity must comply with compensation obligations, as well as with federal and state wage and hour laws.  In the interest of employees and all stakeholders, any change to the days, hours, or structure of schedules or time paid for work will require competent review and endorsement before being implemented.</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Code of Ethics</w:t>
      </w:r>
      <w:r>
        <w:rPr>
          <w:rFonts w:cs="Maiandra GD" w:ascii="Maiandra GD" w:hAnsi="Maiandra GD"/>
          <w:sz w:val="22"/>
        </w:rPr>
        <w:t xml:space="preserve"> – Link to Code of Ethics document.</w:t>
      </w:r>
    </w:p>
    <w:p>
      <w:pPr>
        <w:pStyle w:val="Normal"/>
        <w:jc w:val="both"/>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sz w:val="22"/>
        </w:rPr>
      </w:pPr>
      <w:r>
        <w:rPr>
          <w:emboss/>
          <w:color w:val="0000FF"/>
          <w:sz w:val="22"/>
          <w:u w:val="single"/>
        </w:rPr>
        <w:t>Color</w:t>
      </w:r>
      <w:r>
        <w:rPr>
          <w:rFonts w:cs="Maiandra GD" w:ascii="Maiandra GD" w:hAnsi="Maiandra GD"/>
          <w:sz w:val="22"/>
          <w:szCs w:val="20"/>
        </w:rPr>
        <w:t xml:space="preserve"> – A person's natural skin, hair, or eye color; an unlawful factor for denying equal employment opportunity.</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Compliance Officer</w:t>
      </w:r>
      <w:r>
        <w:rPr>
          <w:rFonts w:cs="Maiandra GD" w:ascii="Maiandra GD" w:hAnsi="Maiandra GD"/>
          <w:sz w:val="22"/>
        </w:rPr>
        <w:t xml:space="preserve"> – The Chairman of the Board of Directors of Enron Corp. is designated as the Company’s Compliance Officer.  Criminal conduct should be reported to the Compliance Officer.</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Confidentiality</w:t>
      </w:r>
      <w:r>
        <w:rPr>
          <w:rFonts w:cs="Maiandra GD" w:ascii="Maiandra GD" w:hAnsi="Maiandra GD"/>
          <w:sz w:val="22"/>
        </w:rPr>
        <w:t xml:space="preserve"> – A condition in which information is regarded as private, personal, or restricted.</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Conflict of Interest</w:t>
      </w:r>
      <w:r>
        <w:rPr>
          <w:rFonts w:cs="Maiandra GD" w:ascii="Maiandra GD" w:hAnsi="Maiandra GD"/>
          <w:b/>
          <w:bCs/>
          <w:sz w:val="22"/>
        </w:rPr>
        <w:t xml:space="preserve"> – </w:t>
      </w:r>
      <w:r>
        <w:rPr>
          <w:rFonts w:cs="Maiandra GD" w:ascii="Maiandra GD" w:hAnsi="Maiandra GD"/>
          <w:sz w:val="22"/>
        </w:rPr>
        <w:t>A situation in which one relative or household member is in a position to exercise supervisory authority over another, including appointment, promotion, and/or grievance settlement.</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Corrective Discipline</w:t>
      </w:r>
      <w:r>
        <w:rPr>
          <w:rFonts w:cs="Maiandra GD" w:ascii="Maiandra GD" w:hAnsi="Maiandra GD"/>
          <w:b/>
          <w:bCs/>
          <w:sz w:val="22"/>
        </w:rPr>
        <w:t xml:space="preserve"> – </w:t>
      </w:r>
      <w:r>
        <w:rPr>
          <w:rFonts w:cs="Maiandra GD" w:ascii="Maiandra GD" w:hAnsi="Maiandra GD"/>
          <w:sz w:val="22"/>
        </w:rPr>
        <w:t xml:space="preserve">A process that promotes prompt, equitable, permanent, and documented resolution of employee performance or conduct problems related to the job.  Supervisors may take appropriate action when an employee fails to demonstrate the ability or intent to meet job expectations including oral warning, written warning, suspension without pay, and involuntary termination of employment. </w:t>
      </w:r>
    </w:p>
    <w:p>
      <w:pPr>
        <w:pStyle w:val="Normal"/>
        <w:jc w:val="both"/>
        <w:rPr>
          <w:rFonts w:ascii="Maiandra GD" w:hAnsi="Maiandra GD" w:cs="Maiandra GD"/>
          <w:sz w:val="22"/>
        </w:rPr>
      </w:pPr>
      <w:r>
        <w:rPr>
          <w:rFonts w:cs="Maiandra GD" w:ascii="Maiandra GD" w:hAnsi="Maiandra GD"/>
          <w:sz w:val="22"/>
        </w:rPr>
      </w:r>
    </w:p>
    <w:p>
      <w:pPr>
        <w:pStyle w:val="Style11"/>
        <w:rPr/>
      </w:pPr>
      <w:r>
        <w:rPr/>
        <w:t>Dates for the Company-Observed Holidays</w:t>
      </w:r>
      <w:r>
        <w:rPr>
          <w:b/>
          <w:bCs/>
        </w:rPr>
        <w:t xml:space="preserve"> </w:t>
      </w:r>
    </w:p>
    <w:p>
      <w:pPr>
        <w:pStyle w:val="Normal"/>
        <w:jc w:val="center"/>
        <w:rPr>
          <w:rFonts w:ascii="Maiandra GD" w:hAnsi="Maiandra GD" w:cs="Maiandra GD"/>
          <w:b/>
          <w:bCs/>
          <w:sz w:val="22"/>
        </w:rPr>
      </w:pPr>
      <w:r>
        <w:rPr>
          <w:rFonts w:cs="Maiandra GD" w:ascii="Maiandra GD" w:hAnsi="Maiandra GD"/>
          <w:b/>
          <w:bCs/>
          <w:sz w:val="22"/>
        </w:rPr>
      </w:r>
    </w:p>
    <w:p>
      <w:pPr>
        <w:pStyle w:val="Heading5"/>
        <w:ind w:hanging="0" w:start="0"/>
        <w:jc w:val="center"/>
        <w:rPr>
          <w:rFonts w:ascii="Maiandra GD" w:hAnsi="Maiandra GD" w:cs="Times New Roman"/>
          <w:color w:val="000000"/>
          <w:sz w:val="22"/>
        </w:rPr>
      </w:pPr>
      <w:r>
        <w:rPr>
          <w:rFonts w:cs="Times New Roman" w:ascii="Maiandra GD" w:hAnsi="Maiandra GD"/>
          <w:color w:val="000000"/>
          <w:sz w:val="22"/>
        </w:rPr>
        <w:t>2001 HOLIDAY SCHEDULE</w:t>
      </w:r>
    </w:p>
    <w:p>
      <w:pPr>
        <w:pStyle w:val="Heading5"/>
        <w:ind w:hanging="0" w:start="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New Year’s Day</w:t>
        <w:tab/>
        <w:tab/>
        <w:tab/>
        <w:t>Monday</w:t>
        <w:tab/>
        <w:tab/>
        <w:tab/>
        <w:t>January 1</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Martin Luther King Day</w:t>
        <w:tab/>
        <w:tab/>
        <w:t>Monday</w:t>
        <w:tab/>
        <w:tab/>
        <w:tab/>
        <w:t>January 15</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President’s Day</w:t>
        <w:tab/>
        <w:tab/>
        <w:tab/>
        <w:t>Monday</w:t>
        <w:tab/>
        <w:tab/>
        <w:tab/>
        <w:t>February 19</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Memorial Day</w:t>
        <w:tab/>
        <w:tab/>
        <w:tab/>
        <w:tab/>
        <w:t>Monday</w:t>
        <w:tab/>
        <w:tab/>
        <w:tab/>
        <w:t>May 28</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Independence Day</w:t>
        <w:tab/>
        <w:tab/>
        <w:tab/>
        <w:t xml:space="preserve">Wednesday </w:t>
        <w:tab/>
        <w:tab/>
        <w:tab/>
        <w:t>July 4</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Labor Day</w:t>
        <w:tab/>
        <w:tab/>
        <w:tab/>
        <w:tab/>
        <w:t>Monday</w:t>
        <w:tab/>
        <w:tab/>
        <w:tab/>
        <w:t>September 3</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Thanksgiving Day</w:t>
        <w:tab/>
        <w:tab/>
        <w:tab/>
        <w:t>Thursday</w:t>
        <w:tab/>
        <w:tab/>
        <w:tab/>
        <w:t>November 22</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Thanksgiving Observance</w:t>
        <w:tab/>
        <w:tab/>
        <w:t>Friday</w:t>
        <w:tab/>
        <w:tab/>
        <w:tab/>
        <w:tab/>
        <w:t>November 23</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t>Christmas Observance</w:t>
        <w:tab/>
        <w:tab/>
        <w:tab/>
        <w:t>Monday</w:t>
        <w:tab/>
        <w:tab/>
        <w:tab/>
        <w:t>December 24</w:t>
      </w:r>
    </w:p>
    <w:p>
      <w:pPr>
        <w:pStyle w:val="Heading5"/>
        <w:ind w:hanging="0" w:start="720" w:end="0"/>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Normal"/>
        <w:ind w:start="720" w:end="0"/>
        <w:jc w:val="both"/>
        <w:rPr>
          <w:rFonts w:ascii="Maiandra GD" w:hAnsi="Maiandra GD" w:cs="Maiandra GD"/>
          <w:sz w:val="22"/>
        </w:rPr>
      </w:pPr>
      <w:r>
        <w:rPr>
          <w:rFonts w:cs="Maiandra GD" w:ascii="Maiandra GD" w:hAnsi="Maiandra GD"/>
          <w:sz w:val="22"/>
        </w:rPr>
        <w:t>Christmas Day</w:t>
        <w:tab/>
        <w:tab/>
        <w:tab/>
        <w:tab/>
        <w:t>Tuesday</w:t>
        <w:tab/>
        <w:tab/>
        <w:tab/>
        <w:t>December 25</w:t>
      </w:r>
    </w:p>
    <w:p>
      <w:pPr>
        <w:pStyle w:val="Normal"/>
        <w:ind w:start="720" w:end="0"/>
        <w:jc w:val="both"/>
        <w:rPr>
          <w:rFonts w:ascii="Maiandra GD" w:hAnsi="Maiandra GD" w:cs="Maiandra GD"/>
          <w:sz w:val="22"/>
        </w:rPr>
      </w:pPr>
      <w:r>
        <w:rPr>
          <w:rFonts w:cs="Maiandra GD" w:ascii="Maiandra GD" w:hAnsi="Maiandra GD"/>
          <w:sz w:val="22"/>
        </w:rPr>
      </w:r>
    </w:p>
    <w:p>
      <w:pPr>
        <w:pStyle w:val="Heading5"/>
        <w:ind w:hanging="0" w:start="0"/>
        <w:jc w:val="center"/>
        <w:rPr>
          <w:rFonts w:ascii="Maiandra GD" w:hAnsi="Maiandra GD" w:cs="Times New Roman"/>
          <w:color w:val="000000"/>
          <w:sz w:val="22"/>
        </w:rPr>
      </w:pPr>
      <w:r>
        <w:rPr>
          <w:rFonts w:cs="Times New Roman" w:ascii="Maiandra GD" w:hAnsi="Maiandra GD"/>
          <w:color w:val="000000"/>
          <w:sz w:val="22"/>
        </w:rPr>
        <w:t>2002 HOLIDAY SCHEDULE</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New Year’s Day</w:t>
        <w:tab/>
        <w:tab/>
        <w:tab/>
        <w:t>Tuesday</w:t>
        <w:tab/>
        <w:tab/>
        <w:tab/>
        <w:t>January 1</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Martin Luther King Day</w:t>
        <w:tab/>
        <w:tab/>
        <w:t>Monday</w:t>
        <w:tab/>
        <w:tab/>
        <w:tab/>
        <w:t>January 15</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President’s Day</w:t>
        <w:tab/>
        <w:tab/>
        <w:tab/>
        <w:t>Monday</w:t>
        <w:tab/>
        <w:tab/>
        <w:tab/>
        <w:t>February 19</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0"/>
        <w:rPr>
          <w:rFonts w:ascii="Maiandra GD" w:hAnsi="Maiandra GD"/>
          <w:b w:val="false"/>
          <w:bCs w:val="false"/>
          <w:color w:val="000000"/>
          <w:sz w:val="22"/>
        </w:rPr>
      </w:pPr>
      <w:r>
        <w:rPr>
          <w:rFonts w:eastAsia="Maiandra GD" w:cs="Maiandra GD" w:ascii="Maiandra GD" w:hAnsi="Maiandra GD"/>
          <w:b w:val="false"/>
          <w:bCs w:val="false"/>
          <w:color w:val="000000"/>
          <w:sz w:val="22"/>
        </w:rPr>
        <w:t xml:space="preserve"> </w:t>
      </w:r>
      <w:r>
        <w:rPr>
          <w:rFonts w:cs="Times New Roman" w:ascii="Maiandra GD" w:hAnsi="Maiandra GD"/>
          <w:b w:val="false"/>
          <w:bCs w:val="false"/>
          <w:color w:val="000000"/>
          <w:sz w:val="22"/>
        </w:rPr>
        <w:tab/>
        <w:t>Memorial Day</w:t>
        <w:tab/>
        <w:tab/>
        <w:tab/>
        <w:tab/>
        <w:t>Monday</w:t>
        <w:tab/>
        <w:tab/>
        <w:tab/>
        <w:t>May 28</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Independence Day</w:t>
        <w:tab/>
        <w:tab/>
        <w:tab/>
        <w:t>Thursday</w:t>
        <w:tab/>
        <w:tab/>
        <w:tab/>
        <w:t>July 4</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Labor Day</w:t>
        <w:tab/>
        <w:tab/>
        <w:tab/>
        <w:tab/>
        <w:t>Monday</w:t>
        <w:tab/>
        <w:tab/>
        <w:tab/>
        <w:t>September 3</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Thanksgiving Day</w:t>
        <w:tab/>
        <w:tab/>
        <w:tab/>
        <w:t>Thursday</w:t>
        <w:tab/>
        <w:tab/>
        <w:tab/>
        <w:t>November 22</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Thanksgiving Observance</w:t>
        <w:tab/>
        <w:tab/>
        <w:t>Friday</w:t>
        <w:tab/>
        <w:tab/>
        <w:tab/>
        <w:tab/>
        <w:t>November 23</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Christmas Observance</w:t>
        <w:tab/>
        <w:tab/>
        <w:tab/>
        <w:t>Tuesday</w:t>
        <w:tab/>
        <w:tab/>
        <w:tab/>
        <w:t>December 24</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firstLine="720" w:start="0" w:end="0"/>
        <w:rPr>
          <w:rFonts w:ascii="Maiandra GD" w:hAnsi="Maiandra GD" w:cs="Times New Roman"/>
          <w:b w:val="false"/>
          <w:bCs w:val="false"/>
          <w:color w:val="000000"/>
          <w:sz w:val="22"/>
        </w:rPr>
      </w:pPr>
      <w:r>
        <w:rPr>
          <w:rFonts w:cs="Times New Roman" w:ascii="Maiandra GD" w:hAnsi="Maiandra GD"/>
          <w:b w:val="false"/>
          <w:bCs w:val="false"/>
          <w:color w:val="000000"/>
          <w:sz w:val="22"/>
        </w:rPr>
        <w:t>Christmas Day</w:t>
        <w:tab/>
        <w:tab/>
        <w:tab/>
        <w:tab/>
        <w:t>Wednesday</w:t>
        <w:tab/>
        <w:tab/>
        <w:tab/>
        <w:t>December 25</w:t>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Heading5"/>
        <w:ind w:hanging="0" w:start="0"/>
        <w:jc w:val="center"/>
        <w:rPr>
          <w:rFonts w:ascii="Maiandra GD" w:hAnsi="Maiandra GD" w:cs="Times New Roman"/>
          <w:b w:val="false"/>
          <w:bCs w:val="false"/>
          <w:color w:val="000000"/>
          <w:sz w:val="22"/>
        </w:rPr>
      </w:pPr>
      <w:r>
        <w:rPr>
          <w:rFonts w:cs="Times New Roman" w:ascii="Maiandra GD" w:hAnsi="Maiandra GD"/>
          <w:b w:val="false"/>
          <w:bCs w:val="false"/>
          <w:color w:val="000000"/>
          <w:sz w:val="22"/>
        </w:rPr>
      </w:r>
    </w:p>
    <w:p>
      <w:pPr>
        <w:pStyle w:val="Normal"/>
        <w:jc w:val="both"/>
        <w:rPr>
          <w:rFonts w:ascii="Maiandra GD" w:hAnsi="Maiandra GD" w:cs="Maiandra GD"/>
          <w:b/>
          <w:bCs/>
          <w:color w:val="000000"/>
          <w:sz w:val="22"/>
        </w:rPr>
      </w:pPr>
      <w:r>
        <w:rPr>
          <w:rFonts w:cs="Maiandra GD" w:ascii="Maiandra GD" w:hAnsi="Maiandra GD"/>
          <w:b/>
          <w:bCs/>
          <w:color w:val="000000"/>
          <w:sz w:val="22"/>
        </w:rPr>
      </w:r>
    </w:p>
    <w:p>
      <w:pPr>
        <w:pStyle w:val="Normal"/>
        <w:jc w:val="both"/>
        <w:rPr/>
      </w:pPr>
      <w:r>
        <w:rPr>
          <w:emboss/>
          <w:color w:val="0000FF"/>
          <w:sz w:val="22"/>
          <w:u w:val="single"/>
        </w:rPr>
        <w:t>Disability</w:t>
      </w:r>
      <w:r>
        <w:rPr>
          <w:rFonts w:cs="Maiandra GD" w:ascii="Maiandra GD" w:hAnsi="Maiandra GD"/>
          <w:sz w:val="22"/>
        </w:rPr>
        <w:t xml:space="preserve"> – A</w:t>
      </w:r>
      <w:r>
        <w:rPr>
          <w:rFonts w:cs="Maiandra GD" w:ascii="Maiandra GD" w:hAnsi="Maiandra GD"/>
          <w:sz w:val="22"/>
          <w:szCs w:val="20"/>
        </w:rPr>
        <w:t xml:space="preserve"> physical or mental impairment which substantially limits an individual’s major life activities.  A qualified individual with a disability is a</w:t>
      </w:r>
      <w:r>
        <w:rPr>
          <w:rFonts w:cs="Maiandra GD" w:ascii="Maiandra GD" w:hAnsi="Maiandra GD"/>
          <w:sz w:val="22"/>
        </w:rPr>
        <w:t xml:space="preserve"> </w:t>
      </w:r>
      <w:r>
        <w:rPr>
          <w:rFonts w:cs="Maiandra GD" w:ascii="Maiandra GD" w:hAnsi="Maiandra GD"/>
          <w:sz w:val="22"/>
          <w:szCs w:val="20"/>
        </w:rPr>
        <w:t>person who can perform the essential functions of a specific job with or without a reasonable accommodation by an employer.  An essential job function is a</w:t>
      </w:r>
      <w:r>
        <w:rPr>
          <w:rFonts w:cs="Maiandra GD" w:ascii="Maiandra GD" w:hAnsi="Maiandra GD"/>
          <w:b/>
          <w:bCs/>
          <w:sz w:val="22"/>
        </w:rPr>
        <w:t xml:space="preserve"> </w:t>
      </w:r>
      <w:r>
        <w:rPr>
          <w:rFonts w:cs="Maiandra GD" w:ascii="Maiandra GD" w:hAnsi="Maiandra GD"/>
          <w:sz w:val="22"/>
          <w:szCs w:val="20"/>
        </w:rPr>
        <w:t>fundamental duty, not marginal or occasional, that must be performed to fulfill the purpose of a specific job.</w:t>
      </w:r>
    </w:p>
    <w:p>
      <w:pPr>
        <w:pStyle w:val="Normal"/>
        <w:jc w:val="both"/>
        <w:rPr>
          <w:rFonts w:ascii="Maiandra GD" w:hAnsi="Maiandra GD" w:cs="Maiandra GD"/>
          <w:sz w:val="22"/>
          <w:szCs w:val="20"/>
        </w:rPr>
      </w:pPr>
      <w:r>
        <w:rPr>
          <w:rFonts w:cs="Maiandra GD" w:ascii="Maiandra GD" w:hAnsi="Maiandra GD"/>
          <w:sz w:val="22"/>
          <w:szCs w:val="20"/>
        </w:rPr>
      </w:r>
    </w:p>
    <w:p>
      <w:pPr>
        <w:pStyle w:val="BodyText2"/>
        <w:keepNext w:val="true"/>
        <w:rPr>
          <w:rFonts w:ascii="Maiandra GD" w:hAnsi="Maiandra GD" w:cs="Maiandra GD"/>
          <w:sz w:val="22"/>
        </w:rPr>
      </w:pPr>
      <w:r>
        <w:rPr>
          <w:rFonts w:cs="Maiandra GD" w:ascii="Maiandra GD" w:hAnsi="Maiandra GD"/>
          <w:sz w:val="22"/>
        </w:rPr>
        <w:t>Reasonable Accommodations per the Americans with Disabilities Act (ADA) include:</w:t>
      </w:r>
    </w:p>
    <w:p>
      <w:pPr>
        <w:pStyle w:val="BodyText2"/>
        <w:keepNext w:val="true"/>
        <w:rPr>
          <w:rFonts w:ascii="Maiandra GD" w:hAnsi="Maiandra GD" w:cs="Maiandra GD"/>
          <w:sz w:val="22"/>
        </w:rPr>
      </w:pPr>
      <w:r>
        <w:rPr>
          <w:rFonts w:cs="Maiandra GD" w:ascii="Maiandra GD" w:hAnsi="Maiandra GD"/>
          <w:sz w:val="22"/>
        </w:rPr>
      </w:r>
    </w:p>
    <w:p>
      <w:pPr>
        <w:pStyle w:val="Normal"/>
        <w:keepNext w:val="true"/>
        <w:numPr>
          <w:ilvl w:val="0"/>
          <w:numId w:val="5"/>
        </w:numPr>
        <w:ind w:hanging="360" w:start="720" w:end="360"/>
        <w:jc w:val="both"/>
        <w:rPr>
          <w:rFonts w:ascii="Maiandra GD" w:hAnsi="Maiandra GD" w:cs="Maiandra GD"/>
          <w:sz w:val="22"/>
        </w:rPr>
      </w:pPr>
      <w:r>
        <w:rPr>
          <w:rFonts w:cs="Maiandra GD" w:ascii="Maiandra GD" w:hAnsi="Maiandra GD"/>
          <w:sz w:val="22"/>
        </w:rPr>
        <w:t>Modifications or adjustments to a job application process that enable a qualified applicant with a disability to be considered for the position such qualified applicant desires; or</w:t>
      </w:r>
    </w:p>
    <w:p>
      <w:pPr>
        <w:pStyle w:val="Normal"/>
        <w:numPr>
          <w:ilvl w:val="0"/>
          <w:numId w:val="5"/>
        </w:numPr>
        <w:ind w:hanging="360" w:start="720" w:end="360"/>
        <w:jc w:val="both"/>
        <w:rPr>
          <w:rFonts w:ascii="Maiandra GD" w:hAnsi="Maiandra GD" w:cs="Maiandra GD"/>
          <w:sz w:val="22"/>
        </w:rPr>
      </w:pPr>
      <w:r>
        <w:rPr>
          <w:rFonts w:cs="Maiandra GD" w:ascii="Maiandra GD" w:hAnsi="Maiandra GD"/>
          <w:sz w:val="22"/>
        </w:rPr>
        <w:t>Modifications or adjustments to the work environment, or to the manner or circumstances under which the position held or desired is customarily performed, that enable a qualified individual with a disability to perform the essential functions of that position; or</w:t>
      </w:r>
    </w:p>
    <w:p>
      <w:pPr>
        <w:pStyle w:val="Normal"/>
        <w:numPr>
          <w:ilvl w:val="0"/>
          <w:numId w:val="5"/>
        </w:numPr>
        <w:ind w:hanging="360" w:start="720" w:end="360"/>
        <w:jc w:val="both"/>
        <w:rPr>
          <w:rFonts w:ascii="Maiandra GD" w:hAnsi="Maiandra GD" w:cs="Maiandra GD"/>
          <w:sz w:val="22"/>
        </w:rPr>
      </w:pPr>
      <w:r>
        <w:rPr>
          <w:rFonts w:cs="Maiandra GD" w:ascii="Maiandra GD" w:hAnsi="Maiandra GD"/>
          <w:sz w:val="22"/>
        </w:rPr>
        <w:t>Modifications or adjustments that enable a covered entity’s employee with a disability to enjoy equal benefits and privileges of employment as are enjoyed by its other similarly situated employees without disabilities.</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Discrimination</w:t>
      </w:r>
      <w:r>
        <w:rPr>
          <w:rFonts w:cs="Maiandra GD" w:ascii="Maiandra GD" w:hAnsi="Maiandra GD"/>
          <w:sz w:val="22"/>
        </w:rPr>
        <w:t xml:space="preserve"> – Treating people unequally because of race, color, religion, sex, national origin, age, disability, marital status, veteran status, sexual orientation, pregnancy or related medical conditions; any practice without business justification that has unequal consequences for people of different race, etc., without actually using any of those classifications as a basis for treating people unequally.</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DOT Alcohol Misuse Prevention Plan (AMPP)</w:t>
      </w:r>
      <w:r>
        <w:rPr>
          <w:rFonts w:cs="Maiandra GD" w:ascii="Maiandra GD" w:hAnsi="Maiandra GD"/>
          <w:b/>
          <w:bCs/>
          <w:sz w:val="22"/>
        </w:rPr>
        <w:t xml:space="preserve"> – </w:t>
      </w:r>
      <w:r>
        <w:rPr>
          <w:rFonts w:cs="Maiandra GD" w:ascii="Maiandra GD" w:hAnsi="Maiandra GD"/>
          <w:sz w:val="22"/>
        </w:rPr>
        <w:t>Attach document.</w:t>
      </w:r>
    </w:p>
    <w:p>
      <w:pPr>
        <w:pStyle w:val="Normal"/>
        <w:jc w:val="both"/>
        <w:rPr>
          <w:rFonts w:ascii="Maiandra GD" w:hAnsi="Maiandra GD" w:cs="Maiandra GD"/>
          <w:b/>
          <w:bCs/>
          <w:color w:val="0000FF"/>
          <w:sz w:val="22"/>
        </w:rPr>
      </w:pPr>
      <w:r>
        <w:rPr>
          <w:rFonts w:cs="Maiandra GD" w:ascii="Maiandra GD" w:hAnsi="Maiandra GD"/>
          <w:b/>
          <w:bCs/>
          <w:color w:val="0000FF"/>
          <w:sz w:val="22"/>
        </w:rPr>
      </w:r>
    </w:p>
    <w:p>
      <w:pPr>
        <w:pStyle w:val="Normal"/>
        <w:jc w:val="both"/>
        <w:rPr/>
      </w:pPr>
      <w:r>
        <w:rPr>
          <w:emboss/>
          <w:color w:val="0000FF"/>
          <w:sz w:val="22"/>
          <w:u w:val="single"/>
        </w:rPr>
        <w:t>DOT Anti-Drug Plan</w:t>
      </w:r>
      <w:r>
        <w:rPr>
          <w:rFonts w:cs="Maiandra GD" w:ascii="Maiandra GD" w:hAnsi="Maiandra GD"/>
          <w:sz w:val="22"/>
        </w:rPr>
        <w:t xml:space="preserve"> – Attach document.</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Eligible Employees (Personal Leave)</w:t>
      </w:r>
      <w:r>
        <w:rPr>
          <w:rFonts w:cs="Maiandra GD" w:ascii="Maiandra GD" w:hAnsi="Maiandra GD"/>
          <w:sz w:val="22"/>
        </w:rPr>
        <w:t xml:space="preserve"> – Any employee who has completed one year of continuous service with Enron, requested and received management approval for the leave through documented procedure which meets employee and Enron needs, understands and accepts the conditions of the leave and acknowledges those conditions by signing the form, and who will not be gainfully employed while on leave.</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Eligible Employees (Sick Leave)</w:t>
      </w:r>
      <w:r>
        <w:rPr>
          <w:rFonts w:cs="Maiandra GD" w:ascii="Maiandra GD" w:hAnsi="Maiandra GD"/>
          <w:sz w:val="22"/>
        </w:rPr>
        <w:t xml:space="preserve"> - Pay Regular full-time employees are automatically eligible for sick leave pay on their first day of work.  Part-time employees who work 20 or more hours per week receive 40 hours of sick leave pay each calendar year.  Part-time employees who work less than 20 hours per week and temporary or contractual employees are not eligible for sick leave pay.  </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Eligible Employees (under FMLA)</w:t>
      </w:r>
      <w:r>
        <w:rPr>
          <w:rFonts w:eastAsia="Arial Unicode MS" w:cs="Maiandra GD" w:ascii="Maiandra GD" w:hAnsi="Maiandra GD"/>
          <w:sz w:val="22"/>
          <w:szCs w:val="18"/>
        </w:rPr>
        <w:t xml:space="preserve"> – A</w:t>
      </w:r>
      <w:r>
        <w:rPr>
          <w:rFonts w:cs="Maiandra GD" w:ascii="Maiandra GD" w:hAnsi="Maiandra GD"/>
          <w:sz w:val="22"/>
        </w:rPr>
        <w:t>t Enron, an employee is eligible if he/she:</w:t>
      </w:r>
    </w:p>
    <w:p>
      <w:pPr>
        <w:pStyle w:val="Normal"/>
        <w:jc w:val="both"/>
        <w:rPr>
          <w:rFonts w:ascii="Maiandra GD" w:hAnsi="Maiandra GD" w:cs="Maiandra GD"/>
          <w:sz w:val="22"/>
        </w:rPr>
      </w:pPr>
      <w:r>
        <w:rPr>
          <w:rFonts w:cs="Maiandra GD" w:ascii="Maiandra GD" w:hAnsi="Maiandra GD"/>
          <w:sz w:val="22"/>
        </w:rPr>
      </w:r>
    </w:p>
    <w:p>
      <w:pPr>
        <w:pStyle w:val="BodyTextIndent"/>
        <w:numPr>
          <w:ilvl w:val="0"/>
          <w:numId w:val="4"/>
        </w:numPr>
        <w:ind w:hanging="360" w:start="720" w:end="360"/>
        <w:jc w:val="both"/>
        <w:rPr>
          <w:rFonts w:ascii="Maiandra GD" w:hAnsi="Maiandra GD" w:cs="Maiandra GD"/>
          <w:sz w:val="22"/>
        </w:rPr>
      </w:pPr>
      <w:r>
        <w:rPr>
          <w:rFonts w:cs="Maiandra GD" w:ascii="Maiandra GD" w:hAnsi="Maiandra GD"/>
          <w:sz w:val="22"/>
        </w:rPr>
        <w:t>Has worked at Enron for at least one year,</w:t>
      </w:r>
    </w:p>
    <w:p>
      <w:pPr>
        <w:pStyle w:val="BodyTextIndent"/>
        <w:numPr>
          <w:ilvl w:val="0"/>
          <w:numId w:val="4"/>
        </w:numPr>
        <w:ind w:hanging="360" w:start="720" w:end="360"/>
        <w:jc w:val="both"/>
        <w:rPr>
          <w:rFonts w:ascii="Maiandra GD" w:hAnsi="Maiandra GD" w:cs="Maiandra GD"/>
          <w:sz w:val="22"/>
        </w:rPr>
      </w:pPr>
      <w:r>
        <w:rPr>
          <w:rFonts w:cs="Maiandra GD" w:ascii="Maiandra GD" w:hAnsi="Maiandra GD"/>
          <w:sz w:val="22"/>
        </w:rPr>
        <w:t>Has worked 1,250 hours over the previous 12 months,</w:t>
      </w:r>
    </w:p>
    <w:p>
      <w:pPr>
        <w:pStyle w:val="BodyTextIndent"/>
        <w:numPr>
          <w:ilvl w:val="0"/>
          <w:numId w:val="4"/>
        </w:numPr>
        <w:ind w:hanging="360" w:start="720" w:end="360"/>
        <w:jc w:val="both"/>
        <w:rPr>
          <w:rFonts w:ascii="Maiandra GD" w:hAnsi="Maiandra GD" w:cs="Maiandra GD"/>
          <w:b/>
          <w:bCs/>
          <w:sz w:val="22"/>
        </w:rPr>
      </w:pPr>
      <w:r>
        <w:rPr>
          <w:rFonts w:cs="Maiandra GD" w:ascii="Maiandra GD" w:hAnsi="Maiandra GD"/>
          <w:sz w:val="22"/>
        </w:rPr>
        <w:t>Has not exhausted prior FMLA leave eligibility during the previous 12 months, and</w:t>
      </w:r>
    </w:p>
    <w:p>
      <w:pPr>
        <w:pStyle w:val="Normal"/>
        <w:numPr>
          <w:ilvl w:val="0"/>
          <w:numId w:val="4"/>
        </w:numPr>
        <w:ind w:hanging="360" w:start="720" w:end="360"/>
        <w:jc w:val="both"/>
        <w:rPr>
          <w:rFonts w:ascii="Maiandra GD" w:hAnsi="Maiandra GD" w:cs="Maiandra GD"/>
          <w:sz w:val="22"/>
        </w:rPr>
      </w:pPr>
      <w:r>
        <w:rPr>
          <w:rFonts w:cs="Maiandra GD" w:ascii="Maiandra GD" w:hAnsi="Maiandra GD"/>
          <w:sz w:val="22"/>
        </w:rPr>
        <w:t>Requests FMLA leave for a qualifying reason.</w:t>
      </w:r>
    </w:p>
    <w:p>
      <w:pPr>
        <w:pStyle w:val="Normal"/>
        <w:ind w:end="360"/>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Employee Relations Team</w:t>
      </w:r>
      <w:r>
        <w:rPr>
          <w:emboss/>
          <w:color w:val="0000FF"/>
          <w:sz w:val="22"/>
        </w:rPr>
        <w:t xml:space="preserve"> </w:t>
      </w:r>
      <w:r>
        <w:rPr>
          <w:rFonts w:cs="Maiandra GD" w:ascii="Maiandra GD" w:hAnsi="Maiandra GD"/>
          <w:sz w:val="22"/>
        </w:rPr>
        <w:t>– Contact by phone at 713-853-7911 or via e-mail at employeerelations@enron.com</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EEO Officer</w:t>
      </w:r>
      <w:r>
        <w:rPr>
          <w:rFonts w:cs="Maiandra GD" w:ascii="Maiandra GD" w:hAnsi="Maiandra GD"/>
          <w:b/>
          <w:bCs/>
          <w:sz w:val="22"/>
        </w:rPr>
        <w:t xml:space="preserve"> </w:t>
      </w:r>
      <w:r>
        <w:rPr>
          <w:rFonts w:cs="Maiandra GD" w:ascii="Maiandra GD" w:hAnsi="Maiandra GD"/>
          <w:sz w:val="22"/>
        </w:rPr>
        <w:t>– The Executive Vice President of Human Resources and Community Relations is designated as the Company’s EEO Officer with authority, support, and responsibility to direct EEO, AAP, and Diversity Programs.</w:t>
      </w:r>
    </w:p>
    <w:p>
      <w:pPr>
        <w:pStyle w:val="Normal"/>
        <w:jc w:val="both"/>
        <w:rPr>
          <w:rFonts w:ascii="Maiandra GD" w:hAnsi="Maiandra GD" w:cs="Maiandra GD"/>
          <w:sz w:val="22"/>
        </w:rPr>
      </w:pPr>
      <w:r>
        <w:rPr>
          <w:rFonts w:cs="Maiandra GD" w:ascii="Maiandra GD" w:hAnsi="Maiandra GD"/>
          <w:sz w:val="22"/>
        </w:rPr>
      </w:r>
    </w:p>
    <w:p>
      <w:pPr>
        <w:pStyle w:val="Style11"/>
        <w:rPr/>
      </w:pPr>
      <w:r>
        <w:rPr/>
        <w:t>Enron’s Vision and Values</w:t>
      </w:r>
    </w:p>
    <w:p>
      <w:pPr>
        <w:pStyle w:val="Style11"/>
        <w:rPr/>
      </w:pPr>
      <w:r>
        <w:rPr/>
      </w:r>
    </w:p>
    <w:p>
      <w:pPr>
        <w:pStyle w:val="Normal"/>
        <w:numPr>
          <w:ilvl w:val="0"/>
          <w:numId w:val="8"/>
        </w:numPr>
        <w:ind w:hanging="360" w:start="720" w:end="360"/>
        <w:jc w:val="both"/>
        <w:rPr>
          <w:rFonts w:ascii="Maiandra GD" w:hAnsi="Maiandra GD" w:cs="Maiandra GD"/>
          <w:sz w:val="22"/>
        </w:rPr>
      </w:pPr>
      <w:r>
        <w:rPr>
          <w:rFonts w:cs="Maiandra GD" w:ascii="Maiandra GD" w:hAnsi="Maiandra GD"/>
          <w:i/>
          <w:iCs/>
          <w:sz w:val="22"/>
        </w:rPr>
        <w:t xml:space="preserve">Respect – </w:t>
      </w:r>
      <w:r>
        <w:rPr>
          <w:rFonts w:cs="Maiandra GD" w:ascii="Maiandra GD" w:hAnsi="Maiandra GD"/>
          <w:sz w:val="22"/>
        </w:rPr>
        <w:t>We</w:t>
      </w:r>
      <w:r>
        <w:rPr>
          <w:rFonts w:cs="Maiandra GD" w:ascii="Maiandra GD" w:hAnsi="Maiandra GD"/>
          <w:i/>
          <w:iCs/>
          <w:sz w:val="22"/>
        </w:rPr>
        <w:t xml:space="preserve"> </w:t>
      </w:r>
      <w:r>
        <w:rPr>
          <w:rFonts w:cs="Maiandra GD" w:ascii="Maiandra GD" w:hAnsi="Maiandra GD"/>
          <w:sz w:val="22"/>
        </w:rPr>
        <w:t xml:space="preserve">treat others as we would like to be treated ourselves.  We do not tolerate abusive or disrespectful treatment.  Ruthlessness, callousness, and arrogance do not belong here. </w:t>
      </w:r>
    </w:p>
    <w:p>
      <w:pPr>
        <w:pStyle w:val="Normal"/>
        <w:numPr>
          <w:ilvl w:val="0"/>
          <w:numId w:val="8"/>
        </w:numPr>
        <w:ind w:hanging="360" w:start="720" w:end="360"/>
        <w:jc w:val="both"/>
        <w:rPr>
          <w:rFonts w:ascii="Maiandra GD" w:hAnsi="Maiandra GD" w:cs="Maiandra GD"/>
          <w:sz w:val="22"/>
        </w:rPr>
      </w:pPr>
      <w:r>
        <w:rPr>
          <w:rFonts w:cs="Maiandra GD" w:ascii="Maiandra GD" w:hAnsi="Maiandra GD"/>
          <w:i/>
          <w:iCs/>
          <w:sz w:val="22"/>
        </w:rPr>
        <w:t xml:space="preserve">Integrity – </w:t>
      </w:r>
      <w:r>
        <w:rPr>
          <w:rFonts w:cs="Maiandra GD" w:ascii="Maiandra GD" w:hAnsi="Maiandra GD"/>
          <w:sz w:val="22"/>
        </w:rPr>
        <w:t>We</w:t>
      </w:r>
      <w:r>
        <w:rPr>
          <w:rFonts w:cs="Maiandra GD" w:ascii="Maiandra GD" w:hAnsi="Maiandra GD"/>
          <w:i/>
          <w:iCs/>
          <w:sz w:val="22"/>
        </w:rPr>
        <w:t xml:space="preserve"> </w:t>
      </w:r>
      <w:r>
        <w:rPr>
          <w:rFonts w:cs="Maiandra GD" w:ascii="Maiandra GD" w:hAnsi="Maiandra GD"/>
          <w:sz w:val="22"/>
        </w:rPr>
        <w:t>work with customers and prospects openly, honestly, and sincerely.  When we say we will do something, we will do it; when we say we cannot or will not do something, then we won’t do it.</w:t>
      </w:r>
    </w:p>
    <w:p>
      <w:pPr>
        <w:pStyle w:val="Normal"/>
        <w:numPr>
          <w:ilvl w:val="0"/>
          <w:numId w:val="8"/>
        </w:numPr>
        <w:ind w:hanging="360" w:start="720" w:end="360"/>
        <w:jc w:val="both"/>
        <w:rPr>
          <w:rFonts w:ascii="Maiandra GD" w:hAnsi="Maiandra GD" w:cs="Maiandra GD"/>
          <w:sz w:val="22"/>
        </w:rPr>
      </w:pPr>
      <w:r>
        <w:rPr>
          <w:rFonts w:cs="Maiandra GD" w:ascii="Maiandra GD" w:hAnsi="Maiandra GD"/>
          <w:i/>
          <w:iCs/>
          <w:sz w:val="22"/>
        </w:rPr>
        <w:t xml:space="preserve">Communication – </w:t>
      </w:r>
      <w:r>
        <w:rPr>
          <w:rFonts w:cs="Maiandra GD" w:ascii="Maiandra GD" w:hAnsi="Maiandra GD"/>
          <w:sz w:val="22"/>
        </w:rPr>
        <w:t>We</w:t>
      </w:r>
      <w:r>
        <w:rPr>
          <w:rFonts w:cs="Maiandra GD" w:ascii="Maiandra GD" w:hAnsi="Maiandra GD"/>
          <w:i/>
          <w:iCs/>
          <w:sz w:val="22"/>
        </w:rPr>
        <w:t xml:space="preserve"> </w:t>
      </w:r>
      <w:r>
        <w:rPr>
          <w:rFonts w:cs="Maiandra GD" w:ascii="Maiandra GD" w:hAnsi="Maiandra GD"/>
          <w:sz w:val="22"/>
        </w:rPr>
        <w:t xml:space="preserve">have an obligation to communicate.  Here, we take the time to talk with one another. . . and to listen.  We believe that information is meant to move and that information moves people. </w:t>
      </w:r>
    </w:p>
    <w:p>
      <w:pPr>
        <w:pStyle w:val="Normal"/>
        <w:numPr>
          <w:ilvl w:val="0"/>
          <w:numId w:val="8"/>
        </w:numPr>
        <w:ind w:hanging="360" w:start="720" w:end="360"/>
        <w:jc w:val="both"/>
        <w:rPr>
          <w:rFonts w:ascii="Maiandra GD" w:hAnsi="Maiandra GD" w:cs="Maiandra GD"/>
          <w:sz w:val="22"/>
        </w:rPr>
      </w:pPr>
      <w:r>
        <w:rPr>
          <w:rFonts w:cs="Maiandra GD" w:ascii="Maiandra GD" w:hAnsi="Maiandra GD"/>
          <w:i/>
          <w:iCs/>
          <w:sz w:val="22"/>
        </w:rPr>
        <w:t xml:space="preserve">Excellence – </w:t>
      </w:r>
      <w:r>
        <w:rPr>
          <w:rFonts w:cs="Maiandra GD" w:ascii="Maiandra GD" w:hAnsi="Maiandra GD"/>
          <w:sz w:val="22"/>
        </w:rPr>
        <w:t>We</w:t>
      </w:r>
      <w:r>
        <w:rPr>
          <w:rFonts w:cs="Maiandra GD" w:ascii="Maiandra GD" w:hAnsi="Maiandra GD"/>
          <w:i/>
          <w:iCs/>
          <w:sz w:val="22"/>
        </w:rPr>
        <w:t xml:space="preserve"> </w:t>
      </w:r>
      <w:r>
        <w:rPr>
          <w:rFonts w:cs="Maiandra GD" w:ascii="Maiandra GD" w:hAnsi="Maiandra GD"/>
          <w:sz w:val="22"/>
        </w:rPr>
        <w:t>are satisfied with nothing less than the very best in everything we do.  We will continue to raise the bar for everyone.  The great fun here will be for all of us to discover just how good we can really be.</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Equal Employment Opportunity (EEO)</w:t>
      </w:r>
      <w:r>
        <w:rPr>
          <w:rFonts w:cs="Maiandra GD" w:ascii="Maiandra GD" w:hAnsi="Maiandra GD"/>
          <w:b/>
          <w:bCs/>
          <w:sz w:val="22"/>
        </w:rPr>
        <w:t xml:space="preserve"> – </w:t>
      </w:r>
      <w:r>
        <w:rPr>
          <w:rFonts w:cs="Maiandra GD" w:ascii="Maiandra GD" w:hAnsi="Maiandra GD"/>
          <w:sz w:val="22"/>
        </w:rPr>
        <w:t xml:space="preserve">Nondiscrimination; the condition in which all applicants and employees are equally eligible for hire, promotion, and all employment benefits and opportunities based on their job qualifications and performance without regard to any factor that may be unlawful, and without present effects of past employment practices adverse to individuals for reasons related to race, religion, sex, marital status, age, disability, veteran status, and similar factors prescribed by local, state, or federal law.  </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rFonts w:cs="Maiandra GD" w:ascii="Maiandra GD" w:hAnsi="Maiandra GD"/>
          <w:sz w:val="22"/>
        </w:rPr>
        <w:t>The</w:t>
      </w:r>
      <w:r>
        <w:rPr>
          <w:rFonts w:cs="Maiandra GD" w:ascii="Maiandra GD" w:hAnsi="Maiandra GD"/>
          <w:b/>
          <w:bCs/>
          <w:sz w:val="22"/>
        </w:rPr>
        <w:t xml:space="preserve"> </w:t>
      </w:r>
      <w:r>
        <w:rPr>
          <w:rFonts w:cs="Maiandra GD" w:ascii="Maiandra GD" w:hAnsi="Maiandra GD"/>
          <w:sz w:val="22"/>
        </w:rPr>
        <w:t>EEO philosophy of Enron is summarized in just one sentence:</w:t>
      </w:r>
    </w:p>
    <w:p>
      <w:pPr>
        <w:pStyle w:val="Header"/>
        <w:tabs>
          <w:tab w:val="clear" w:pos="4320"/>
          <w:tab w:val="clear" w:pos="8640"/>
        </w:tabs>
        <w:jc w:val="both"/>
        <w:rPr>
          <w:rFonts w:ascii="Maiandra GD" w:hAnsi="Maiandra GD" w:cs="Maiandra GD"/>
          <w:sz w:val="22"/>
        </w:rPr>
      </w:pPr>
      <w:r>
        <w:rPr>
          <w:rFonts w:cs="Maiandra GD" w:ascii="Maiandra GD" w:hAnsi="Maiandra GD"/>
          <w:sz w:val="22"/>
        </w:rPr>
      </w:r>
    </w:p>
    <w:p>
      <w:pPr>
        <w:pStyle w:val="Normal"/>
        <w:jc w:val="center"/>
        <w:rPr>
          <w:rFonts w:ascii="Maiandra GD" w:hAnsi="Maiandra GD" w:cs="Maiandra GD"/>
          <w:b/>
          <w:bCs/>
          <w:sz w:val="22"/>
        </w:rPr>
      </w:pPr>
      <w:r>
        <w:rPr>
          <w:rFonts w:cs="Maiandra GD" w:ascii="Maiandra GD" w:hAnsi="Maiandra GD"/>
          <w:b/>
          <w:bCs/>
          <w:sz w:val="22"/>
        </w:rPr>
        <w:t>It is the policy of Enron to not discriminate unlawfully.</w:t>
      </w:r>
    </w:p>
    <w:p>
      <w:pPr>
        <w:pStyle w:val="Normal"/>
        <w:jc w:val="both"/>
        <w:rPr>
          <w:rFonts w:ascii="Maiandra GD" w:hAnsi="Maiandra GD" w:cs="Maiandra GD"/>
          <w:b/>
          <w:bCs/>
          <w:sz w:val="22"/>
        </w:rPr>
      </w:pPr>
      <w:r>
        <w:rPr>
          <w:rFonts w:cs="Maiandra GD" w:ascii="Maiandra GD" w:hAnsi="Maiandra GD"/>
          <w:b/>
          <w:bCs/>
          <w:sz w:val="22"/>
        </w:rPr>
      </w:r>
    </w:p>
    <w:p>
      <w:pPr>
        <w:pStyle w:val="BodyTextIndent"/>
        <w:ind w:hanging="0" w:start="0" w:end="0"/>
        <w:jc w:val="both"/>
        <w:rPr>
          <w:rFonts w:ascii="Maiandra GD" w:hAnsi="Maiandra GD" w:cs="Maiandra GD"/>
          <w:sz w:val="22"/>
        </w:rPr>
      </w:pPr>
      <w:r>
        <w:rPr>
          <w:rFonts w:cs="Maiandra GD" w:ascii="Maiandra GD" w:hAnsi="Maiandra GD"/>
          <w:sz w:val="22"/>
        </w:rPr>
        <w:t xml:space="preserve">This philosophy directly affects how you can expect to be treated as an Enron employee.  </w:t>
      </w:r>
    </w:p>
    <w:p>
      <w:pPr>
        <w:pStyle w:val="BodyTextIndent"/>
        <w:ind w:hanging="0" w:start="0" w:end="0"/>
        <w:jc w:val="both"/>
        <w:rPr>
          <w:rFonts w:ascii="Maiandra GD" w:hAnsi="Maiandra GD" w:cs="Maiandra GD"/>
          <w:sz w:val="22"/>
        </w:rPr>
      </w:pPr>
      <w:r>
        <w:rPr>
          <w:rFonts w:cs="Maiandra GD" w:ascii="Maiandra GD" w:hAnsi="Maiandra GD"/>
          <w:sz w:val="22"/>
        </w:rPr>
      </w:r>
    </w:p>
    <w:p>
      <w:pPr>
        <w:pStyle w:val="Normal"/>
        <w:numPr>
          <w:ilvl w:val="0"/>
          <w:numId w:val="3"/>
        </w:numPr>
        <w:ind w:hanging="360" w:start="720" w:end="360"/>
        <w:jc w:val="both"/>
        <w:rPr>
          <w:rFonts w:ascii="Maiandra GD" w:hAnsi="Maiandra GD" w:cs="Maiandra GD"/>
          <w:sz w:val="22"/>
        </w:rPr>
      </w:pPr>
      <w:r>
        <w:rPr>
          <w:rFonts w:cs="Maiandra GD" w:ascii="Maiandra GD" w:hAnsi="Maiandra GD"/>
          <w:sz w:val="22"/>
        </w:rPr>
        <w:t>You can expect to be treated safely and lawfully,</w:t>
      </w:r>
    </w:p>
    <w:p>
      <w:pPr>
        <w:pStyle w:val="Normal"/>
        <w:numPr>
          <w:ilvl w:val="0"/>
          <w:numId w:val="3"/>
        </w:numPr>
        <w:ind w:hanging="360" w:start="720" w:end="360"/>
        <w:jc w:val="both"/>
        <w:rPr>
          <w:rFonts w:ascii="Maiandra GD" w:hAnsi="Maiandra GD" w:cs="Maiandra GD"/>
          <w:sz w:val="22"/>
        </w:rPr>
      </w:pPr>
      <w:r>
        <w:rPr>
          <w:rFonts w:cs="Maiandra GD" w:ascii="Maiandra GD" w:hAnsi="Maiandra GD"/>
          <w:sz w:val="22"/>
        </w:rPr>
        <w:t>You can expect your work locations and work relationships to be free from discrimination and harassment,</w:t>
      </w:r>
    </w:p>
    <w:p>
      <w:pPr>
        <w:pStyle w:val="Normal"/>
        <w:numPr>
          <w:ilvl w:val="0"/>
          <w:numId w:val="3"/>
        </w:numPr>
        <w:ind w:hanging="360" w:start="720" w:end="360"/>
        <w:jc w:val="both"/>
        <w:rPr>
          <w:rFonts w:ascii="Maiandra GD" w:hAnsi="Maiandra GD" w:cs="Maiandra GD"/>
          <w:sz w:val="22"/>
        </w:rPr>
      </w:pPr>
      <w:r>
        <w:rPr>
          <w:rFonts w:cs="Maiandra GD" w:ascii="Maiandra GD" w:hAnsi="Maiandra GD"/>
          <w:sz w:val="22"/>
        </w:rPr>
        <w:t>You can expect employment opportunities that relate to business needs, your job qualifications and job performance, and</w:t>
      </w:r>
    </w:p>
    <w:p>
      <w:pPr>
        <w:pStyle w:val="Normal"/>
        <w:numPr>
          <w:ilvl w:val="0"/>
          <w:numId w:val="3"/>
        </w:numPr>
        <w:ind w:hanging="360" w:start="720" w:end="360"/>
        <w:jc w:val="both"/>
        <w:rPr>
          <w:rFonts w:ascii="Maiandra GD" w:hAnsi="Maiandra GD" w:cs="Maiandra GD"/>
          <w:sz w:val="22"/>
        </w:rPr>
      </w:pPr>
      <w:r>
        <w:rPr>
          <w:rFonts w:cs="Maiandra GD" w:ascii="Maiandra GD" w:hAnsi="Maiandra GD"/>
          <w:sz w:val="22"/>
        </w:rPr>
        <w:t>You can expect the Company to address and resolve, without fear of retaliation, any job-related concern of inequitable treatment that you bring to the attention of your supervisor, Human Resources, or the Employee Relations Team.</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Essential Job Function</w:t>
      </w:r>
      <w:r>
        <w:rPr>
          <w:rFonts w:cs="Maiandra GD" w:ascii="Maiandra GD" w:hAnsi="Maiandra GD"/>
          <w:b/>
          <w:bCs/>
          <w:sz w:val="22"/>
        </w:rPr>
        <w:t xml:space="preserve"> – </w:t>
      </w:r>
      <w:r>
        <w:rPr>
          <w:rFonts w:cs="Maiandra GD" w:ascii="Maiandra GD" w:hAnsi="Maiandra GD"/>
          <w:sz w:val="22"/>
        </w:rPr>
        <w:t xml:space="preserve">A fundamental duty, not marginal or occasional, that must be performed to fulfill the purpose of a specific job. </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Exempt</w:t>
      </w:r>
      <w:r>
        <w:rPr>
          <w:rFonts w:cs="Maiandra GD" w:ascii="Maiandra GD" w:hAnsi="Maiandra GD"/>
          <w:b/>
          <w:bCs/>
          <w:sz w:val="22"/>
        </w:rPr>
        <w:t xml:space="preserve"> – </w:t>
      </w:r>
      <w:r>
        <w:rPr>
          <w:rFonts w:cs="Maiandra GD" w:ascii="Maiandra GD" w:hAnsi="Maiandra GD"/>
          <w:sz w:val="22"/>
        </w:rPr>
        <w:t>A legal pay status of employees in professional, managerial, or officer positions which determines eligibility for some company benefits and ineligibility for overtime pay under the Fair Labor Standards Act (FLSA).</w:t>
      </w:r>
    </w:p>
    <w:p>
      <w:pPr>
        <w:pStyle w:val="Normal"/>
        <w:ind w:start="936" w:end="0"/>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Feedback</w:t>
      </w:r>
      <w:r>
        <w:rPr>
          <w:rFonts w:cs="Maiandra GD" w:ascii="Maiandra GD" w:hAnsi="Maiandra GD"/>
          <w:b/>
          <w:bCs/>
          <w:sz w:val="22"/>
        </w:rPr>
        <w:t xml:space="preserve"> – </w:t>
      </w:r>
      <w:r>
        <w:rPr>
          <w:rFonts w:cs="Maiandra GD" w:ascii="Maiandra GD" w:hAnsi="Maiandra GD"/>
          <w:sz w:val="22"/>
        </w:rPr>
        <w:t>Observations, comments, thoughts, suggestions, etc. of a participant’s performance; the amount of information received about how well or how poorly an employee has performed.</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Formal Evaluation</w:t>
      </w:r>
      <w:r>
        <w:rPr>
          <w:rFonts w:cs="Maiandra GD" w:ascii="Maiandra GD" w:hAnsi="Maiandra GD"/>
          <w:b/>
          <w:bCs/>
          <w:sz w:val="22"/>
        </w:rPr>
        <w:t xml:space="preserve"> – </w:t>
      </w:r>
      <w:r>
        <w:rPr>
          <w:rFonts w:cs="Maiandra GD" w:ascii="Maiandra GD" w:hAnsi="Maiandra GD"/>
          <w:sz w:val="22"/>
        </w:rPr>
        <w:t>A</w:t>
      </w:r>
      <w:r>
        <w:rPr>
          <w:rFonts w:cs="Maiandra GD" w:ascii="Maiandra GD" w:hAnsi="Maiandra GD"/>
          <w:b/>
          <w:bCs/>
          <w:sz w:val="22"/>
        </w:rPr>
        <w:t xml:space="preserve"> </w:t>
      </w:r>
      <w:r>
        <w:rPr>
          <w:rFonts w:cs="Maiandra GD" w:ascii="Maiandra GD" w:hAnsi="Maiandra GD"/>
          <w:sz w:val="22"/>
        </w:rPr>
        <w:t>one-on-one discussion between an employee and his/her supervisor regarding the employee’s performance during the review period.  During the evaluation, the employee is presented with an evaluation form to confirm written details of the employee’s performance.</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Full Month</w:t>
      </w:r>
      <w:r>
        <w:rPr>
          <w:rFonts w:cs="Maiandra GD" w:ascii="Maiandra GD" w:hAnsi="Maiandra GD"/>
          <w:sz w:val="22"/>
        </w:rPr>
        <w:t xml:space="preserve"> – Employees must be on the Company payroll and actively at work as of the first business day of the calendar month to accrue vacation for that month.  Employees who actively start work on any date other than the first business day of the month will not accrue vacation for that month.</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r>
        <w:rPr>
          <w:emboss/>
          <w:color w:val="0000FF"/>
          <w:sz w:val="22"/>
          <w:u w:val="single"/>
        </w:rPr>
        <w:t>Harassment</w:t>
      </w:r>
      <w:r>
        <w:rPr>
          <w:rFonts w:cs="Maiandra GD" w:ascii="Maiandra GD" w:hAnsi="Maiandra GD"/>
          <w:b/>
          <w:bCs/>
          <w:sz w:val="22"/>
        </w:rPr>
        <w:t xml:space="preserve"> </w:t>
      </w:r>
      <w:r>
        <w:rPr>
          <w:rFonts w:cs="Maiandra GD" w:ascii="Maiandra GD" w:hAnsi="Maiandra GD"/>
          <w:sz w:val="22"/>
        </w:rPr>
        <w:t>– Harassment is conduct which has the purpose or effect of denying equal employment opportunity and/or creating a hostile, intimidating, or abusive work environment.  It may include, but is not limited to:</w:t>
      </w:r>
    </w:p>
    <w:p>
      <w:pPr>
        <w:pStyle w:val="Header"/>
        <w:tabs>
          <w:tab w:val="clear" w:pos="4320"/>
          <w:tab w:val="clear" w:pos="8640"/>
        </w:tabs>
        <w:jc w:val="both"/>
        <w:rPr>
          <w:rFonts w:ascii="Maiandra GD" w:hAnsi="Maiandra GD" w:cs="Maiandra GD"/>
          <w:sz w:val="22"/>
        </w:rPr>
      </w:pPr>
      <w:r>
        <w:rPr>
          <w:rFonts w:cs="Maiandra GD" w:ascii="Maiandra GD" w:hAnsi="Maiandra GD"/>
          <w:sz w:val="22"/>
        </w:rPr>
      </w:r>
    </w:p>
    <w:p>
      <w:pPr>
        <w:pStyle w:val="Normal"/>
        <w:numPr>
          <w:ilvl w:val="0"/>
          <w:numId w:val="6"/>
        </w:numPr>
        <w:ind w:hanging="360" w:start="720" w:end="360"/>
        <w:jc w:val="both"/>
        <w:rPr>
          <w:rFonts w:ascii="Maiandra GD" w:hAnsi="Maiandra GD" w:cs="Maiandra GD"/>
          <w:sz w:val="22"/>
        </w:rPr>
      </w:pPr>
      <w:r>
        <w:rPr>
          <w:rFonts w:cs="Maiandra GD" w:ascii="Maiandra GD" w:hAnsi="Maiandra GD"/>
          <w:sz w:val="22"/>
        </w:rPr>
        <w:t>Verbal conduct such as threats, epithets, derogatory comments, or slurs;</w:t>
      </w:r>
    </w:p>
    <w:p>
      <w:pPr>
        <w:pStyle w:val="Normal"/>
        <w:numPr>
          <w:ilvl w:val="0"/>
          <w:numId w:val="6"/>
        </w:numPr>
        <w:ind w:hanging="360" w:start="720" w:end="360"/>
        <w:jc w:val="both"/>
        <w:rPr>
          <w:rFonts w:ascii="Maiandra GD" w:hAnsi="Maiandra GD" w:cs="Maiandra GD"/>
          <w:sz w:val="22"/>
        </w:rPr>
      </w:pPr>
      <w:r>
        <w:rPr>
          <w:rFonts w:cs="Maiandra GD" w:ascii="Maiandra GD" w:hAnsi="Maiandra GD"/>
          <w:sz w:val="22"/>
        </w:rPr>
        <w:t>Visual conduct such as derogatory posters, photographs, cartoons, drawings, or gestures;</w:t>
      </w:r>
    </w:p>
    <w:p>
      <w:pPr>
        <w:pStyle w:val="Normal"/>
        <w:numPr>
          <w:ilvl w:val="0"/>
          <w:numId w:val="6"/>
        </w:numPr>
        <w:ind w:hanging="360" w:start="720" w:end="360"/>
        <w:jc w:val="both"/>
        <w:rPr>
          <w:rFonts w:ascii="Maiandra GD" w:hAnsi="Maiandra GD" w:cs="Maiandra GD"/>
          <w:sz w:val="22"/>
        </w:rPr>
      </w:pPr>
      <w:r>
        <w:rPr>
          <w:rFonts w:cs="Maiandra GD" w:ascii="Maiandra GD" w:hAnsi="Maiandra GD"/>
          <w:sz w:val="22"/>
        </w:rPr>
        <w:t>Written or electronic communications containing statements which may be offensive to individuals in a particular protected group, such as racial or ethnic stereotypes or caricatures;</w:t>
      </w:r>
    </w:p>
    <w:p>
      <w:pPr>
        <w:pStyle w:val="Normal"/>
        <w:numPr>
          <w:ilvl w:val="0"/>
          <w:numId w:val="6"/>
        </w:numPr>
        <w:ind w:hanging="360" w:start="720" w:end="360"/>
        <w:jc w:val="both"/>
        <w:rPr>
          <w:rFonts w:ascii="Maiandra GD" w:hAnsi="Maiandra GD" w:cs="Maiandra GD"/>
          <w:sz w:val="22"/>
        </w:rPr>
      </w:pPr>
      <w:r>
        <w:rPr>
          <w:rFonts w:cs="Maiandra GD" w:ascii="Maiandra GD" w:hAnsi="Maiandra GD"/>
          <w:sz w:val="22"/>
        </w:rPr>
        <w:t>Physical conduct such as assault, unwanted touching, or blocking normal movement; or</w:t>
      </w:r>
    </w:p>
    <w:p>
      <w:pPr>
        <w:pStyle w:val="Normal"/>
        <w:numPr>
          <w:ilvl w:val="0"/>
          <w:numId w:val="6"/>
        </w:numPr>
        <w:ind w:hanging="360" w:start="720" w:end="360"/>
        <w:jc w:val="both"/>
        <w:rPr>
          <w:rFonts w:ascii="Maiandra GD" w:hAnsi="Maiandra GD" w:cs="Maiandra GD"/>
          <w:b/>
          <w:bCs/>
          <w:sz w:val="22"/>
        </w:rPr>
      </w:pPr>
      <w:r>
        <w:rPr>
          <w:rFonts w:cs="Maiandra GD" w:ascii="Maiandra GD" w:hAnsi="Maiandra GD"/>
          <w:sz w:val="22"/>
        </w:rPr>
        <w:t xml:space="preserve">Retaliation for making or threatening to make harassment reports to the company or for participating in an investigation into harassment allegations.  </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Hourly</w:t>
      </w:r>
      <w:r>
        <w:rPr>
          <w:rFonts w:cs="Maiandra GD" w:ascii="Maiandra GD" w:hAnsi="Maiandra GD"/>
          <w:sz w:val="22"/>
        </w:rPr>
        <w:t xml:space="preserve"> – Part-time, temporary, and/or contractual employees who are paid on a straight hourly basis.</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r>
        <w:rPr>
          <w:rFonts w:cs="Maiandra GD" w:ascii="Maiandra GD" w:hAnsi="Maiandra GD"/>
          <w:b/>
          <w:bCs/>
          <w:emboss/>
          <w:color w:val="FF0000"/>
          <w:sz w:val="22"/>
          <w:u w:val="single"/>
        </w:rPr>
        <w:t>Http://enronjobs.enron.com</w:t>
      </w:r>
      <w:r>
        <w:rPr>
          <w:rFonts w:cs="Maiandra GD" w:ascii="Maiandra GD" w:hAnsi="Maiandra GD"/>
          <w:b/>
          <w:bCs/>
          <w:sz w:val="22"/>
        </w:rPr>
        <w:t xml:space="preserve"> </w:t>
      </w:r>
      <w:r>
        <w:rPr>
          <w:rFonts w:cs="Maiandra GD" w:ascii="Maiandra GD" w:hAnsi="Maiandra GD"/>
          <w:sz w:val="22"/>
        </w:rPr>
        <w:t>– Link to job postings.</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hyperlink r:id="rId4">
        <w:r>
          <w:rPr>
            <w:rStyle w:val="Hyperlink"/>
            <w:rFonts w:cs="Maiandra GD" w:ascii="Maiandra GD" w:hAnsi="Maiandra GD"/>
            <w:emboss/>
            <w:color w:val="FF0000"/>
            <w:sz w:val="22"/>
            <w:u w:val="single"/>
          </w:rPr>
          <w:t>Http://hrweb.enron.com</w:t>
        </w:r>
      </w:hyperlink>
      <w:r>
        <w:rPr>
          <w:rFonts w:cs="Maiandra GD" w:ascii="Maiandra GD" w:hAnsi="Maiandra GD"/>
          <w:sz w:val="22"/>
        </w:rPr>
        <w:t xml:space="preserve"> – Link to HRweb website.</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Immediate Family Member</w:t>
      </w:r>
      <w:r>
        <w:rPr>
          <w:rFonts w:cs="Maiandra GD" w:ascii="Maiandra GD" w:hAnsi="Maiandra GD"/>
          <w:sz w:val="22"/>
        </w:rPr>
        <w:t xml:space="preserve"> – Includes spouse, child, stepchild, foster child, parent, foster parent, grandchild, grandparent, brother, sister, parent-in-law, sister-in-law, or brother-in-law.</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Impaired</w:t>
      </w:r>
      <w:r>
        <w:rPr>
          <w:rFonts w:cs="Maiandra GD" w:ascii="Maiandra GD" w:hAnsi="Maiandra GD"/>
          <w:b/>
          <w:bCs/>
          <w:sz w:val="22"/>
        </w:rPr>
        <w:t xml:space="preserve"> – </w:t>
      </w:r>
      <w:r>
        <w:rPr>
          <w:rFonts w:cs="Maiandra GD" w:ascii="Maiandra GD" w:hAnsi="Maiandra GD"/>
          <w:sz w:val="22"/>
        </w:rPr>
        <w:t>A condition in which an employee’s physical and/or mental abilities or capabilities are reduced or diminished and/or the employee demonstrates signs and symptoms of alcohol or drug use, such as the smell of alcohol on the breath, lack of coordination, staggered gait, slurred speech, or bloodshot and watery eyes.</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Internal Investigation</w:t>
      </w:r>
      <w:r>
        <w:rPr>
          <w:rFonts w:cs="Maiandra GD" w:ascii="Maiandra GD" w:hAnsi="Maiandra GD"/>
          <w:sz w:val="22"/>
        </w:rPr>
        <w:t xml:space="preserve"> – When a concern of inequitable, unlawful, or unsafe treatment is raised, it will be investigated thoroughly and promptly.  An effective resolution will be reached based on all the evidence.  Employees should understand that the Company will take every reasonable step to ensure confidentiality, but must act on assertions indicating that a violation of policy or law has occurred.</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Job Qualifications</w:t>
      </w:r>
      <w:r>
        <w:rPr>
          <w:emboss/>
          <w:color w:val="0000FF"/>
          <w:sz w:val="22"/>
        </w:rPr>
        <w:t xml:space="preserve"> </w:t>
      </w:r>
      <w:r>
        <w:rPr>
          <w:rFonts w:cs="Maiandra GD" w:ascii="Maiandra GD" w:hAnsi="Maiandra GD"/>
          <w:b/>
          <w:bCs/>
          <w:sz w:val="22"/>
        </w:rPr>
        <w:t xml:space="preserve">– </w:t>
      </w:r>
      <w:r>
        <w:rPr>
          <w:rFonts w:cs="Maiandra GD" w:ascii="Maiandra GD" w:hAnsi="Maiandra GD"/>
          <w:sz w:val="22"/>
        </w:rPr>
        <w:t>The skills, abilities, education, experience, and knowledge necessary to perform an essential job function safely and effectively.</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Long Term Disability Insurance</w:t>
      </w:r>
      <w:r>
        <w:rPr>
          <w:rFonts w:eastAsia="Arial Unicode MS" w:cs="Maiandra GD" w:ascii="Maiandra GD" w:hAnsi="Maiandra GD"/>
          <w:sz w:val="22"/>
          <w:szCs w:val="18"/>
        </w:rPr>
        <w:t xml:space="preserve"> – See p</w:t>
      </w:r>
      <w:r>
        <w:rPr>
          <w:rFonts w:cs="Maiandra GD" w:ascii="Maiandra GD" w:hAnsi="Maiandra GD"/>
          <w:sz w:val="22"/>
        </w:rPr>
        <w:t>ages 79-85 in the Benefit plan book.</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Marital Status</w:t>
      </w:r>
      <w:r>
        <w:rPr>
          <w:rFonts w:cs="Maiandra GD" w:ascii="Maiandra GD" w:hAnsi="Maiandra GD"/>
          <w:sz w:val="22"/>
        </w:rPr>
        <w:t xml:space="preserve"> – A</w:t>
      </w:r>
      <w:r>
        <w:rPr>
          <w:rFonts w:cs="Maiandra GD" w:ascii="Maiandra GD" w:hAnsi="Maiandra GD"/>
          <w:sz w:val="22"/>
          <w:szCs w:val="20"/>
        </w:rPr>
        <w:t>n individual's status as married, single, divorced, or separated; an unlawful factor for denying equal employment opportunity.</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National Holidays</w:t>
      </w:r>
      <w:r>
        <w:rPr>
          <w:rFonts w:cs="Maiandra GD" w:ascii="Maiandra GD" w:hAnsi="Maiandra GD"/>
          <w:b/>
          <w:bCs/>
          <w:sz w:val="22"/>
        </w:rPr>
        <w:t xml:space="preserve"> </w:t>
      </w:r>
      <w:r>
        <w:rPr>
          <w:rFonts w:cs="Maiandra GD" w:ascii="Maiandra GD" w:hAnsi="Maiandra GD"/>
          <w:sz w:val="22"/>
        </w:rPr>
        <w:t>– New Year’s Day, Martin Luther King Day, President’s Day, Memorial Day, Independence Day, Labor Day, Thanksgiving Day, and Christmas Day.</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National Origin</w:t>
      </w:r>
      <w:r>
        <w:rPr>
          <w:rFonts w:cs="Maiandra GD" w:ascii="Maiandra GD" w:hAnsi="Maiandra GD"/>
          <w:sz w:val="22"/>
        </w:rPr>
        <w:t xml:space="preserve"> – The </w:t>
      </w:r>
      <w:r>
        <w:rPr>
          <w:rFonts w:cs="Maiandra GD" w:ascii="Maiandra GD" w:hAnsi="Maiandra GD"/>
          <w:sz w:val="22"/>
          <w:szCs w:val="20"/>
        </w:rPr>
        <w:t>nation of an employee's origin or that of his/her ancestors; an unlawful factor for denying equal employment opportunity.</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r>
        <w:rPr>
          <w:emboss/>
          <w:color w:val="0000FF"/>
          <w:sz w:val="22"/>
          <w:u w:val="single"/>
        </w:rPr>
        <w:t>Nonexempt</w:t>
      </w:r>
      <w:r>
        <w:rPr>
          <w:rFonts w:cs="Maiandra GD" w:ascii="Maiandra GD" w:hAnsi="Maiandra GD"/>
          <w:b/>
          <w:bCs/>
          <w:sz w:val="22"/>
        </w:rPr>
        <w:t xml:space="preserve"> – </w:t>
      </w:r>
      <w:r>
        <w:rPr>
          <w:rFonts w:cs="Maiandra GD" w:ascii="Maiandra GD" w:hAnsi="Maiandra GD"/>
          <w:sz w:val="22"/>
        </w:rPr>
        <w:t>A legal pay status of employees in laborer, service, operator, craft, and office/clerical positions which determines eligibility for some company benefits and overtime pay under the Fair Labor Standards Act (FLSA).</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Obligation to Act</w:t>
      </w:r>
      <w:r>
        <w:rPr>
          <w:emboss/>
          <w:color w:val="0000FF"/>
          <w:sz w:val="22"/>
        </w:rPr>
        <w:t xml:space="preserve"> </w:t>
      </w:r>
      <w:r>
        <w:rPr>
          <w:rFonts w:cs="Maiandra GD" w:ascii="Maiandra GD" w:hAnsi="Maiandra GD"/>
          <w:sz w:val="22"/>
        </w:rPr>
        <w:t>– You can expect the Company to address and resolve, without fear of retaliation, any job-related concern of inequitable treatment that you bring to the attention of your supervisor, Human Resources, or the Employee Relations Team.</w:t>
      </w:r>
    </w:p>
    <w:p>
      <w:pPr>
        <w:pStyle w:val="Normal"/>
        <w:jc w:val="both"/>
        <w:rPr>
          <w:rFonts w:ascii="Maiandra GD" w:hAnsi="Maiandra GD" w:cs="Maiandra GD"/>
          <w:sz w:val="22"/>
        </w:rPr>
      </w:pPr>
      <w:r>
        <w:rPr>
          <w:rFonts w:cs="Maiandra GD" w:ascii="Maiandra GD" w:hAnsi="Maiandra GD"/>
          <w:sz w:val="22"/>
        </w:rPr>
      </w:r>
    </w:p>
    <w:p>
      <w:pPr>
        <w:pStyle w:val="Normal"/>
        <w:autoSpaceDE w:val="false"/>
        <w:rPr/>
      </w:pPr>
      <w:r>
        <w:rPr>
          <w:emboss/>
          <w:color w:val="0000FF"/>
          <w:sz w:val="22"/>
          <w:u w:val="single"/>
        </w:rPr>
        <w:t>Overtime -</w:t>
      </w:r>
      <w:r>
        <w:rPr>
          <w:rFonts w:cs="Maiandra GD" w:ascii="Maiandra GD" w:hAnsi="Maiandra GD"/>
          <w:sz w:val="22"/>
        </w:rPr>
        <w:t xml:space="preserve"> Overtime shall be defined as any hours actually worked in excess of 40 hours per week.  Non-exempt employees are eligible for additional pay for work performed beyond 40 hours per week.  Full time hours at Enron are generally 8 a.m. to 5 p.m., Monday through Friday, with a one hour lunch period each day.  Business units may define alternative schedules.  </w:t>
      </w:r>
    </w:p>
    <w:p>
      <w:pPr>
        <w:pStyle w:val="Normal"/>
        <w:autoSpaceDE w:val="false"/>
        <w:rPr>
          <w:rFonts w:ascii="Maiandra GD" w:hAnsi="Maiandra GD" w:cs="Maiandra GD"/>
          <w:sz w:val="22"/>
        </w:rPr>
      </w:pPr>
      <w:r>
        <w:rPr>
          <w:rFonts w:cs="Maiandra GD" w:ascii="Maiandra GD" w:hAnsi="Maiandra GD"/>
          <w:sz w:val="22"/>
        </w:rPr>
      </w:r>
    </w:p>
    <w:p>
      <w:pPr>
        <w:pStyle w:val="Normal"/>
        <w:autoSpaceDE w:val="false"/>
        <w:rPr>
          <w:rFonts w:ascii="Maiandra GD" w:hAnsi="Maiandra GD" w:cs="Maiandra GD"/>
          <w:sz w:val="22"/>
        </w:rPr>
      </w:pPr>
      <w:r>
        <w:rPr>
          <w:rFonts w:cs="Maiandra GD" w:ascii="Maiandra GD" w:hAnsi="Maiandra GD"/>
          <w:sz w:val="22"/>
        </w:rPr>
        <w:t>Non-exempt employees who have worked more than 40 hours in one week shall be paid at a rate of one and one-half times their respective hourly rate of base pay.  Exempt employees are not eligible for overtime pay.</w:t>
      </w:r>
    </w:p>
    <w:p>
      <w:pPr>
        <w:pStyle w:val="Normal"/>
        <w:autoSpaceDE w:val="false"/>
        <w:rPr>
          <w:rFonts w:ascii="Maiandra GD" w:hAnsi="Maiandra GD" w:cs="Maiandra GD"/>
          <w:sz w:val="22"/>
        </w:rPr>
      </w:pPr>
      <w:r>
        <w:rPr>
          <w:rFonts w:cs="Maiandra GD" w:ascii="Maiandra GD" w:hAnsi="Maiandra GD"/>
          <w:sz w:val="22"/>
        </w:rPr>
      </w:r>
    </w:p>
    <w:p>
      <w:pPr>
        <w:pStyle w:val="Normal"/>
        <w:autoSpaceDE w:val="false"/>
        <w:rPr>
          <w:rFonts w:ascii="Maiandra GD" w:hAnsi="Maiandra GD" w:cs="Maiandra GD"/>
          <w:sz w:val="22"/>
        </w:rPr>
      </w:pPr>
      <w:r>
        <w:rPr>
          <w:rFonts w:cs="Maiandra GD" w:ascii="Maiandra GD" w:hAnsi="Maiandra GD"/>
          <w:sz w:val="22"/>
        </w:rPr>
        <w:t>Hours worked, military leave, jury duty, vacation days and designated Company holidays are considered as time worked. All other time away from the job (e.g., sick time, and personal days off, etc.-with or without pay) is not considered as time worked.</w:t>
        <w:br/>
        <w:br/>
        <w:t xml:space="preserve"> Employees are responsible for calculating their own hours on a weekly basis.</w:t>
      </w:r>
    </w:p>
    <w:p>
      <w:pPr>
        <w:pStyle w:val="Normal"/>
        <w:autoSpaceDE w:val="false"/>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i/>
          <w:i/>
          <w:iCs/>
          <w:sz w:val="22"/>
        </w:rPr>
      </w:pPr>
      <w:r>
        <w:rPr>
          <w:rFonts w:cs="Maiandra GD" w:ascii="Maiandra GD" w:hAnsi="Maiandra GD"/>
          <w:sz w:val="22"/>
        </w:rPr>
        <w:t>Each day, the time the employee starts and finishes work must be recorded on a time record.  The employee's supervisor must approve his/her hours worked at the end of each week.  All additional overtime worked must be approved by a supervisor each day.</w:t>
      </w:r>
    </w:p>
    <w:p>
      <w:pPr>
        <w:pStyle w:val="Normal"/>
        <w:jc w:val="both"/>
        <w:rPr>
          <w:rFonts w:ascii="Maiandra GD" w:hAnsi="Maiandra GD" w:cs="Maiandra GD"/>
          <w:b/>
          <w:bCs/>
          <w:i/>
          <w:i/>
          <w:iCs/>
          <w:sz w:val="22"/>
        </w:rPr>
      </w:pPr>
      <w:r>
        <w:rPr>
          <w:rFonts w:cs="Maiandra GD" w:ascii="Maiandra GD" w:hAnsi="Maiandra GD"/>
          <w:b/>
          <w:bCs/>
          <w:i/>
          <w:iCs/>
          <w:sz w:val="22"/>
        </w:rPr>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r>
        <w:rPr>
          <w:emboss/>
          <w:color w:val="0000FF"/>
          <w:sz w:val="22"/>
          <w:u w:val="single"/>
        </w:rPr>
        <w:t>Performance Evaluation Process (PEP)</w:t>
      </w:r>
      <w:r>
        <w:rPr>
          <w:rFonts w:cs="Maiandra GD" w:ascii="Maiandra GD" w:hAnsi="Maiandra GD"/>
          <w:b/>
          <w:bCs/>
          <w:sz w:val="22"/>
        </w:rPr>
        <w:t xml:space="preserve"> </w:t>
      </w:r>
      <w:r>
        <w:rPr>
          <w:rFonts w:cs="Maiandra GD" w:ascii="Maiandra GD" w:hAnsi="Maiandra GD"/>
          <w:sz w:val="22"/>
        </w:rPr>
        <w:t>– A web-based application that automates the Performance Review Process for employees and serves as a vehicle for gathering performance feedback.  After feedback has been gathered, the PEP system generates statistical data and consolidated feedback reports, which assist supervisors in developing and delivering comprehensive performance evaluations to all employees.</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Performance Improvement Plan (PIP)</w:t>
      </w:r>
      <w:r>
        <w:rPr>
          <w:rFonts w:cs="Maiandra GD" w:ascii="Maiandra GD" w:hAnsi="Maiandra GD"/>
          <w:sz w:val="22"/>
        </w:rPr>
        <w:t xml:space="preserve"> – A document used to enhance an employee’s productivity and performance by outlining developmental areas and objectives that must be completed in a specified time frame.</w:t>
      </w:r>
    </w:p>
    <w:p>
      <w:pPr>
        <w:pStyle w:val="Normal"/>
        <w:jc w:val="both"/>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b/>
          <w:bCs/>
          <w:sz w:val="22"/>
        </w:rPr>
      </w:pPr>
      <w:r>
        <w:rPr>
          <w:emboss/>
          <w:color w:val="0000FF"/>
          <w:sz w:val="22"/>
          <w:u w:val="single"/>
        </w:rPr>
        <w:t>Performance Review Committee (PRC)</w:t>
      </w:r>
      <w:r>
        <w:rPr>
          <w:emboss/>
          <w:color w:val="0000FF"/>
          <w:sz w:val="22"/>
        </w:rPr>
        <w:t xml:space="preserve"> </w:t>
      </w:r>
      <w:r>
        <w:rPr>
          <w:rFonts w:cs="Maiandra GD" w:ascii="Maiandra GD" w:hAnsi="Maiandra GD"/>
          <w:sz w:val="22"/>
        </w:rPr>
        <w:t>– The meeting format by which Enron evaluates employee performance across functional groups, departments, and business units worldwide with the use of 360</w:t>
      </w:r>
      <w:r>
        <w:rPr>
          <w:rFonts w:eastAsia="Symbol" w:cs="Symbol" w:ascii="Symbol" w:hAnsi="Symbol"/>
          <w:sz w:val="22"/>
        </w:rPr>
        <w:sym w:font="Symbol" w:char="f0b0"/>
      </w:r>
      <w:r>
        <w:rPr>
          <w:rFonts w:cs="Maiandra GD" w:ascii="Maiandra GD" w:hAnsi="Maiandra GD"/>
          <w:sz w:val="22"/>
        </w:rPr>
        <w:t xml:space="preserve"> feedback.</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emboss/>
          <w:color w:val="0000FF"/>
          <w:sz w:val="22"/>
          <w:u w:val="single"/>
        </w:rPr>
        <w:t>Personal Discretionary Day</w:t>
      </w:r>
      <w:r>
        <w:rPr>
          <w:rFonts w:cs="Maiandra GD" w:ascii="Maiandra GD" w:hAnsi="Maiandra GD"/>
          <w:sz w:val="22"/>
        </w:rPr>
        <w:t xml:space="preserve"> – An additional day off for personal reasons or to observe holidays not currently covered in the holiday schedule.  Enron employees may use the discretionary holiday at any time during the year with approval from their supervisor.  The discretionary holiday must be used during the current year or it will be lost; it cannot be carried over to the following year.</w:t>
      </w:r>
    </w:p>
    <w:p>
      <w:pPr>
        <w:pStyle w:val="Normal"/>
        <w:jc w:val="both"/>
        <w:rPr>
          <w:rFonts w:ascii="Maiandra GD" w:hAnsi="Maiandra GD" w:cs="Maiandra GD"/>
          <w:b/>
          <w:bCs/>
          <w:sz w:val="22"/>
        </w:rPr>
      </w:pPr>
      <w:r>
        <w:rPr>
          <w:rFonts w:cs="Maiandra GD" w:ascii="Maiandra GD" w:hAnsi="Maiandra GD"/>
          <w:b/>
          <w:bCs/>
          <w:sz w:val="22"/>
        </w:rPr>
      </w:r>
    </w:p>
    <w:p>
      <w:pPr>
        <w:pStyle w:val="NormalWeb"/>
        <w:spacing w:before="0" w:after="0"/>
        <w:jc w:val="both"/>
        <w:rPr/>
      </w:pPr>
      <w:r>
        <w:rPr>
          <w:rFonts w:eastAsia="Times New Roman" w:cs="Times New Roman" w:ascii="Times New Roman" w:hAnsi="Times New Roman"/>
          <w:emboss/>
          <w:color w:val="0000FF"/>
          <w:sz w:val="22"/>
          <w:u w:val="single"/>
        </w:rPr>
        <w:t>Pre-approved Coursework</w:t>
      </w:r>
      <w:r>
        <w:rPr>
          <w:rFonts w:cs="Times New Roman" w:ascii="Maiandra GD" w:hAnsi="Maiandra GD"/>
          <w:color w:val="000000"/>
          <w:sz w:val="22"/>
        </w:rPr>
        <w:t xml:space="preserve"> – Approved coursework must increase skills for present duties or prepare an employee for future development within the company.  </w:t>
      </w:r>
      <w:r>
        <w:rPr>
          <w:rStyle w:val="content9pt1"/>
          <w:rFonts w:cs="Times New Roman" w:ascii="Maiandra GD" w:hAnsi="Maiandra GD"/>
          <w:color w:val="000000"/>
          <w:sz w:val="22"/>
        </w:rPr>
        <w:t>Approved studies include the following:</w:t>
      </w:r>
    </w:p>
    <w:p>
      <w:pPr>
        <w:pStyle w:val="NormalWeb"/>
        <w:spacing w:before="0" w:after="0"/>
        <w:jc w:val="both"/>
        <w:rPr>
          <w:rStyle w:val="content9pt1"/>
          <w:rFonts w:ascii="Maiandra GD" w:hAnsi="Maiandra GD" w:cs="Times New Roman"/>
          <w:color w:val="000000"/>
          <w:sz w:val="22"/>
        </w:rPr>
      </w:pPr>
      <w:r>
        <w:rPr/>
      </w:r>
    </w:p>
    <w:p>
      <w:pPr>
        <w:pStyle w:val="Normal"/>
        <w:numPr>
          <w:ilvl w:val="0"/>
          <w:numId w:val="11"/>
        </w:numPr>
        <w:ind w:hanging="360" w:start="720" w:end="360"/>
        <w:jc w:val="both"/>
        <w:rPr>
          <w:rFonts w:ascii="Maiandra GD" w:hAnsi="Maiandra GD" w:cs="Maiandra GD"/>
          <w:sz w:val="22"/>
        </w:rPr>
      </w:pPr>
      <w:r>
        <w:rPr>
          <w:rStyle w:val="content9pt1"/>
          <w:rFonts w:cs="Maiandra GD" w:ascii="Maiandra GD" w:hAnsi="Maiandra GD"/>
          <w:sz w:val="22"/>
        </w:rPr>
        <w:t>Accredited courses or programs at accredited universities, colleges, junior colleges, and technical or business schools</w:t>
      </w:r>
    </w:p>
    <w:p>
      <w:pPr>
        <w:pStyle w:val="Normal"/>
        <w:numPr>
          <w:ilvl w:val="0"/>
          <w:numId w:val="11"/>
        </w:numPr>
        <w:ind w:hanging="360" w:start="720" w:end="360"/>
        <w:jc w:val="both"/>
        <w:rPr>
          <w:rFonts w:ascii="Maiandra GD" w:hAnsi="Maiandra GD" w:cs="Maiandra GD"/>
          <w:sz w:val="22"/>
        </w:rPr>
      </w:pPr>
      <w:r>
        <w:rPr>
          <w:rStyle w:val="content9pt1"/>
          <w:rFonts w:cs="Maiandra GD" w:ascii="Maiandra GD" w:hAnsi="Maiandra GD"/>
          <w:sz w:val="22"/>
        </w:rPr>
        <w:t>Accredited home study and correspondence courses offered by accredited institutions</w:t>
      </w:r>
    </w:p>
    <w:p>
      <w:pPr>
        <w:pStyle w:val="Normal"/>
        <w:numPr>
          <w:ilvl w:val="0"/>
          <w:numId w:val="11"/>
        </w:numPr>
        <w:ind w:hanging="360" w:start="720" w:end="360"/>
        <w:jc w:val="both"/>
        <w:rPr>
          <w:rFonts w:ascii="Maiandra GD" w:hAnsi="Maiandra GD" w:cs="Maiandra GD"/>
          <w:sz w:val="22"/>
        </w:rPr>
      </w:pPr>
      <w:r>
        <w:rPr>
          <w:rStyle w:val="content9pt1"/>
          <w:rFonts w:cs="Maiandra GD" w:ascii="Maiandra GD" w:hAnsi="Maiandra GD"/>
          <w:sz w:val="22"/>
        </w:rPr>
        <w:t>Advanced or accelerated MBA courses and executive management educational programs as approved by senior management and Human Resources before enrollment</w:t>
      </w:r>
    </w:p>
    <w:p>
      <w:pPr>
        <w:pStyle w:val="Normal"/>
        <w:numPr>
          <w:ilvl w:val="0"/>
          <w:numId w:val="11"/>
        </w:numPr>
        <w:ind w:hanging="360" w:start="720" w:end="360"/>
        <w:jc w:val="both"/>
        <w:rPr>
          <w:rFonts w:ascii="Maiandra GD" w:hAnsi="Maiandra GD" w:cs="Maiandra GD"/>
          <w:sz w:val="22"/>
        </w:rPr>
      </w:pPr>
      <w:r>
        <w:rPr>
          <w:rStyle w:val="content9pt1"/>
          <w:rFonts w:cs="Maiandra GD" w:ascii="Maiandra GD" w:hAnsi="Maiandra GD"/>
          <w:sz w:val="22"/>
        </w:rPr>
        <w:t>CLEP, SAT, ACT, GRE, LSAT, GMAT, and pretest review courses (approved for 100 percent reimbursement)</w:t>
      </w:r>
    </w:p>
    <w:p>
      <w:pPr>
        <w:pStyle w:val="Normal"/>
        <w:numPr>
          <w:ilvl w:val="0"/>
          <w:numId w:val="11"/>
        </w:numPr>
        <w:ind w:hanging="360" w:start="720" w:end="360"/>
        <w:jc w:val="both"/>
        <w:rPr>
          <w:rFonts w:ascii="Maiandra GD" w:hAnsi="Maiandra GD" w:cs="Maiandra GD"/>
          <w:b/>
          <w:bCs/>
          <w:sz w:val="22"/>
        </w:rPr>
      </w:pPr>
      <w:r>
        <w:rPr>
          <w:rStyle w:val="content9pt1"/>
          <w:rFonts w:cs="Maiandra GD" w:ascii="Maiandra GD" w:hAnsi="Maiandra GD"/>
          <w:sz w:val="22"/>
        </w:rPr>
        <w:t>Professional certification tests, such as Professional Engineer (PE), Certified Public Accountant (CPA), bar examinations, Certified Professional Secretary (CPS), National Association of Corrosion Engineers (NACE), and pretest review courses (approved for 100 percent reimbursement)</w:t>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r>
        <w:rPr>
          <w:emboss/>
          <w:color w:val="0000FF"/>
          <w:sz w:val="22"/>
          <w:u w:val="single"/>
        </w:rPr>
        <w:t>Qualified Employee</w:t>
      </w:r>
      <w:r>
        <w:rPr>
          <w:rFonts w:cs="Maiandra GD" w:ascii="Maiandra GD" w:hAnsi="Maiandra GD"/>
          <w:b/>
          <w:bCs/>
          <w:sz w:val="22"/>
        </w:rPr>
        <w:t xml:space="preserve"> – </w:t>
      </w:r>
      <w:r>
        <w:rPr>
          <w:rFonts w:cs="Maiandra GD" w:ascii="Maiandra GD" w:hAnsi="Maiandra GD"/>
          <w:sz w:val="22"/>
        </w:rPr>
        <w:t xml:space="preserve">An employee who can perform the essential job functions of a position, with or without a reasonable accommodation, and who meets the additional criteria stated in the Talent Deployment policy.  </w:t>
      </w:r>
    </w:p>
    <w:p>
      <w:pPr>
        <w:pStyle w:val="Normal"/>
        <w:jc w:val="both"/>
        <w:rPr>
          <w:rFonts w:ascii="Maiandra GD" w:hAnsi="Maiandra GD" w:cs="Maiandra GD"/>
          <w:sz w:val="22"/>
        </w:rPr>
      </w:pPr>
      <w:r>
        <w:rPr>
          <w:rFonts w:cs="Maiandra GD" w:ascii="Maiandra GD" w:hAnsi="Maiandra GD"/>
          <w:sz w:val="22"/>
        </w:rPr>
      </w:r>
    </w:p>
    <w:p>
      <w:pPr>
        <w:pStyle w:val="Style11"/>
        <w:rPr/>
      </w:pPr>
      <w:r>
        <w:rPr/>
        <w:t>Qualifying Family and Medical Reasons (under FMLA)</w:t>
      </w:r>
    </w:p>
    <w:p>
      <w:pPr>
        <w:pStyle w:val="Style11"/>
        <w:rPr/>
      </w:pPr>
      <w:r>
        <w:rPr/>
      </w:r>
    </w:p>
    <w:p>
      <w:pPr>
        <w:pStyle w:val="Normal"/>
        <w:numPr>
          <w:ilvl w:val="0"/>
          <w:numId w:val="2"/>
        </w:numPr>
        <w:ind w:hanging="360" w:start="720" w:end="360"/>
        <w:jc w:val="both"/>
        <w:rPr>
          <w:rFonts w:ascii="Maiandra GD" w:hAnsi="Maiandra GD" w:cs="Maiandra GD"/>
          <w:sz w:val="22"/>
        </w:rPr>
      </w:pPr>
      <w:r>
        <w:rPr>
          <w:rFonts w:cs="Maiandra GD" w:ascii="Maiandra GD" w:hAnsi="Maiandra GD"/>
          <w:sz w:val="22"/>
        </w:rPr>
        <w:t>To care for a new child within 12 months of the birth of an employee’s son or daughter.</w:t>
      </w:r>
    </w:p>
    <w:p>
      <w:pPr>
        <w:pStyle w:val="Normal"/>
        <w:numPr>
          <w:ilvl w:val="0"/>
          <w:numId w:val="2"/>
        </w:numPr>
        <w:ind w:hanging="360" w:start="720" w:end="360"/>
        <w:jc w:val="both"/>
        <w:rPr>
          <w:rFonts w:ascii="Maiandra GD" w:hAnsi="Maiandra GD" w:cs="Maiandra GD"/>
          <w:sz w:val="22"/>
        </w:rPr>
      </w:pPr>
      <w:r>
        <w:rPr>
          <w:rFonts w:cs="Maiandra GD" w:ascii="Maiandra GD" w:hAnsi="Maiandra GD"/>
          <w:sz w:val="22"/>
        </w:rPr>
        <w:t>To care for a foster child within 12 months of having the child placed in the employee’s care, or an adopted son or daughter, within 12 months of the adoption.</w:t>
      </w:r>
    </w:p>
    <w:p>
      <w:pPr>
        <w:pStyle w:val="Normal"/>
        <w:numPr>
          <w:ilvl w:val="0"/>
          <w:numId w:val="2"/>
        </w:numPr>
        <w:ind w:hanging="360" w:start="720" w:end="360"/>
        <w:jc w:val="both"/>
        <w:rPr>
          <w:rFonts w:ascii="Maiandra GD" w:hAnsi="Maiandra GD" w:cs="Maiandra GD"/>
          <w:sz w:val="22"/>
        </w:rPr>
      </w:pPr>
      <w:r>
        <w:rPr>
          <w:rFonts w:cs="Maiandra GD" w:ascii="Maiandra GD" w:hAnsi="Maiandra GD"/>
          <w:sz w:val="22"/>
        </w:rPr>
        <w:t>To care for the employee’s spouse, son, daughter, or parent</w:t>
      </w:r>
      <w:r>
        <w:rPr>
          <w:rFonts w:cs="Maiandra GD" w:ascii="Maiandra GD" w:hAnsi="Maiandra GD"/>
          <w:color w:val="0000FF"/>
          <w:sz w:val="22"/>
        </w:rPr>
        <w:t xml:space="preserve"> </w:t>
      </w:r>
      <w:r>
        <w:rPr>
          <w:rFonts w:cs="Maiandra GD" w:ascii="Maiandra GD" w:hAnsi="Maiandra GD"/>
          <w:sz w:val="22"/>
        </w:rPr>
        <w:t>who has a serious health condition.  The care must be recommended and the health condition deemed serious as certified by the health care provider.</w:t>
      </w:r>
    </w:p>
    <w:p>
      <w:pPr>
        <w:pStyle w:val="Normal"/>
        <w:numPr>
          <w:ilvl w:val="0"/>
          <w:numId w:val="2"/>
        </w:numPr>
        <w:ind w:hanging="360" w:start="720" w:end="360"/>
        <w:jc w:val="both"/>
        <w:rPr>
          <w:rFonts w:ascii="Maiandra GD" w:hAnsi="Maiandra GD" w:cs="Maiandra GD"/>
          <w:b/>
          <w:bCs/>
          <w:sz w:val="22"/>
        </w:rPr>
      </w:pPr>
      <w:r>
        <w:rPr>
          <w:rFonts w:cs="Maiandra GD" w:ascii="Maiandra GD" w:hAnsi="Maiandra GD"/>
          <w:sz w:val="22"/>
        </w:rPr>
        <w:t>An employee with a serious health condition that makes the employee unable to perform the essential functions of his/her job.</w:t>
      </w:r>
    </w:p>
    <w:p>
      <w:pPr>
        <w:pStyle w:val="Normal"/>
        <w:ind w:end="360"/>
        <w:jc w:val="both"/>
        <w:rPr>
          <w:rFonts w:ascii="Maiandra GD" w:hAnsi="Maiandra GD" w:cs="Maiandra GD"/>
          <w:b/>
          <w:bCs/>
          <w:sz w:val="22"/>
        </w:rPr>
      </w:pPr>
      <w:r>
        <w:rPr>
          <w:rFonts w:cs="Maiandra GD" w:ascii="Maiandra GD" w:hAnsi="Maiandra GD"/>
          <w:b/>
          <w:bCs/>
          <w:sz w:val="22"/>
        </w:rPr>
      </w:r>
    </w:p>
    <w:p>
      <w:pPr>
        <w:pStyle w:val="Normal"/>
        <w:ind w:start="360" w:end="360"/>
        <w:jc w:val="both"/>
        <w:rPr>
          <w:rFonts w:ascii="Maiandra GD" w:hAnsi="Maiandra GD" w:cs="Maiandra GD"/>
          <w:sz w:val="22"/>
          <w:u w:val="single"/>
        </w:rPr>
      </w:pPr>
      <w:r>
        <w:rPr>
          <w:rFonts w:cs="Maiandra GD" w:ascii="Maiandra GD" w:hAnsi="Maiandra GD"/>
          <w:sz w:val="22"/>
          <w:u w:val="single"/>
        </w:rPr>
        <w:t>Key FMLA definitions</w:t>
      </w:r>
    </w:p>
    <w:p>
      <w:pPr>
        <w:pStyle w:val="Normal"/>
        <w:ind w:start="360" w:end="360"/>
        <w:jc w:val="both"/>
        <w:rPr>
          <w:rFonts w:ascii="Maiandra GD" w:hAnsi="Maiandra GD" w:cs="Maiandra GD"/>
          <w:sz w:val="22"/>
          <w:u w:val="single"/>
        </w:rPr>
      </w:pPr>
      <w:r>
        <w:rPr>
          <w:rFonts w:cs="Maiandra GD" w:ascii="Maiandra GD" w:hAnsi="Maiandra GD"/>
          <w:sz w:val="22"/>
          <w:u w:val="single"/>
        </w:rPr>
      </w:r>
    </w:p>
    <w:p>
      <w:pPr>
        <w:pStyle w:val="Normal"/>
        <w:keepNext w:val="true"/>
        <w:numPr>
          <w:ilvl w:val="0"/>
          <w:numId w:val="9"/>
        </w:numPr>
        <w:jc w:val="both"/>
        <w:rPr>
          <w:rFonts w:ascii="Maiandra GD" w:hAnsi="Maiandra GD" w:cs="Maiandra GD"/>
          <w:sz w:val="22"/>
        </w:rPr>
      </w:pPr>
      <w:r>
        <w:rPr>
          <w:rFonts w:cs="Maiandra GD" w:ascii="Maiandra GD" w:hAnsi="Maiandra GD"/>
          <w:i/>
          <w:iCs/>
          <w:sz w:val="22"/>
          <w:u w:val="single"/>
        </w:rPr>
        <w:t>Employment Benefits</w:t>
      </w:r>
      <w:r>
        <w:rPr>
          <w:rFonts w:cs="Maiandra GD" w:ascii="Maiandra GD" w:hAnsi="Maiandra GD"/>
          <w:sz w:val="22"/>
        </w:rPr>
        <w:t xml:space="preserve"> – All benefits provided or made available to employees for which the employee is eligible under the employer’s benefit plans and/or law.</w:t>
      </w:r>
    </w:p>
    <w:p>
      <w:pPr>
        <w:pStyle w:val="Normal"/>
        <w:keepNext w:val="true"/>
        <w:numPr>
          <w:ilvl w:val="0"/>
          <w:numId w:val="9"/>
        </w:numPr>
        <w:jc w:val="both"/>
        <w:rPr>
          <w:rFonts w:ascii="Maiandra GD" w:hAnsi="Maiandra GD" w:cs="Maiandra GD"/>
          <w:sz w:val="22"/>
        </w:rPr>
      </w:pPr>
      <w:r>
        <w:rPr>
          <w:rFonts w:cs="Maiandra GD" w:ascii="Maiandra GD" w:hAnsi="Maiandra GD"/>
          <w:i/>
          <w:iCs/>
          <w:sz w:val="22"/>
          <w:u w:val="single"/>
        </w:rPr>
        <w:t>Health Care Provider</w:t>
      </w:r>
      <w:r>
        <w:rPr>
          <w:rFonts w:cs="Maiandra GD" w:ascii="Maiandra GD" w:hAnsi="Maiandra GD"/>
          <w:sz w:val="22"/>
        </w:rPr>
        <w:t xml:space="preserve"> – A licensed physician, podiatrist, dentist, clinical psychologist, optometrist, or certain nurse practitioners and nurse midwives; or Christian Science practitioners.</w:t>
      </w:r>
    </w:p>
    <w:p>
      <w:pPr>
        <w:pStyle w:val="Normal"/>
        <w:numPr>
          <w:ilvl w:val="0"/>
          <w:numId w:val="9"/>
        </w:numPr>
        <w:jc w:val="both"/>
        <w:rPr>
          <w:rFonts w:ascii="Maiandra GD" w:hAnsi="Maiandra GD" w:cs="Maiandra GD"/>
          <w:sz w:val="22"/>
        </w:rPr>
      </w:pPr>
      <w:r>
        <w:rPr>
          <w:rFonts w:cs="Maiandra GD" w:ascii="Maiandra GD" w:hAnsi="Maiandra GD"/>
          <w:i/>
          <w:iCs/>
          <w:sz w:val="22"/>
          <w:u w:val="single"/>
        </w:rPr>
        <w:t>Serious Health Condition</w:t>
      </w:r>
      <w:r>
        <w:rPr>
          <w:rFonts w:cs="Maiandra GD" w:ascii="Maiandra GD" w:hAnsi="Maiandra GD"/>
          <w:sz w:val="22"/>
        </w:rPr>
        <w:t xml:space="preserve"> – An illness, injury, impairment, or physical or mental condition that involves inpatient care in a hospital, hospice, or residential medical care facility; OR continuing treatment by a health care provider.</w:t>
      </w:r>
    </w:p>
    <w:p>
      <w:pPr>
        <w:pStyle w:val="Normal"/>
        <w:numPr>
          <w:ilvl w:val="0"/>
          <w:numId w:val="9"/>
        </w:numPr>
        <w:jc w:val="both"/>
        <w:rPr>
          <w:rFonts w:ascii="Maiandra GD" w:hAnsi="Maiandra GD" w:cs="Maiandra GD"/>
          <w:sz w:val="22"/>
        </w:rPr>
      </w:pPr>
      <w:r>
        <w:rPr>
          <w:rFonts w:cs="Maiandra GD" w:ascii="Maiandra GD" w:hAnsi="Maiandra GD"/>
          <w:i/>
          <w:iCs/>
          <w:sz w:val="22"/>
          <w:u w:val="single"/>
        </w:rPr>
        <w:t>Parent</w:t>
      </w:r>
      <w:r>
        <w:rPr>
          <w:rFonts w:cs="Maiandra GD" w:ascii="Maiandra GD" w:hAnsi="Maiandra GD"/>
          <w:sz w:val="22"/>
        </w:rPr>
        <w:t xml:space="preserve"> – The biological parent of an employee or an individual who stood in loco parentis to an employee when the employee was a minor, but does not mean parents-in-law.</w:t>
      </w:r>
    </w:p>
    <w:p>
      <w:pPr>
        <w:pStyle w:val="Normal"/>
        <w:numPr>
          <w:ilvl w:val="0"/>
          <w:numId w:val="9"/>
        </w:numPr>
        <w:jc w:val="both"/>
        <w:rPr>
          <w:rFonts w:ascii="Maiandra GD" w:hAnsi="Maiandra GD" w:cs="Maiandra GD"/>
          <w:sz w:val="22"/>
        </w:rPr>
      </w:pPr>
      <w:r>
        <w:rPr>
          <w:rFonts w:cs="Maiandra GD" w:ascii="Maiandra GD" w:hAnsi="Maiandra GD"/>
          <w:i/>
          <w:iCs/>
          <w:sz w:val="22"/>
          <w:u w:val="single"/>
        </w:rPr>
        <w:t>Son or Daughter</w:t>
      </w:r>
      <w:r>
        <w:rPr>
          <w:rFonts w:cs="Maiandra GD" w:ascii="Maiandra GD" w:hAnsi="Maiandra GD"/>
          <w:sz w:val="22"/>
        </w:rPr>
        <w:t xml:space="preserve"> – A biological, adopted, or foster child, stepchild, legal ward, or a child of a person in loco parents who is under 18 years of age, OR 18 years of age or older and incapable of self-care because of mental or physical disability.</w:t>
      </w:r>
    </w:p>
    <w:p>
      <w:pPr>
        <w:pStyle w:val="Normal"/>
        <w:numPr>
          <w:ilvl w:val="0"/>
          <w:numId w:val="9"/>
        </w:numPr>
        <w:rPr>
          <w:rFonts w:ascii="Maiandra GD" w:hAnsi="Maiandra GD" w:cs="Maiandra GD"/>
          <w:sz w:val="22"/>
        </w:rPr>
      </w:pPr>
      <w:r>
        <w:rPr>
          <w:rFonts w:cs="Maiandra GD" w:ascii="Maiandra GD" w:hAnsi="Maiandra GD"/>
          <w:i/>
          <w:iCs/>
          <w:sz w:val="22"/>
          <w:u w:val="single"/>
        </w:rPr>
        <w:t>Spouse</w:t>
      </w:r>
      <w:r>
        <w:rPr>
          <w:rFonts w:cs="Maiandra GD" w:ascii="Maiandra GD" w:hAnsi="Maiandra GD"/>
          <w:sz w:val="22"/>
        </w:rPr>
        <w:t xml:space="preserve"> – Husband or wife only.</w:t>
      </w:r>
    </w:p>
    <w:p>
      <w:pPr>
        <w:pStyle w:val="Normal"/>
        <w:ind w:end="360"/>
        <w:jc w:val="both"/>
        <w:rPr>
          <w:rFonts w:ascii="Maiandra GD" w:hAnsi="Maiandra GD" w:cs="Maiandra GD"/>
          <w:b/>
          <w:bCs/>
          <w:sz w:val="22"/>
        </w:rPr>
      </w:pPr>
      <w:r>
        <w:rPr>
          <w:rFonts w:cs="Maiandra GD" w:ascii="Maiandra GD" w:hAnsi="Maiandra GD"/>
          <w:b/>
          <w:bCs/>
          <w:sz w:val="22"/>
        </w:rPr>
      </w:r>
    </w:p>
    <w:p>
      <w:pPr>
        <w:pStyle w:val="Normal"/>
        <w:jc w:val="both"/>
        <w:rPr>
          <w:rFonts w:ascii="Maiandra GD" w:hAnsi="Maiandra GD" w:cs="Maiandra GD"/>
          <w:b/>
          <w:bCs/>
          <w:sz w:val="22"/>
        </w:rPr>
      </w:pPr>
      <w:r>
        <w:rPr>
          <w:rFonts w:cs="Maiandra GD" w:ascii="Maiandra GD" w:hAnsi="Maiandra GD"/>
          <w:b/>
          <w:bCs/>
          <w:sz w:val="22"/>
        </w:rPr>
      </w:r>
    </w:p>
    <w:p>
      <w:pPr>
        <w:pStyle w:val="Normal"/>
        <w:jc w:val="both"/>
        <w:rPr/>
      </w:pPr>
      <w:r>
        <w:rPr>
          <w:emboss/>
          <w:color w:val="0000FF"/>
          <w:sz w:val="22"/>
          <w:u w:val="single"/>
        </w:rPr>
        <w:t>Race</w:t>
      </w:r>
      <w:r>
        <w:rPr>
          <w:rFonts w:cs="Maiandra GD" w:ascii="Maiandra GD" w:hAnsi="Maiandra GD"/>
          <w:b/>
          <w:bCs/>
          <w:sz w:val="22"/>
        </w:rPr>
        <w:t xml:space="preserve"> </w:t>
      </w:r>
      <w:r>
        <w:rPr>
          <w:rFonts w:cs="Maiandra GD" w:ascii="Maiandra GD" w:hAnsi="Maiandra GD"/>
          <w:sz w:val="22"/>
        </w:rPr>
        <w:t xml:space="preserve">– A </w:t>
      </w:r>
      <w:r>
        <w:rPr>
          <w:rFonts w:cs="Maiandra GD" w:ascii="Maiandra GD" w:hAnsi="Maiandra GD"/>
          <w:sz w:val="22"/>
          <w:szCs w:val="20"/>
        </w:rPr>
        <w:t>variable classification of people usually by geographic, cultural, or physical similarities.  The following racial/ethnic groups are defined and recognized by the U.S. Government: (1) Native American and Alaskan Eskimo – All persons having origin in any of the original people of North America and who maintain cultural identification through tribal affiliation or community recognition; (2) Asian or Pacific Islander – All persons having origin in any of the original people of the Far East, Southeast Asia, the Indian Subcontinent, or Pacific Islands.  This area includes, for example, China, India, Japan, Korea, the Philippine Islands, and Samoa; (3) Black (Not of Hispanic origin) – All persons having origins in any of the black racial groups of Africa; (4) Hispanic – All persons of Mexican, Puerto Rican, Cuban, Central or South American, or other Spanish culture or origin, regardless of race; and (5) White (Not of Hispanic origin) – All persons having origins in any of the original people of Europe, North Africa, or the Middle East; an unlawful factor for denying equal employment opportunity.</w:t>
      </w:r>
    </w:p>
    <w:p>
      <w:pPr>
        <w:pStyle w:val="Normal"/>
        <w:jc w:val="both"/>
        <w:rPr>
          <w:rFonts w:ascii="Maiandra GD" w:hAnsi="Maiandra GD" w:cs="Maiandra GD"/>
          <w:sz w:val="22"/>
          <w:szCs w:val="20"/>
        </w:rPr>
      </w:pPr>
      <w:r>
        <w:rPr>
          <w:rFonts w:cs="Maiandra GD" w:ascii="Maiandra GD" w:hAnsi="Maiandra GD"/>
          <w:sz w:val="22"/>
          <w:szCs w:val="20"/>
        </w:rPr>
      </w:r>
    </w:p>
    <w:p>
      <w:pPr>
        <w:pStyle w:val="Normal"/>
        <w:jc w:val="both"/>
        <w:rPr/>
      </w:pPr>
      <w:r>
        <w:rPr>
          <w:emboss/>
          <w:color w:val="0000FF"/>
          <w:sz w:val="22"/>
          <w:u w:val="single"/>
        </w:rPr>
        <w:t>Regular Full-Time</w:t>
      </w:r>
      <w:r>
        <w:rPr>
          <w:rFonts w:cs="Maiandra GD" w:ascii="Maiandra GD" w:hAnsi="Maiandra GD"/>
          <w:b/>
          <w:bCs/>
          <w:sz w:val="22"/>
        </w:rPr>
        <w:t xml:space="preserve"> – </w:t>
      </w:r>
      <w:r>
        <w:rPr>
          <w:rFonts w:cs="Maiandra GD" w:ascii="Maiandra GD" w:hAnsi="Maiandra GD"/>
          <w:sz w:val="22"/>
        </w:rPr>
        <w:t>Employees regularly scheduled to work at least 40 hours per week.  These employees qualify for all regular company benefits.</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Regular Part-Time</w:t>
      </w:r>
      <w:r>
        <w:rPr>
          <w:rFonts w:cs="Maiandra GD" w:ascii="Maiandra GD" w:hAnsi="Maiandra GD"/>
          <w:b/>
          <w:bCs/>
          <w:sz w:val="22"/>
        </w:rPr>
        <w:t xml:space="preserve"> – </w:t>
      </w:r>
      <w:r>
        <w:rPr>
          <w:rFonts w:cs="Maiandra GD" w:ascii="Maiandra GD" w:hAnsi="Maiandra GD"/>
          <w:sz w:val="22"/>
        </w:rPr>
        <w:t>Employees who are regularly scheduled to work between 20 and 29 hours per week.  These employees qualify for regular company benefits, although there are some differences in eligibility in the Enron Stock Option Program, the vacation benefit, holiday pay, and other time-off benefits.</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Regular Reduced-hours</w:t>
      </w:r>
      <w:r>
        <w:rPr>
          <w:rFonts w:cs="Maiandra GD" w:ascii="Maiandra GD" w:hAnsi="Maiandra GD"/>
          <w:b/>
          <w:bCs/>
          <w:sz w:val="22"/>
        </w:rPr>
        <w:t xml:space="preserve"> – </w:t>
      </w:r>
      <w:r>
        <w:rPr>
          <w:rFonts w:cs="Maiandra GD" w:ascii="Maiandra GD" w:hAnsi="Maiandra GD"/>
          <w:sz w:val="22"/>
        </w:rPr>
        <w:t>Employees who are regularly scheduled to work between 30 and 39 hours per week.  These employees qualify for regular company benefits, although there are some differences in eligibility in the Enron Stock Option Program, the vacation benefit, holiday pay, and other time-off benefits.</w:t>
      </w:r>
    </w:p>
    <w:p>
      <w:pPr>
        <w:pStyle w:val="Normal"/>
        <w:jc w:val="both"/>
        <w:rPr>
          <w:rFonts w:ascii="Maiandra GD" w:hAnsi="Maiandra GD" w:cs="Maiandra GD"/>
          <w:sz w:val="22"/>
        </w:rPr>
      </w:pPr>
      <w:r>
        <w:rPr>
          <w:rFonts w:cs="Maiandra GD" w:ascii="Maiandra GD" w:hAnsi="Maiandra GD"/>
          <w:sz w:val="22"/>
        </w:rPr>
      </w:r>
    </w:p>
    <w:p>
      <w:pPr>
        <w:pStyle w:val="Normal"/>
        <w:jc w:val="both"/>
        <w:rPr/>
      </w:pPr>
      <w:r>
        <w:rPr>
          <w:emboss/>
          <w:color w:val="0000FF"/>
          <w:sz w:val="22"/>
          <w:u w:val="single"/>
        </w:rPr>
        <w:t>Religion</w:t>
      </w:r>
      <w:r>
        <w:rPr>
          <w:rFonts w:cs="Maiandra GD" w:ascii="Maiandra GD" w:hAnsi="Maiandra GD"/>
          <w:sz w:val="22"/>
          <w:szCs w:val="20"/>
        </w:rPr>
        <w:t xml:space="preserve"> – A belief based on a creed or other firm moral conviction as to the rightfulness or wrongfulness of any action; an unlawful factor for denying equal employment opportunity.</w:t>
      </w:r>
    </w:p>
    <w:p>
      <w:pPr>
        <w:pStyle w:val="Normal"/>
        <w:jc w:val="both"/>
        <w:rPr>
          <w:rFonts w:ascii="Maiandra GD" w:hAnsi="Maiandra GD" w:cs="Maiandra GD"/>
          <w:sz w:val="22"/>
          <w:szCs w:val="20"/>
        </w:rPr>
      </w:pPr>
      <w:r>
        <w:rPr>
          <w:rFonts w:cs="Maiandra GD" w:ascii="Maiandra GD" w:hAnsi="Maiandra GD"/>
          <w:sz w:val="22"/>
          <w:szCs w:val="20"/>
        </w:rPr>
      </w:r>
    </w:p>
    <w:p>
      <w:pPr>
        <w:pStyle w:val="Normal"/>
        <w:jc w:val="both"/>
        <w:rPr>
          <w:rFonts w:ascii="Maiandra GD" w:hAnsi="Maiandra GD" w:cs="Maiandra GD"/>
          <w:sz w:val="22"/>
          <w:szCs w:val="20"/>
        </w:rPr>
      </w:pPr>
      <w:r>
        <w:rPr>
          <w:emboss/>
          <w:color w:val="0000FF"/>
          <w:sz w:val="22"/>
          <w:u w:val="single"/>
        </w:rPr>
        <w:t>Reporting Harassment</w:t>
      </w:r>
      <w:r>
        <w:rPr>
          <w:rFonts w:cs="Maiandra GD" w:ascii="Maiandra GD" w:hAnsi="Maiandra GD"/>
          <w:sz w:val="22"/>
        </w:rPr>
        <w:t xml:space="preserve"> – Employees who believe that they or others have been subject to harassment should inform their supervisor, a Human Resources representative, or the Employee Relations Team (713-853-7911).  Complaints will be investigated promptly and thoroughly.  Confidentiality will be maintained to the extent possible.  The Company will take appropriate disciplinary action, which may include termination of employment, if an employee has engaged in harassment.</w:t>
      </w:r>
    </w:p>
    <w:p>
      <w:pPr>
        <w:pStyle w:val="Normal"/>
        <w:jc w:val="both"/>
        <w:rPr>
          <w:rFonts w:ascii="Maiandra GD" w:hAnsi="Maiandra GD" w:cs="Maiandra GD"/>
          <w:sz w:val="22"/>
          <w:szCs w:val="20"/>
        </w:rPr>
      </w:pPr>
      <w:r>
        <w:rPr>
          <w:rFonts w:cs="Maiandra GD" w:ascii="Maiandra GD" w:hAnsi="Maiandra GD"/>
          <w:sz w:val="22"/>
          <w:szCs w:val="20"/>
        </w:rPr>
      </w:r>
    </w:p>
    <w:p>
      <w:pPr>
        <w:pStyle w:val="Normal"/>
        <w:jc w:val="both"/>
        <w:rPr/>
      </w:pPr>
      <w:r>
        <w:rPr>
          <w:emboss/>
          <w:color w:val="0000FF"/>
          <w:sz w:val="22"/>
          <w:u w:val="single"/>
        </w:rPr>
        <w:t>Retaliation</w:t>
      </w:r>
      <w:r>
        <w:rPr>
          <w:rFonts w:cs="Maiandra GD" w:ascii="Maiandra GD" w:hAnsi="Maiandra GD"/>
          <w:sz w:val="22"/>
        </w:rPr>
        <w:t xml:space="preserve"> – Any adverse action or unfair punishment, taken without a legitimate reason, against employees as a result of their involvement in a complaint of illegal discrimination or harassment or for opposing or seeking to correct any action that he/she believes is inequitable, unsafe, or unlawful.  The Company will take appropriate disciplinary action, which may include termination of employment, if an employee has engaged in retaliation.</w:t>
      </w:r>
    </w:p>
    <w:p>
      <w:pPr>
        <w:pStyle w:val="Normal"/>
        <w:jc w:val="both"/>
        <w:rPr>
          <w:rFonts w:ascii="Maiandra GD" w:hAnsi="Maiandra GD" w:cs="Maiandra GD"/>
          <w:sz w:val="22"/>
          <w:szCs w:val="20"/>
        </w:rPr>
      </w:pPr>
      <w:r>
        <w:rPr>
          <w:rFonts w:eastAsia="Maiandra GD" w:cs="Maiandra GD" w:ascii="Maiandra GD" w:hAnsi="Maiandra GD"/>
          <w:sz w:val="22"/>
        </w:rPr>
        <w:t xml:space="preserve"> </w:t>
      </w:r>
    </w:p>
    <w:p>
      <w:pPr>
        <w:pStyle w:val="Normal"/>
        <w:jc w:val="both"/>
        <w:rPr>
          <w:rFonts w:ascii="Maiandra GD" w:hAnsi="Maiandra GD" w:cs="Maiandra GD"/>
          <w:sz w:val="22"/>
          <w:szCs w:val="20"/>
        </w:rPr>
      </w:pPr>
      <w:r>
        <w:rPr>
          <w:emboss/>
          <w:color w:val="0000FF"/>
          <w:sz w:val="22"/>
          <w:u w:val="single"/>
        </w:rPr>
        <w:t>Salaried</w:t>
      </w:r>
      <w:r>
        <w:rPr>
          <w:rFonts w:cs="Maiandra GD" w:ascii="Maiandra GD" w:hAnsi="Maiandra GD"/>
          <w:sz w:val="22"/>
        </w:rPr>
        <w:t xml:space="preserve"> – Employees who are compensated primarily by salary.</w:t>
      </w:r>
    </w:p>
    <w:p>
      <w:pPr>
        <w:pStyle w:val="Normal"/>
        <w:jc w:val="both"/>
        <w:rPr>
          <w:rFonts w:ascii="Maiandra GD" w:hAnsi="Maiandra GD" w:cs="Maiandra GD"/>
          <w:sz w:val="22"/>
          <w:szCs w:val="20"/>
        </w:rPr>
      </w:pPr>
      <w:r>
        <w:rPr>
          <w:rFonts w:cs="Maiandra GD" w:ascii="Maiandra GD" w:hAnsi="Maiandra GD"/>
          <w:sz w:val="22"/>
          <w:szCs w:val="20"/>
        </w:rPr>
      </w:r>
    </w:p>
    <w:p>
      <w:pPr>
        <w:pStyle w:val="Normal"/>
        <w:jc w:val="both"/>
        <w:rPr/>
      </w:pPr>
      <w:r>
        <w:rPr>
          <w:emboss/>
          <w:color w:val="0000FF"/>
          <w:sz w:val="22"/>
          <w:u w:val="single"/>
        </w:rPr>
        <w:t>Sex</w:t>
      </w:r>
      <w:r>
        <w:rPr>
          <w:rFonts w:cs="Maiandra GD" w:ascii="Maiandra GD" w:hAnsi="Maiandra GD"/>
          <w:sz w:val="22"/>
        </w:rPr>
        <w:t xml:space="preserve"> – Gender, </w:t>
      </w:r>
      <w:r>
        <w:rPr>
          <w:rFonts w:cs="Maiandra GD" w:ascii="Maiandra GD" w:hAnsi="Maiandra GD"/>
          <w:sz w:val="22"/>
          <w:szCs w:val="20"/>
        </w:rPr>
        <w:t>male or female; an unlawful factor for denying equal employment opportunity.</w:t>
      </w:r>
    </w:p>
    <w:p>
      <w:pPr>
        <w:pStyle w:val="Normal"/>
        <w:jc w:val="both"/>
        <w:rPr>
          <w:rFonts w:ascii="Maiandra GD" w:hAnsi="Maiandra GD" w:cs="Maiandra GD"/>
          <w:sz w:val="22"/>
          <w:szCs w:val="20"/>
        </w:rPr>
      </w:pPr>
      <w:r>
        <w:rPr>
          <w:rFonts w:cs="Maiandra GD" w:ascii="Maiandra GD" w:hAnsi="Maiandra GD"/>
          <w:sz w:val="22"/>
          <w:szCs w:val="20"/>
        </w:rPr>
      </w:r>
    </w:p>
    <w:p>
      <w:pPr>
        <w:pStyle w:val="NormalWeb"/>
        <w:spacing w:before="0" w:after="0"/>
        <w:jc w:val="both"/>
        <w:rPr>
          <w:rFonts w:ascii="Maiandra GD" w:hAnsi="Maiandra GD" w:cs="Times New Roman"/>
          <w:sz w:val="22"/>
        </w:rPr>
      </w:pPr>
      <w:r>
        <w:rPr>
          <w:rFonts w:eastAsia="Times New Roman" w:cs="Times New Roman" w:ascii="Times New Roman" w:hAnsi="Times New Roman"/>
          <w:emboss/>
          <w:color w:val="0000FF"/>
          <w:sz w:val="22"/>
          <w:u w:val="single"/>
        </w:rPr>
        <w:t>Sexual Harassment</w:t>
      </w:r>
      <w:r>
        <w:rPr>
          <w:rFonts w:cs="Times New Roman" w:ascii="Maiandra GD" w:hAnsi="Maiandra GD"/>
          <w:sz w:val="22"/>
        </w:rPr>
        <w:t xml:space="preserve"> –Sexual harassment is a violation of the 1964 Civil Rights Act, which prohibits sex discrimination against men or women at work.  Sexual harassment can involve people of the same or opposite sex.  It is inappropriate and totally unacceptable.  Sexual harassment includes threats/promises of a sexual nature, unwelcome sexual advances, requests for sexual favors, and other verbal conduct of a sexual nature.  It also includes an abusive working environment that is intimidating, hostile, or offensive because of sexist or sexual comments, actions, and materials in the workplace which unreasonably interfere with the work or work relationships of job applicants or employees.</w:t>
      </w:r>
      <w:r>
        <w:rPr>
          <w:rFonts w:cs="Maiandra GD" w:ascii="Maiandra GD" w:hAnsi="Maiandra GD"/>
          <w:b/>
          <w:bCs/>
          <w:sz w:val="22"/>
        </w:rPr>
        <w:t xml:space="preserve">  </w:t>
      </w:r>
      <w:r>
        <w:rPr>
          <w:rFonts w:cs="Maiandra GD" w:ascii="Maiandra GD" w:hAnsi="Maiandra GD"/>
          <w:sz w:val="22"/>
        </w:rPr>
        <w:t>For additional information, please see Harassment Prevention policy.</w:t>
      </w:r>
    </w:p>
    <w:p>
      <w:pPr>
        <w:pStyle w:val="NormalWeb"/>
        <w:spacing w:before="0" w:after="0"/>
        <w:jc w:val="both"/>
        <w:rPr>
          <w:rFonts w:ascii="Maiandra GD" w:hAnsi="Maiandra GD" w:cs="Times New Roman"/>
          <w:sz w:val="22"/>
        </w:rPr>
      </w:pPr>
      <w:r>
        <w:rPr>
          <w:rFonts w:cs="Times New Roman" w:ascii="Maiandra GD" w:hAnsi="Maiandra GD"/>
          <w:sz w:val="22"/>
        </w:rPr>
      </w:r>
    </w:p>
    <w:p>
      <w:pPr>
        <w:pStyle w:val="NormalWeb"/>
        <w:spacing w:before="0" w:after="0"/>
        <w:jc w:val="both"/>
        <w:rPr/>
      </w:pPr>
      <w:r>
        <w:rPr>
          <w:rFonts w:eastAsia="Times New Roman" w:cs="Times New Roman" w:ascii="Times New Roman" w:hAnsi="Times New Roman"/>
          <w:emboss/>
          <w:color w:val="0000FF"/>
          <w:sz w:val="22"/>
          <w:u w:val="single"/>
        </w:rPr>
        <w:t>Sexual Orientation</w:t>
      </w:r>
      <w:r>
        <w:rPr>
          <w:rFonts w:cs="Times New Roman" w:ascii="Maiandra GD" w:hAnsi="Maiandra GD"/>
          <w:sz w:val="22"/>
        </w:rPr>
        <w:t xml:space="preserve"> – </w:t>
      </w:r>
      <w:r>
        <w:rPr>
          <w:rFonts w:cs="Times New Roman" w:ascii="Maiandra GD" w:hAnsi="Maiandra GD"/>
          <w:color w:val="000000"/>
          <w:sz w:val="22"/>
        </w:rPr>
        <w:t>An</w:t>
      </w:r>
      <w:r>
        <w:rPr>
          <w:rFonts w:cs="Times New Roman" w:ascii="Maiandra GD" w:hAnsi="Maiandra GD"/>
          <w:sz w:val="22"/>
        </w:rPr>
        <w:t xml:space="preserve"> enduring emotional, romantic, sexual, or affectional attraction to another person, distinguished from other components of sexuality including biological sex, gender identity (the psychological sense of being male or female), and the social gender role (adherence to cultural norms for feminine and masculine behavior).  Sexual orientation exists along a continuum that ranges from exclusive homosexuality to exclusive heterosexuality and includes various forms of bisexuality. Sexual orientation is different from sexual behavior because it refers to feelings and self-concept. Persons may or may not express their sexual orientation in their behavior.</w:t>
      </w:r>
    </w:p>
    <w:p>
      <w:pPr>
        <w:pStyle w:val="Normal"/>
        <w:jc w:val="both"/>
        <w:rPr>
          <w:rFonts w:ascii="Maiandra GD" w:hAnsi="Maiandra GD" w:cs="Maiandra GD"/>
          <w:sz w:val="22"/>
          <w:szCs w:val="20"/>
        </w:rPr>
      </w:pPr>
      <w:r>
        <w:rPr>
          <w:rFonts w:cs="Maiandra GD" w:ascii="Maiandra GD" w:hAnsi="Maiandra GD"/>
          <w:sz w:val="22"/>
          <w:szCs w:val="20"/>
        </w:rPr>
      </w:r>
    </w:p>
    <w:p>
      <w:pPr>
        <w:pStyle w:val="Style11"/>
        <w:rPr/>
      </w:pPr>
      <w:r>
        <w:rPr>
          <w:rFonts w:eastAsia="Arial Unicode MS"/>
        </w:rPr>
        <w:t>Sick Leave</w:t>
      </w:r>
      <w:r>
        <w:rPr>
          <w:rFonts w:eastAsia="Arial Unicode MS"/>
          <w:emboss w:val="false"/>
          <w:imprint w:val="false"/>
          <w:color w:val="000000"/>
        </w:rPr>
        <w:t xml:space="preserve"> </w:t>
      </w:r>
      <w:r>
        <w:rPr>
          <w:rFonts w:eastAsia="Arial Unicode MS"/>
        </w:rPr>
        <w:t>Pay</w:t>
      </w:r>
      <w:r>
        <w:rPr>
          <w:rFonts w:eastAsia="Arial Unicode MS"/>
          <w:emboss w:val="false"/>
          <w:imprint w:val="false"/>
          <w:color w:val="FFFFFF"/>
        </w:rPr>
        <w:softHyphen/>
        <w:softHyphen/>
      </w:r>
      <w:r>
        <w:rPr>
          <w:emboss w:val="false"/>
          <w:imprint w:val="false"/>
          <w:color w:val="000000"/>
          <w:u w:val="none"/>
        </w:rPr>
        <w:t>–</w:t>
      </w:r>
      <w:r>
        <w:rPr>
          <w:rFonts w:eastAsia="Arial Unicode MS"/>
          <w:emboss w:val="false"/>
          <w:imprint w:val="false"/>
          <w:color w:val="000000"/>
          <w:u w:val="none"/>
        </w:rPr>
        <w:t xml:space="preserve"> All</w:t>
      </w:r>
      <w:r>
        <w:rPr>
          <w:rFonts w:eastAsia="Arial Unicode MS" w:cs="Maiandra GD" w:ascii="Maiandra GD" w:hAnsi="Maiandra GD"/>
          <w:emboss w:val="false"/>
          <w:imprint w:val="false"/>
          <w:color w:val="000000"/>
          <w:u w:val="none"/>
        </w:rPr>
        <w:t xml:space="preserve"> regular full-time employees are eligible to receive: </w:t>
      </w:r>
    </w:p>
    <w:p>
      <w:pPr>
        <w:pStyle w:val="Normal"/>
        <w:rPr>
          <w:rFonts w:ascii="Maiandra GD" w:hAnsi="Maiandra GD" w:eastAsia="Arial Unicode MS" w:cs="Maiandra GD"/>
          <w:emboss w:val="false"/>
          <w:imprint w:val="false"/>
          <w:color w:val="000000"/>
          <w:sz w:val="22"/>
          <w:u w:val="none"/>
        </w:rPr>
      </w:pPr>
      <w:r>
        <w:rPr>
          <w:rFonts w:eastAsia="Arial Unicode MS" w:cs="Maiandra GD" w:ascii="Maiandra GD" w:hAnsi="Maiandra GD"/>
          <w:emboss w:val="false"/>
          <w:imprint w:val="false"/>
          <w:color w:val="000000"/>
          <w:sz w:val="22"/>
          <w:u w:val="none"/>
        </w:rPr>
      </w:r>
    </w:p>
    <w:p>
      <w:pPr>
        <w:pStyle w:val="Normal"/>
        <w:ind w:start="720" w:end="0"/>
        <w:rPr>
          <w:rFonts w:ascii="Maiandra GD" w:hAnsi="Maiandra GD" w:cs="Maiandra GD"/>
          <w:sz w:val="22"/>
        </w:rPr>
      </w:pPr>
      <w:r>
        <w:rPr>
          <w:rFonts w:cs="Maiandra GD" w:ascii="Maiandra GD" w:hAnsi="Maiandra GD"/>
          <w:sz w:val="22"/>
        </w:rPr>
        <w:t>100% of their base pay for the first 4 weeks (160 hours), and</w:t>
      </w:r>
    </w:p>
    <w:p>
      <w:pPr>
        <w:pStyle w:val="Normal"/>
        <w:ind w:start="720" w:end="0"/>
        <w:rPr>
          <w:rFonts w:ascii="Maiandra GD" w:hAnsi="Maiandra GD" w:cs="Maiandra GD"/>
          <w:sz w:val="22"/>
        </w:rPr>
      </w:pPr>
      <w:r>
        <w:rPr>
          <w:rFonts w:cs="Maiandra GD" w:ascii="Maiandra GD" w:hAnsi="Maiandra GD"/>
          <w:sz w:val="22"/>
        </w:rPr>
        <w:t>90% of their base pay for the remaining 22 weeks (880 hours).</w:t>
      </w:r>
    </w:p>
    <w:p>
      <w:pPr>
        <w:pStyle w:val="Normal"/>
        <w:ind w:start="720" w:end="0"/>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sz w:val="22"/>
          <w:szCs w:val="20"/>
        </w:rPr>
      </w:pPr>
      <w:r>
        <w:rPr>
          <w:rFonts w:cs="Maiandra GD" w:ascii="Maiandra GD" w:hAnsi="Maiandra GD"/>
          <w:sz w:val="22"/>
        </w:rPr>
        <w:t>Unused vacation hours and pay may be used to supplement sick leave pay.</w:t>
      </w:r>
    </w:p>
    <w:p>
      <w:pPr>
        <w:pStyle w:val="Normal"/>
        <w:jc w:val="both"/>
        <w:rPr>
          <w:rFonts w:ascii="Maiandra GD" w:hAnsi="Maiandra GD" w:cs="Maiandra GD"/>
          <w:sz w:val="22"/>
          <w:szCs w:val="20"/>
        </w:rPr>
      </w:pPr>
      <w:r>
        <w:rPr>
          <w:rFonts w:cs="Maiandra GD" w:ascii="Maiandra GD" w:hAnsi="Maiandra GD"/>
          <w:sz w:val="22"/>
          <w:szCs w:val="20"/>
        </w:rPr>
      </w:r>
    </w:p>
    <w:p>
      <w:pPr>
        <w:pStyle w:val="Normal"/>
        <w:jc w:val="both"/>
        <w:rPr>
          <w:rFonts w:ascii="Maiandra GD" w:hAnsi="Maiandra GD" w:cs="Maiandra GD"/>
          <w:sz w:val="22"/>
          <w:szCs w:val="20"/>
        </w:rPr>
      </w:pPr>
      <w:r>
        <w:rPr>
          <w:emboss/>
          <w:color w:val="0000FF"/>
          <w:sz w:val="22"/>
          <w:u w:val="single"/>
        </w:rPr>
        <w:t>Temporary or Contractual</w:t>
      </w:r>
      <w:r>
        <w:rPr>
          <w:rFonts w:cs="Maiandra GD" w:ascii="Maiandra GD" w:hAnsi="Maiandra GD"/>
          <w:b/>
          <w:bCs/>
          <w:sz w:val="22"/>
        </w:rPr>
        <w:t xml:space="preserve"> </w:t>
      </w:r>
      <w:r>
        <w:rPr>
          <w:rFonts w:cs="Maiandra GD" w:ascii="Maiandra GD" w:hAnsi="Maiandra GD"/>
          <w:sz w:val="22"/>
        </w:rPr>
        <w:t>– Those individuals who are employed for specific projects, overloads, peak periods, on-call-as-needed arrangements, or similar short-term or irregular employment periods.  These employees do not qualify for any company benefit plans.</w:t>
      </w:r>
    </w:p>
    <w:p>
      <w:pPr>
        <w:pStyle w:val="Normal"/>
        <w:jc w:val="both"/>
        <w:rPr>
          <w:rFonts w:ascii="Maiandra GD" w:hAnsi="Maiandra GD" w:cs="Maiandra GD"/>
          <w:sz w:val="22"/>
          <w:szCs w:val="20"/>
        </w:rPr>
      </w:pPr>
      <w:r>
        <w:rPr>
          <w:rFonts w:cs="Maiandra GD" w:ascii="Maiandra GD" w:hAnsi="Maiandra GD"/>
          <w:sz w:val="22"/>
          <w:szCs w:val="20"/>
        </w:rPr>
      </w:r>
    </w:p>
    <w:p>
      <w:pPr>
        <w:pStyle w:val="Style11"/>
        <w:rPr/>
      </w:pPr>
      <w:r>
        <w:rPr/>
        <w:t>Unlawful (under FMLA)</w:t>
      </w:r>
    </w:p>
    <w:p>
      <w:pPr>
        <w:pStyle w:val="Normal"/>
        <w:rPr/>
      </w:pPr>
      <w:r>
        <w:rPr/>
      </w:r>
    </w:p>
    <w:p>
      <w:pPr>
        <w:pStyle w:val="Normal"/>
        <w:numPr>
          <w:ilvl w:val="0"/>
          <w:numId w:val="10"/>
        </w:numPr>
        <w:ind w:hanging="360" w:start="720" w:end="360"/>
        <w:jc w:val="both"/>
        <w:rPr>
          <w:rFonts w:ascii="Maiandra GD" w:hAnsi="Maiandra GD" w:eastAsia="Arial Unicode MS" w:cs="Maiandra GD"/>
          <w:sz w:val="22"/>
          <w:szCs w:val="18"/>
        </w:rPr>
      </w:pPr>
      <w:r>
        <w:rPr>
          <w:rFonts w:eastAsia="Arial Unicode MS" w:cs="Maiandra GD" w:ascii="Maiandra GD" w:hAnsi="Maiandra GD"/>
          <w:sz w:val="22"/>
          <w:szCs w:val="18"/>
        </w:rPr>
        <w:t>Interfering with, restraining, or denying the exercise of any right provided under the FMLA;</w:t>
      </w:r>
    </w:p>
    <w:p>
      <w:pPr>
        <w:pStyle w:val="Normal"/>
        <w:numPr>
          <w:ilvl w:val="0"/>
          <w:numId w:val="10"/>
        </w:numPr>
        <w:ind w:hanging="360" w:start="720" w:end="360"/>
        <w:jc w:val="both"/>
        <w:rPr>
          <w:rFonts w:ascii="Maiandra GD" w:hAnsi="Maiandra GD" w:eastAsia="Arial Unicode MS" w:cs="Maiandra GD"/>
          <w:sz w:val="22"/>
          <w:szCs w:val="18"/>
        </w:rPr>
      </w:pPr>
      <w:r>
        <w:rPr>
          <w:rFonts w:eastAsia="Arial Unicode MS" w:cs="Maiandra GD" w:ascii="Maiandra GD" w:hAnsi="Maiandra GD"/>
          <w:sz w:val="22"/>
          <w:szCs w:val="18"/>
        </w:rPr>
        <w:t>Requiring an eligible employee to return to work before the end of a lawful, approved FMLA leave;</w:t>
      </w:r>
    </w:p>
    <w:p>
      <w:pPr>
        <w:pStyle w:val="Normal"/>
        <w:numPr>
          <w:ilvl w:val="0"/>
          <w:numId w:val="10"/>
        </w:numPr>
        <w:ind w:hanging="360" w:start="720" w:end="360"/>
        <w:jc w:val="both"/>
        <w:rPr>
          <w:rFonts w:ascii="Maiandra GD" w:hAnsi="Maiandra GD" w:eastAsia="Arial Unicode MS" w:cs="Maiandra GD"/>
          <w:sz w:val="22"/>
          <w:szCs w:val="18"/>
        </w:rPr>
      </w:pPr>
      <w:r>
        <w:rPr>
          <w:rFonts w:eastAsia="Arial Unicode MS" w:cs="Maiandra GD" w:ascii="Maiandra GD" w:hAnsi="Maiandra GD"/>
          <w:sz w:val="22"/>
          <w:szCs w:val="18"/>
        </w:rPr>
        <w:t>Failing to inform the employee of applicable rights and protections under the FMLA ; or</w:t>
      </w:r>
    </w:p>
    <w:p>
      <w:pPr>
        <w:pStyle w:val="Normal"/>
        <w:numPr>
          <w:ilvl w:val="0"/>
          <w:numId w:val="10"/>
        </w:numPr>
        <w:ind w:hanging="360" w:start="720" w:end="360"/>
        <w:jc w:val="both"/>
        <w:rPr>
          <w:rFonts w:ascii="Maiandra GD" w:hAnsi="Maiandra GD" w:cs="Maiandra GD"/>
          <w:sz w:val="22"/>
          <w:szCs w:val="20"/>
        </w:rPr>
      </w:pPr>
      <w:r>
        <w:rPr>
          <w:rFonts w:eastAsia="Arial Unicode MS" w:cs="Maiandra GD" w:ascii="Maiandra GD" w:hAnsi="Maiandra GD"/>
          <w:sz w:val="22"/>
          <w:szCs w:val="18"/>
        </w:rPr>
        <w:t>Discharging or discriminating against any person for opposing any practice made unlawful by the FMLA or for involvement in any proceeding under or relating to the FMLA</w:t>
      </w:r>
    </w:p>
    <w:p>
      <w:pPr>
        <w:pStyle w:val="Normal"/>
        <w:ind w:end="360"/>
        <w:jc w:val="both"/>
        <w:rPr>
          <w:rFonts w:ascii="Maiandra GD" w:hAnsi="Maiandra GD" w:eastAsia="Arial Unicode MS" w:cs="Maiandra GD"/>
          <w:sz w:val="22"/>
          <w:szCs w:val="18"/>
        </w:rPr>
      </w:pPr>
      <w:r>
        <w:rPr>
          <w:rFonts w:eastAsia="Arial Unicode MS" w:cs="Maiandra GD" w:ascii="Maiandra GD" w:hAnsi="Maiandra GD"/>
          <w:sz w:val="22"/>
          <w:szCs w:val="18"/>
        </w:rPr>
      </w:r>
    </w:p>
    <w:p>
      <w:pPr>
        <w:pStyle w:val="Normal"/>
        <w:ind w:end="360"/>
        <w:jc w:val="both"/>
        <w:rPr>
          <w:emboss/>
          <w:color w:val="0000FF"/>
          <w:sz w:val="22"/>
          <w:u w:val="single"/>
        </w:rPr>
      </w:pPr>
      <w:r>
        <w:rPr>
          <w:emboss/>
          <w:color w:val="0000FF"/>
          <w:sz w:val="22"/>
          <w:u w:val="single"/>
        </w:rPr>
        <w:t>Vacation Table -</w:t>
      </w:r>
    </w:p>
    <w:p>
      <w:pPr>
        <w:pStyle w:val="Normal"/>
        <w:ind w:end="360"/>
        <w:jc w:val="both"/>
        <w:rPr>
          <w:rFonts w:ascii="Maiandra GD" w:hAnsi="Maiandra GD" w:eastAsia="Arial Unicode MS" w:cs="Maiandra GD"/>
          <w:emboss/>
          <w:color w:val="0000FF"/>
          <w:sz w:val="22"/>
          <w:szCs w:val="18"/>
          <w:u w:val="single"/>
        </w:rPr>
      </w:pPr>
      <w:r>
        <w:rPr>
          <w:rFonts w:eastAsia="Arial Unicode MS" w:cs="Maiandra GD" w:ascii="Maiandra GD" w:hAnsi="Maiandra GD"/>
          <w:emboss/>
          <w:color w:val="0000FF"/>
          <w:sz w:val="22"/>
          <w:szCs w:val="18"/>
          <w:u w:val="single"/>
        </w:rPr>
      </w:r>
    </w:p>
    <w:p>
      <w:pPr>
        <w:pStyle w:val="Normal"/>
        <w:jc w:val="center"/>
        <w:rPr>
          <w:rFonts w:ascii="Maiandra GD" w:hAnsi="Maiandra GD" w:eastAsia="Arial Unicode MS" w:cs="Maiandra GD"/>
          <w:sz w:val="22"/>
          <w:szCs w:val="18"/>
        </w:rPr>
      </w:pPr>
      <w:r>
        <w:rPr>
          <w:rFonts w:eastAsia="Arial Unicode MS" w:cs="Maiandra GD" w:ascii="Maiandra GD" w:hAnsi="Maiandra GD"/>
          <w:sz w:val="22"/>
          <w:szCs w:val="18"/>
        </w:rPr>
      </w:r>
    </w:p>
    <w:p>
      <w:pPr>
        <w:pStyle w:val="Normal"/>
        <w:jc w:val="center"/>
        <w:rPr>
          <w:rFonts w:ascii="Maiandra GD" w:hAnsi="Maiandra GD" w:cs="Maiandra GD"/>
          <w:sz w:val="22"/>
        </w:rPr>
      </w:pPr>
      <w:r>
        <w:rPr>
          <w:rFonts w:cs="Maiandra GD" w:ascii="Maiandra GD" w:hAnsi="Maiandra GD"/>
          <w:sz w:val="22"/>
        </w:rPr>
        <w:t>Regular Full-time Employees</w:t>
      </w:r>
    </w:p>
    <w:p>
      <w:pPr>
        <w:pStyle w:val="Normal"/>
        <w:jc w:val="center"/>
        <w:rPr>
          <w:rFonts w:ascii="Maiandra GD" w:hAnsi="Maiandra GD" w:cs="Maiandra GD"/>
          <w:sz w:val="22"/>
        </w:rPr>
      </w:pPr>
      <w:r>
        <w:rPr>
          <w:rFonts w:cs="Maiandra GD" w:ascii="Maiandra GD" w:hAnsi="Maiandra GD"/>
          <w:sz w:val="22"/>
        </w:rPr>
      </w:r>
    </w:p>
    <w:tbl>
      <w:tblPr>
        <w:tblW w:w="7956" w:type="dxa"/>
        <w:jc w:val="start"/>
        <w:tblInd w:w="700" w:type="dxa"/>
        <w:tblLayout w:type="fixed"/>
        <w:tblCellMar>
          <w:top w:w="0" w:type="dxa"/>
          <w:start w:w="108" w:type="dxa"/>
          <w:bottom w:w="0" w:type="dxa"/>
          <w:end w:w="108" w:type="dxa"/>
        </w:tblCellMar>
      </w:tblPr>
      <w:tblGrid>
        <w:gridCol w:w="2560"/>
        <w:gridCol w:w="2540"/>
        <w:gridCol w:w="2856"/>
      </w:tblGrid>
      <w:tr>
        <w:trPr/>
        <w:tc>
          <w:tcPr>
            <w:tcW w:w="2560" w:type="dxa"/>
            <w:tcBorders>
              <w:top w:val="single" w:sz="4" w:space="0" w:color="000000"/>
              <w:start w:val="single" w:sz="4" w:space="0" w:color="000000"/>
              <w:bottom w:val="double" w:sz="4" w:space="0" w:color="000000"/>
              <w:end w:val="double" w:sz="4" w:space="0" w:color="000000"/>
            </w:tcBorders>
          </w:tcPr>
          <w:p>
            <w:pPr>
              <w:pStyle w:val="Normal"/>
              <w:jc w:val="center"/>
              <w:rPr>
                <w:rFonts w:ascii="Maiandra GD" w:hAnsi="Maiandra GD" w:cs="Maiandra GD"/>
                <w:b/>
                <w:bCs/>
                <w:sz w:val="22"/>
              </w:rPr>
            </w:pPr>
            <w:r>
              <w:rPr>
                <w:rFonts w:cs="Maiandra GD" w:ascii="Maiandra GD" w:hAnsi="Maiandra GD"/>
                <w:b/>
                <w:bCs/>
                <w:sz w:val="22"/>
              </w:rPr>
              <w:t>Length of Continuous Service</w:t>
            </w:r>
          </w:p>
        </w:tc>
        <w:tc>
          <w:tcPr>
            <w:tcW w:w="2540" w:type="dxa"/>
            <w:tcBorders>
              <w:top w:val="single" w:sz="4" w:space="0" w:color="000000"/>
              <w:start w:val="double" w:sz="4" w:space="0" w:color="000000"/>
              <w:bottom w:val="double" w:sz="4" w:space="0" w:color="000000"/>
              <w:end w:val="double" w:sz="4" w:space="0" w:color="000000"/>
            </w:tcBorders>
          </w:tcPr>
          <w:p>
            <w:pPr>
              <w:pStyle w:val="Normal"/>
              <w:jc w:val="center"/>
              <w:rPr>
                <w:rFonts w:ascii="Maiandra GD" w:hAnsi="Maiandra GD" w:cs="Maiandra GD"/>
                <w:b/>
                <w:bCs/>
                <w:sz w:val="22"/>
              </w:rPr>
            </w:pPr>
            <w:r>
              <w:rPr>
                <w:rFonts w:cs="Maiandra GD" w:ascii="Maiandra GD" w:hAnsi="Maiandra GD"/>
                <w:b/>
                <w:bCs/>
                <w:sz w:val="22"/>
              </w:rPr>
              <w:t>Accrual Rate</w:t>
            </w:r>
          </w:p>
        </w:tc>
        <w:tc>
          <w:tcPr>
            <w:tcW w:w="2856" w:type="dxa"/>
            <w:tcBorders>
              <w:top w:val="single" w:sz="4" w:space="0" w:color="000000"/>
              <w:start w:val="double" w:sz="4" w:space="0" w:color="000000"/>
              <w:bottom w:val="double" w:sz="4" w:space="0" w:color="000000"/>
              <w:end w:val="single" w:sz="4" w:space="0" w:color="000000"/>
            </w:tcBorders>
          </w:tcPr>
          <w:p>
            <w:pPr>
              <w:pStyle w:val="Normal"/>
              <w:jc w:val="center"/>
              <w:rPr>
                <w:rFonts w:ascii="Maiandra GD" w:hAnsi="Maiandra GD" w:cs="Maiandra GD"/>
                <w:b/>
                <w:bCs/>
                <w:sz w:val="22"/>
              </w:rPr>
            </w:pPr>
            <w:r>
              <w:rPr>
                <w:rFonts w:cs="Maiandra GD" w:ascii="Maiandra GD" w:hAnsi="Maiandra GD"/>
                <w:b/>
                <w:bCs/>
                <w:sz w:val="22"/>
              </w:rPr>
              <w:t>Total Hours of Vacation</w:t>
            </w:r>
          </w:p>
          <w:p>
            <w:pPr>
              <w:pStyle w:val="Normal"/>
              <w:jc w:val="center"/>
              <w:rPr>
                <w:rFonts w:ascii="Maiandra GD" w:hAnsi="Maiandra GD" w:cs="Maiandra GD"/>
                <w:b/>
                <w:bCs/>
                <w:sz w:val="22"/>
              </w:rPr>
            </w:pPr>
            <w:r>
              <w:rPr>
                <w:rFonts w:cs="Maiandra GD" w:ascii="Maiandra GD" w:hAnsi="Maiandra GD"/>
                <w:b/>
                <w:bCs/>
                <w:sz w:val="22"/>
              </w:rPr>
              <w:t>Per Calendar Year</w:t>
            </w:r>
          </w:p>
        </w:tc>
      </w:tr>
      <w:tr>
        <w:trPr/>
        <w:tc>
          <w:tcPr>
            <w:tcW w:w="2560" w:type="dxa"/>
            <w:tcBorders>
              <w:top w:val="doub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Hire date to end of calendar year in which hired</w:t>
            </w:r>
          </w:p>
        </w:tc>
        <w:tc>
          <w:tcPr>
            <w:tcW w:w="2540" w:type="dxa"/>
            <w:tcBorders>
              <w:top w:val="double" w:sz="4" w:space="0" w:color="000000"/>
              <w:start w:val="single" w:sz="4" w:space="0" w:color="000000"/>
              <w:bottom w:val="single" w:sz="4" w:space="0" w:color="000000"/>
              <w:end w:val="single" w:sz="4" w:space="0" w:color="000000"/>
            </w:tcBorders>
          </w:tcPr>
          <w:p>
            <w:pPr>
              <w:pStyle w:val="Normal"/>
              <w:rPr/>
            </w:pPr>
            <w:r>
              <w:rPr>
                <w:rFonts w:cs="Maiandra GD" w:ascii="Maiandra GD" w:hAnsi="Maiandra GD"/>
                <w:sz w:val="22"/>
              </w:rPr>
              <w:t xml:space="preserve">10 hours per month for each </w:t>
            </w:r>
            <w:r>
              <w:rPr>
                <w:rStyle w:val="Hyperlink"/>
              </w:rPr>
              <w:t>full month</w:t>
            </w:r>
            <w:r>
              <w:rPr>
                <w:rFonts w:cs="Maiandra GD" w:ascii="Maiandra GD" w:hAnsi="Maiandra GD"/>
                <w:sz w:val="22"/>
              </w:rPr>
              <w:t xml:space="preserve"> completed </w:t>
            </w:r>
          </w:p>
        </w:tc>
        <w:tc>
          <w:tcPr>
            <w:tcW w:w="2856" w:type="dxa"/>
            <w:tcBorders>
              <w:top w:val="doub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Based on number of full months employed</w:t>
            </w:r>
          </w:p>
        </w:tc>
      </w:tr>
      <w:tr>
        <w:trPr/>
        <w:tc>
          <w:tcPr>
            <w:tcW w:w="256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rPr>
                <w:rFonts w:ascii="Maiandra GD" w:hAnsi="Maiandra GD" w:cs="Maiandra GD"/>
                <w:sz w:val="22"/>
              </w:rPr>
            </w:pPr>
            <w:r>
              <w:rPr>
                <w:rFonts w:cs="Maiandra GD" w:ascii="Maiandra GD" w:hAnsi="Maiandra GD"/>
                <w:sz w:val="22"/>
              </w:rPr>
              <w:t>First 9 years of service</w:t>
            </w:r>
          </w:p>
        </w:tc>
        <w:tc>
          <w:tcPr>
            <w:tcW w:w="2540"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10 hours per month</w:t>
            </w:r>
          </w:p>
        </w:tc>
        <w:tc>
          <w:tcPr>
            <w:tcW w:w="2856" w:type="dxa"/>
            <w:tcBorders>
              <w:top w:val="single" w:sz="4" w:space="0" w:color="000000"/>
              <w:start w:val="single" w:sz="4" w:space="0" w:color="000000"/>
              <w:bottom w:val="single" w:sz="4" w:space="0" w:color="000000"/>
              <w:end w:val="single" w:sz="4" w:space="0" w:color="000000"/>
            </w:tcBorders>
          </w:tcPr>
          <w:p>
            <w:pPr>
              <w:pStyle w:val="Header"/>
              <w:rPr>
                <w:rFonts w:ascii="Maiandra GD" w:hAnsi="Maiandra GD" w:cs="Maiandra GD"/>
                <w:sz w:val="22"/>
              </w:rPr>
            </w:pPr>
            <w:r>
              <w:rPr>
                <w:rFonts w:cs="Maiandra GD" w:ascii="Maiandra GD" w:hAnsi="Maiandra GD"/>
                <w:sz w:val="22"/>
              </w:rPr>
              <w:t>120 hours (15 days)</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10-19 years of service</w:t>
            </w:r>
          </w:p>
        </w:tc>
        <w:tc>
          <w:tcPr>
            <w:tcW w:w="2540"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13.3 hours per month</w:t>
            </w:r>
          </w:p>
        </w:tc>
        <w:tc>
          <w:tcPr>
            <w:tcW w:w="2856"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160 hours  (20 days)</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20+ years of service</w:t>
            </w:r>
          </w:p>
        </w:tc>
        <w:tc>
          <w:tcPr>
            <w:tcW w:w="2540"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16.6 hours per month</w:t>
            </w:r>
          </w:p>
        </w:tc>
        <w:tc>
          <w:tcPr>
            <w:tcW w:w="2856" w:type="dxa"/>
            <w:tcBorders>
              <w:top w:val="single" w:sz="4" w:space="0" w:color="000000"/>
              <w:start w:val="single" w:sz="4" w:space="0" w:color="000000"/>
              <w:bottom w:val="single" w:sz="4" w:space="0" w:color="000000"/>
              <w:end w:val="single" w:sz="4" w:space="0" w:color="000000"/>
            </w:tcBorders>
          </w:tcPr>
          <w:p>
            <w:pPr>
              <w:pStyle w:val="Normal"/>
              <w:rPr>
                <w:rFonts w:ascii="Maiandra GD" w:hAnsi="Maiandra GD" w:cs="Maiandra GD"/>
                <w:sz w:val="22"/>
              </w:rPr>
            </w:pPr>
            <w:r>
              <w:rPr>
                <w:rFonts w:cs="Maiandra GD" w:ascii="Maiandra GD" w:hAnsi="Maiandra GD"/>
                <w:sz w:val="22"/>
              </w:rPr>
              <w:t>200 hours (25 days)</w:t>
            </w:r>
          </w:p>
        </w:tc>
      </w:tr>
    </w:tbl>
    <w:p>
      <w:pPr>
        <w:pStyle w:val="Normal"/>
        <w:ind w:end="360"/>
        <w:jc w:val="both"/>
        <w:rPr>
          <w:rFonts w:ascii="Maiandra GD" w:hAnsi="Maiandra GD" w:cs="Maiandra GD"/>
          <w:sz w:val="22"/>
          <w:szCs w:val="20"/>
        </w:rPr>
      </w:pPr>
      <w:r>
        <w:rPr>
          <w:rFonts w:cs="Maiandra GD" w:ascii="Maiandra GD" w:hAnsi="Maiandra GD"/>
          <w:sz w:val="22"/>
          <w:szCs w:val="20"/>
        </w:rPr>
      </w:r>
    </w:p>
    <w:p>
      <w:pPr>
        <w:pStyle w:val="Normal"/>
        <w:ind w:end="360"/>
        <w:jc w:val="both"/>
        <w:rPr>
          <w:rFonts w:ascii="Maiandra GD" w:hAnsi="Maiandra GD" w:cs="Maiandra GD"/>
          <w:sz w:val="22"/>
          <w:szCs w:val="20"/>
        </w:rPr>
      </w:pPr>
      <w:r>
        <w:rPr>
          <w:rFonts w:cs="Maiandra GD" w:ascii="Maiandra GD" w:hAnsi="Maiandra GD"/>
          <w:sz w:val="22"/>
          <w:szCs w:val="20"/>
        </w:rPr>
      </w:r>
    </w:p>
    <w:p>
      <w:pPr>
        <w:pStyle w:val="Normal"/>
        <w:jc w:val="both"/>
        <w:rPr>
          <w:rFonts w:ascii="Maiandra GD" w:hAnsi="Maiandra GD" w:cs="Maiandra GD"/>
          <w:sz w:val="22"/>
          <w:szCs w:val="20"/>
        </w:rPr>
      </w:pPr>
      <w:r>
        <w:rPr>
          <w:rFonts w:cs="Maiandra GD" w:ascii="Maiandra GD" w:hAnsi="Maiandra GD"/>
          <w:sz w:val="22"/>
          <w:szCs w:val="20"/>
        </w:rPr>
      </w:r>
    </w:p>
    <w:p>
      <w:pPr>
        <w:pStyle w:val="Normal"/>
        <w:jc w:val="both"/>
        <w:rPr>
          <w:rFonts w:ascii="Maiandra GD" w:hAnsi="Maiandra GD" w:cs="Maiandra GD"/>
          <w:b/>
          <w:bCs/>
          <w:i/>
          <w:i/>
          <w:iCs/>
          <w:sz w:val="22"/>
          <w:szCs w:val="20"/>
        </w:rPr>
      </w:pPr>
      <w:r>
        <w:rPr>
          <w:emboss/>
          <w:color w:val="0000FF"/>
          <w:sz w:val="22"/>
          <w:u w:val="single"/>
        </w:rPr>
        <w:t>Veteran</w:t>
      </w:r>
      <w:r>
        <w:rPr>
          <w:rFonts w:cs="Maiandra GD" w:ascii="Maiandra GD" w:hAnsi="Maiandra GD"/>
          <w:b/>
          <w:bCs/>
          <w:sz w:val="22"/>
        </w:rPr>
        <w:t xml:space="preserve"> </w:t>
      </w:r>
      <w:r>
        <w:rPr>
          <w:rFonts w:cs="Maiandra GD" w:ascii="Maiandra GD" w:hAnsi="Maiandra GD"/>
          <w:sz w:val="22"/>
        </w:rPr>
        <w:t>– A person who is a qualified disa</w:t>
      </w:r>
      <w:r>
        <w:rPr>
          <w:rFonts w:cs="Maiandra GD" w:ascii="Maiandra GD" w:hAnsi="Maiandra GD"/>
          <w:sz w:val="22"/>
          <w:szCs w:val="20"/>
        </w:rPr>
        <w:t>bled veteran, Vietnam era veteran, or any other veteran who served on active duty during a war or in a campaign or expedition for which a military campaign badge has been authorized; an unlawful factor for denying equal employment opportunity.</w:t>
      </w:r>
    </w:p>
    <w:p>
      <w:pPr>
        <w:pStyle w:val="Normal"/>
        <w:jc w:val="both"/>
        <w:rPr>
          <w:rFonts w:ascii="Maiandra GD" w:hAnsi="Maiandra GD" w:cs="Maiandra GD"/>
          <w:b/>
          <w:bCs/>
          <w:i/>
          <w:i/>
          <w:iCs/>
          <w:sz w:val="22"/>
          <w:szCs w:val="20"/>
        </w:rPr>
      </w:pPr>
      <w:r>
        <w:rPr>
          <w:rFonts w:cs="Maiandra GD" w:ascii="Maiandra GD" w:hAnsi="Maiandra GD"/>
          <w:b/>
          <w:bCs/>
          <w:i/>
          <w:iCs/>
          <w:sz w:val="22"/>
          <w:szCs w:val="20"/>
        </w:rPr>
      </w:r>
    </w:p>
    <w:p>
      <w:pPr>
        <w:pStyle w:val="Normal"/>
        <w:jc w:val="both"/>
        <w:rPr>
          <w:rFonts w:ascii="Maiandra GD" w:hAnsi="Maiandra GD" w:cs="Maiandra GD"/>
          <w:sz w:val="22"/>
          <w:szCs w:val="20"/>
        </w:rPr>
      </w:pPr>
      <w:r>
        <w:rPr>
          <w:emboss/>
          <w:color w:val="0000FF"/>
          <w:sz w:val="22"/>
          <w:u w:val="single"/>
        </w:rPr>
        <w:t>Violent Behavior</w:t>
      </w:r>
      <w:r>
        <w:rPr>
          <w:rFonts w:cs="Maiandra GD" w:ascii="Maiandra GD" w:hAnsi="Maiandra GD"/>
          <w:sz w:val="22"/>
        </w:rPr>
        <w:t xml:space="preserve"> – Includes, but is not limited to, physical acts of violence (such as hitting a person); intimidating or hostile behavior; stalking or harassing; vandalism, sabotage, or arson; use or possession of weapons in the workplace; verbal threats, both overt and implied; abusive verbal, written, or electronically transmitted statements made with the intent to inflict harm or threats of harm, or that create a reasonable fear of harm against oneself, other persons, or property; and any other threatening behaviors directed at another person.</w:t>
      </w:r>
    </w:p>
    <w:p>
      <w:pPr>
        <w:pStyle w:val="Normal"/>
        <w:jc w:val="both"/>
        <w:rPr>
          <w:rFonts w:ascii="Maiandra GD" w:hAnsi="Maiandra GD" w:cs="Maiandra GD"/>
          <w:sz w:val="22"/>
          <w:szCs w:val="20"/>
        </w:rPr>
      </w:pPr>
      <w:r>
        <w:rPr>
          <w:rFonts w:cs="Maiandra GD" w:ascii="Maiandra GD" w:hAnsi="Maiandra GD"/>
          <w:sz w:val="22"/>
          <w:szCs w:val="20"/>
        </w:rPr>
      </w:r>
    </w:p>
    <w:p>
      <w:pPr>
        <w:pStyle w:val="Heading2"/>
        <w:pBdr>
          <w:top w:val="nil"/>
          <w:left w:val="nil"/>
          <w:bottom w:val="nil"/>
          <w:right w:val="nil"/>
        </w:pBdr>
        <w:ind w:hanging="0" w:start="0"/>
        <w:jc w:val="both"/>
        <w:rPr>
          <w:rStyle w:val="content9pt1"/>
          <w:rFonts w:ascii="Maiandra GD" w:hAnsi="Maiandra GD" w:cs="Maiandra GD"/>
          <w:color w:val="000000"/>
          <w:sz w:val="22"/>
        </w:rPr>
      </w:pPr>
      <w:r>
        <w:rPr>
          <w:b w:val="false"/>
          <w:bCs w:val="false"/>
          <w:emboss/>
          <w:sz w:val="22"/>
          <w:u w:val="single"/>
        </w:rPr>
        <w:t>Weapon</w:t>
      </w:r>
      <w:r>
        <w:rPr>
          <w:rFonts w:cs="Maiandra GD" w:ascii="Maiandra GD" w:hAnsi="Maiandra GD"/>
          <w:b w:val="false"/>
          <w:bCs w:val="false"/>
          <w:color w:val="000000"/>
          <w:sz w:val="22"/>
        </w:rPr>
        <w:t xml:space="preserve"> – Any</w:t>
      </w:r>
      <w:r>
        <w:rPr>
          <w:rStyle w:val="content9pt1"/>
          <w:rFonts w:cs="Maiandra GD" w:ascii="Maiandra GD" w:hAnsi="Maiandra GD"/>
          <w:b/>
          <w:bCs/>
          <w:color w:val="000000"/>
          <w:sz w:val="22"/>
        </w:rPr>
        <w:t xml:space="preserve"> object which has caused harm or can reasonably be seen as a device intended to cause harm or threat of harm to a person or property.  Weapons include firearms and knives, as well as objects intended for some other primary use, but that may be used to cause harm or injury (for example, a person’s hands, arms or legs, or objects in the workplace, such as paperweights, letter openers, tools, chairs, etc.).  Prohibition of weapons is not affected by legislation regarding the right to carry a weapon either concealed or not concealed.  The Weapons Policy Review Committee, comprised of designees of General Counsel and Enron Corp., receives all requests for exceptions under this policy and is the only organization with the authority to determine and approve such exceptions.  All exceptions require the written approval of one member of the Weapons Policy Review Committee and the Human Resources representative of the Enron Business Unit for which the employee works.</w:t>
      </w:r>
    </w:p>
    <w:p>
      <w:pPr>
        <w:pStyle w:val="Normal"/>
        <w:jc w:val="both"/>
        <w:rPr>
          <w:rStyle w:val="content9pt1"/>
          <w:rFonts w:ascii="Maiandra GD" w:hAnsi="Maiandra GD" w:cs="Maiandra GD"/>
          <w:color w:val="000000"/>
          <w:sz w:val="22"/>
          <w:szCs w:val="20"/>
        </w:rPr>
      </w:pPr>
      <w:r>
        <w:rPr/>
      </w:r>
    </w:p>
    <w:p>
      <w:pPr>
        <w:pStyle w:val="BodyText2"/>
        <w:rPr/>
      </w:pPr>
      <w:r>
        <w:rPr>
          <w:emboss/>
          <w:color w:val="0000FF"/>
          <w:sz w:val="22"/>
          <w:u w:val="single"/>
        </w:rPr>
        <w:t>Workplace</w:t>
      </w:r>
      <w:r>
        <w:rPr>
          <w:rFonts w:cs="Maiandra GD" w:ascii="Maiandra GD" w:hAnsi="Maiandra GD"/>
          <w:b/>
          <w:bCs/>
          <w:sz w:val="22"/>
        </w:rPr>
        <w:t xml:space="preserve"> – </w:t>
      </w:r>
      <w:r>
        <w:rPr>
          <w:rFonts w:cs="Maiandra GD" w:ascii="Maiandra GD" w:hAnsi="Maiandra GD"/>
          <w:sz w:val="22"/>
        </w:rPr>
        <w:t>Includes all Enron premises and any location where company business is being conducted or in which employees perform essential job functions, including a</w:t>
      </w:r>
      <w:r>
        <w:rPr>
          <w:rStyle w:val="content9pt1"/>
          <w:rFonts w:cs="Maiandra GD" w:ascii="Maiandra GD" w:hAnsi="Maiandra GD"/>
          <w:sz w:val="22"/>
        </w:rPr>
        <w:t xml:space="preserve">ll property, land, onshore and offshore platforms, office buildings, structures, installations, training facilities, plants, pipelines, boats, aircraft, and vehicles which are Enron-owned, leased, used, or operated, or which are located on Company property; as well as </w:t>
      </w:r>
      <w:r>
        <w:rPr>
          <w:rFonts w:cs="Maiandra GD" w:ascii="Maiandra GD" w:hAnsi="Maiandra GD"/>
          <w:sz w:val="22"/>
        </w:rPr>
        <w:t xml:space="preserve">fenced areas to which general public access is denied or limited by Enron.  </w:t>
      </w:r>
      <w:r>
        <w:rPr>
          <w:rStyle w:val="content9pt1"/>
          <w:rFonts w:cs="Maiandra GD" w:ascii="Maiandra GD" w:hAnsi="Maiandra GD"/>
          <w:sz w:val="22"/>
        </w:rPr>
        <w:t>Also covered are any personal effects or items, including desks, lockers, workstations, personal belongings, and privately owned vehicles located on or in Company property.</w:t>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Maiandra GD">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3">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4">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5">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6">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7">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8">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9">
    <w:lvl w:ilvl="0">
      <w:start w:val="1"/>
      <w:numFmt w:val="bullet"/>
      <w:lvlText w:val=""/>
      <w:lvlJc w:val="start"/>
      <w:pPr>
        <w:tabs>
          <w:tab w:val="num" w:pos="810"/>
        </w:tabs>
        <w:ind w:start="81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sz w:val="20"/>
        <w:color w:val="000000"/>
      </w:rPr>
    </w:lvl>
  </w:abstractNum>
  <w:abstractNum w:abstractNumId="11">
    <w:lvl w:ilvl="0">
      <w:start w:val="1"/>
      <w:numFmt w:val="bullet"/>
      <w:lvlText w:val=""/>
      <w:lvlJc w:val="start"/>
      <w:pPr>
        <w:tabs>
          <w:tab w:val="num" w:pos="720"/>
        </w:tabs>
        <w:ind w:start="720" w:hanging="360"/>
      </w:pPr>
      <w:rPr>
        <w:rFonts w:ascii="Wingdings" w:hAnsi="Wingdings" w:cs="Wingdings" w:hint="default"/>
        <w:sz w:val="20"/>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2"/>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outlineLvl w:val="1"/>
    </w:pPr>
    <w:rPr>
      <w:b/>
      <w:bCs/>
      <w:color w:val="0000FF"/>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ind w:hanging="0" w:start="360" w:end="0"/>
      <w:outlineLvl w:val="3"/>
    </w:pPr>
    <w:rPr>
      <w:b/>
      <w:bCs/>
    </w:rPr>
  </w:style>
  <w:style w:type="paragraph" w:styleId="Heading5">
    <w:name w:val="heading 5"/>
    <w:basedOn w:val="Normal"/>
    <w:next w:val="Normal"/>
    <w:qFormat/>
    <w:pPr>
      <w:keepNext w:val="true"/>
      <w:numPr>
        <w:ilvl w:val="4"/>
        <w:numId w:val="1"/>
      </w:numPr>
      <w:outlineLvl w:val="4"/>
    </w:pPr>
    <w:rPr>
      <w:rFonts w:ascii="Verdana" w:hAnsi="Verdana" w:eastAsia="Arial Unicode MS" w:cs="Arial Unicode MS"/>
      <w:b/>
      <w:bCs/>
      <w:color w:val="008000"/>
      <w:sz w:val="18"/>
      <w:szCs w:val="18"/>
    </w:rPr>
  </w:style>
  <w:style w:type="paragraph" w:styleId="Heading6">
    <w:name w:val="heading 6"/>
    <w:basedOn w:val="Normal"/>
    <w:next w:val="Normal"/>
    <w:qFormat/>
    <w:pPr>
      <w:keepNext w:val="true"/>
      <w:numPr>
        <w:ilvl w:val="5"/>
        <w:numId w:val="1"/>
      </w:numPr>
      <w:outlineLvl w:val="5"/>
    </w:pPr>
    <w:rPr>
      <w:rFonts w:ascii="Verdana" w:hAnsi="Verdana" w:eastAsia="Arial Unicode MS" w:cs="Arial Unicode MS"/>
      <w:b/>
      <w:bCs/>
      <w:color w:val="0000FF"/>
      <w:sz w:val="22"/>
      <w:szCs w:val="18"/>
    </w:rPr>
  </w:style>
  <w:style w:type="paragraph" w:styleId="Heading7">
    <w:name w:val="heading 7"/>
    <w:basedOn w:val="Normal"/>
    <w:next w:val="Normal"/>
    <w:qFormat/>
    <w:pPr>
      <w:keepNext w:val="true"/>
      <w:numPr>
        <w:ilvl w:val="6"/>
        <w:numId w:val="1"/>
      </w:numPr>
      <w:ind w:hanging="0" w:start="360" w:end="0"/>
      <w:outlineLvl w:val="6"/>
    </w:pPr>
    <w:rPr>
      <w:rFonts w:eastAsia="Arial Unicode MS"/>
      <w:b/>
      <w:bCs/>
      <w:szCs w:val="18"/>
      <w:u w:val="single"/>
    </w:rPr>
  </w:style>
  <w:style w:type="paragraph" w:styleId="Heading8">
    <w:name w:val="heading 8"/>
    <w:basedOn w:val="Normal"/>
    <w:next w:val="Normal"/>
    <w:qFormat/>
    <w:pPr>
      <w:keepNext w:val="true"/>
      <w:numPr>
        <w:ilvl w:val="7"/>
        <w:numId w:val="1"/>
      </w:numPr>
      <w:jc w:val="center"/>
      <w:outlineLvl w:val="7"/>
    </w:pPr>
    <w:rPr>
      <w:rFonts w:ascii="Maiandra GD" w:hAnsi="Maiandra GD" w:cs="Maiandra GD"/>
      <w:color w:val="FF0000"/>
      <w:sz w:val="56"/>
    </w:rPr>
  </w:style>
  <w:style w:type="paragraph" w:styleId="Heading9">
    <w:name w:val="heading 9"/>
    <w:basedOn w:val="Normal"/>
    <w:next w:val="Normal"/>
    <w:qFormat/>
    <w:pPr>
      <w:keepNext w:val="true"/>
      <w:numPr>
        <w:ilvl w:val="8"/>
        <w:numId w:val="1"/>
      </w:numPr>
      <w:ind w:hanging="0" w:start="360" w:end="0"/>
      <w:jc w:val="both"/>
      <w:outlineLvl w:val="8"/>
    </w:pPr>
    <w:rPr>
      <w:u w:val="single"/>
    </w:rPr>
  </w:style>
  <w:style w:type="character" w:styleId="WW8Num1z0">
    <w:name w:val="WW8Num1z0"/>
    <w:qFormat/>
    <w:rPr>
      <w:b/>
    </w:rPr>
  </w:style>
  <w:style w:type="character" w:styleId="WW8Num2z0">
    <w:name w:val="WW8Num2z0"/>
    <w:qFormat/>
    <w:rPr>
      <w:rFonts w:ascii="Wingdings" w:hAnsi="Wingdings" w:cs="Times New Roman"/>
      <w:color w:val="000000"/>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Times New Roman"/>
      <w:color w:val="000000"/>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Times New Roman"/>
      <w:color w:val="000000"/>
      <w:sz w:val="20"/>
    </w:rPr>
  </w:style>
  <w:style w:type="character" w:styleId="WW8Num6z0">
    <w:name w:val="WW8Num6z0"/>
    <w:qFormat/>
    <w:rPr>
      <w:b/>
    </w:rPr>
  </w:style>
  <w:style w:type="character" w:styleId="WW8Num7z0">
    <w:name w:val="WW8Num7z0"/>
    <w:qFormat/>
    <w:rPr/>
  </w:style>
  <w:style w:type="character" w:styleId="WW8Num8z0">
    <w:name w:val="WW8Num8z0"/>
    <w:qFormat/>
    <w:rPr>
      <w:rFonts w:ascii="Wingdings" w:hAnsi="Wingdings" w:cs="Times New Roman"/>
      <w:color w:val="000000"/>
      <w:sz w:val="2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Times New Roman"/>
      <w:color w:val="000000"/>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1z0">
    <w:name w:val="WW8Num11z0"/>
    <w:qFormat/>
    <w:rPr/>
  </w:style>
  <w:style w:type="character" w:styleId="WW8Num12z0">
    <w:name w:val="WW8Num12z0"/>
    <w:qFormat/>
    <w:rPr>
      <w:rFonts w:ascii="Wingdings" w:hAnsi="Wingdings" w:cs="Times New Roman"/>
      <w:color w:val="000000"/>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4z0">
    <w:name w:val="WW8Num14z0"/>
    <w:qFormat/>
    <w:rPr>
      <w:rFonts w:ascii="Wingdings" w:hAnsi="Wingdings" w:cs="Times New Roman"/>
      <w:color w:val="000000"/>
      <w:sz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6z0">
    <w:name w:val="WW8Num16z0"/>
    <w:qFormat/>
    <w:rPr/>
  </w:style>
  <w:style w:type="character" w:styleId="WW8Num17z0">
    <w:name w:val="WW8Num17z0"/>
    <w:qFormat/>
    <w:rPr/>
  </w:style>
  <w:style w:type="character" w:styleId="WW8Num17z1">
    <w:name w:val="WW8Num17z1"/>
    <w:qFormat/>
    <w:rPr>
      <w:rFonts w:ascii="Wingdings" w:hAnsi="Wingdings" w:cs="Times New Roman"/>
      <w:color w:val="000000"/>
      <w:sz w:val="20"/>
    </w:rPr>
  </w:style>
  <w:style w:type="character" w:styleId="WW8Num18z0">
    <w:name w:val="WW8Num18z0"/>
    <w:qFormat/>
    <w:rPr>
      <w:rFonts w:ascii="Symbol" w:hAnsi="Symbol" w:cs="Symbol"/>
    </w:rPr>
  </w:style>
  <w:style w:type="character" w:styleId="WW8Num19z0">
    <w:name w:val="WW8Num19z0"/>
    <w:qFormat/>
    <w:rPr>
      <w:rFonts w:ascii="Wingdings" w:hAnsi="Wingdings" w:cs="Times New Roman"/>
      <w:color w:val="000000"/>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1z0">
    <w:name w:val="WW8Num21z0"/>
    <w:qFormat/>
    <w:rPr>
      <w:rFonts w:ascii="Wingdings" w:hAnsi="Wingdings" w:cs="Times New Roman"/>
      <w:color w:val="000000"/>
      <w:sz w:val="2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Wingdings" w:hAnsi="Wingdings" w:cs="Times New Roman"/>
      <w:color w:val="000000"/>
      <w:sz w:val="2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6z1">
    <w:name w:val="WW8Num26z1"/>
    <w:qFormat/>
    <w:rPr/>
  </w:style>
  <w:style w:type="character" w:styleId="WW8Num27z0">
    <w:name w:val="WW8Num27z0"/>
    <w:qFormat/>
    <w:rPr/>
  </w:style>
  <w:style w:type="character" w:styleId="WW8Num28z0">
    <w:name w:val="WW8Num28z0"/>
    <w:qFormat/>
    <w:rPr/>
  </w:style>
  <w:style w:type="character" w:styleId="WW8Num29z0">
    <w:name w:val="WW8Num29z0"/>
    <w:qFormat/>
    <w:rPr>
      <w:b w:val="false"/>
    </w:rPr>
  </w:style>
  <w:style w:type="character" w:styleId="WW8Num30z0">
    <w:name w:val="WW8Num30z0"/>
    <w:qFormat/>
    <w:rPr>
      <w:b w:val="false"/>
    </w:rPr>
  </w:style>
  <w:style w:type="character" w:styleId="WW8Num31z0">
    <w:name w:val="WW8Num31z0"/>
    <w:qFormat/>
    <w:rPr>
      <w:rFonts w:ascii="Wingdings" w:hAnsi="Wingdings" w:cs="Times New Roman"/>
      <w:color w:val="000000"/>
      <w:sz w:val="2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b w:val="false"/>
    </w:rPr>
  </w:style>
  <w:style w:type="character" w:styleId="WW8Num33z0">
    <w:name w:val="WW8Num33z0"/>
    <w:qFormat/>
    <w:rPr>
      <w:rFonts w:ascii="Wingdings" w:hAnsi="Wingdings" w:cs="Times New Roman"/>
      <w:color w:val="000000"/>
      <w:sz w:val="2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Wingdings" w:hAnsi="Wingdings" w:cs="Times New Roman"/>
      <w:color w:val="000000"/>
      <w:sz w:val="20"/>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4z4">
    <w:name w:val="WW8Num34z4"/>
    <w:qFormat/>
    <w:rPr>
      <w:rFonts w:ascii="Courier New" w:hAnsi="Courier New" w:cs="Courier New"/>
    </w:rPr>
  </w:style>
  <w:style w:type="character" w:styleId="WW8Num35z0">
    <w:name w:val="WW8Num35z0"/>
    <w:qFormat/>
    <w:rPr/>
  </w:style>
  <w:style w:type="character" w:styleId="WW8Num36z0">
    <w:name w:val="WW8Num36z0"/>
    <w:qFormat/>
    <w:rPr>
      <w:rFonts w:ascii="Wingdings" w:hAnsi="Wingdings" w:cs="Times New Roman"/>
      <w:color w:val="000000"/>
      <w:sz w:val="2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8z1">
    <w:name w:val="WW8Num38z1"/>
    <w:qFormat/>
    <w:rPr>
      <w:u w:val="single"/>
    </w:rPr>
  </w:style>
  <w:style w:type="character" w:styleId="WW8Num39z0">
    <w:name w:val="WW8Num39z0"/>
    <w:qFormat/>
    <w:rPr>
      <w:rFonts w:ascii="Wingdings" w:hAnsi="Wingdings" w:cs="Times New Roman"/>
      <w:color w:val="000000"/>
      <w:sz w:val="2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DefaultParagraphFont">
    <w:name w:val="Default Paragraph Font"/>
    <w:qFormat/>
    <w:rPr/>
  </w:style>
  <w:style w:type="character" w:styleId="content9ptbold1">
    <w:name w:val="content9ptbold1"/>
    <w:basedOn w:val="DefaultParagraphFont"/>
    <w:qFormat/>
    <w:rPr>
      <w:rFonts w:ascii="Verdana" w:hAnsi="Verdana" w:cs="Verdana"/>
      <w:b/>
      <w:bCs/>
      <w:strike w:val="false"/>
      <w:dstrike w:val="false"/>
      <w:color w:val="000000"/>
      <w:sz w:val="18"/>
      <w:szCs w:val="18"/>
      <w:u w:val="none"/>
    </w:rPr>
  </w:style>
  <w:style w:type="character" w:styleId="Hyperlink">
    <w:name w:val="Hyperlink"/>
    <w:basedOn w:val="DefaultParagraphFont"/>
    <w:rPr/>
  </w:style>
  <w:style w:type="character" w:styleId="content9pt1">
    <w:name w:val="content9pt1"/>
    <w:basedOn w:val="DefaultParagraphFont"/>
    <w:qFormat/>
    <w:rPr>
      <w:rFonts w:ascii="Verdana" w:hAnsi="Verdana" w:cs="Verdana"/>
      <w:strike w:val="false"/>
      <w:dstrike w:val="false"/>
      <w:color w:val="000000"/>
      <w:sz w:val="18"/>
      <w:szCs w:val="18"/>
      <w:u w:val="none"/>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360" w:start="360" w:end="0"/>
    </w:pPr>
    <w:rPr/>
  </w:style>
  <w:style w:type="paragraph" w:styleId="NormalWeb">
    <w:name w:val="Normal (Web)"/>
    <w:basedOn w:val="Normal"/>
    <w:qFormat/>
    <w:pPr>
      <w:spacing w:before="100" w:after="100"/>
    </w:pPr>
    <w:rPr>
      <w:rFonts w:ascii="Arial Unicode MS" w:hAnsi="Arial Unicode MS" w:eastAsia="Arial Unicode MS" w:cs="Arial Unicode MS"/>
      <w:color w:val="000000"/>
    </w:rPr>
  </w:style>
  <w:style w:type="paragraph" w:styleId="BodyText2">
    <w:name w:val="Body Text 2"/>
    <w:basedOn w:val="Normal"/>
    <w:qFormat/>
    <w:pPr>
      <w:jc w:val="both"/>
    </w:pPr>
    <w:rPr/>
  </w:style>
  <w:style w:type="paragraph" w:styleId="content9pt">
    <w:name w:val="content9pt"/>
    <w:basedOn w:val="Normal"/>
    <w:qFormat/>
    <w:pPr>
      <w:spacing w:lineRule="atLeast" w:line="260" w:before="100" w:after="100"/>
    </w:pPr>
    <w:rPr>
      <w:rFonts w:ascii="Verdana" w:hAnsi="Verdana" w:eastAsia="Arial Unicode MS" w:cs="Arial Unicode MS"/>
      <w:color w:val="000000"/>
      <w:sz w:val="18"/>
      <w:szCs w:val="18"/>
    </w:rPr>
  </w:style>
  <w:style w:type="paragraph" w:styleId="BodyTextIndent2">
    <w:name w:val="Body Text Indent 2"/>
    <w:basedOn w:val="Normal"/>
    <w:qFormat/>
    <w:pPr>
      <w:ind w:hanging="0" w:start="360" w:end="0"/>
      <w:jc w:val="both"/>
    </w:pPr>
    <w:rPr>
      <w:szCs w:val="20"/>
    </w:rPr>
  </w:style>
  <w:style w:type="paragraph" w:styleId="BodyTextIndent3">
    <w:name w:val="Body Text Indent 3"/>
    <w:basedOn w:val="Normal"/>
    <w:qFormat/>
    <w:pPr>
      <w:ind w:hanging="0" w:start="720" w:end="0"/>
    </w:pPr>
    <w:rPr/>
  </w:style>
  <w:style w:type="paragraph" w:styleId="Footer">
    <w:name w:val="footer"/>
    <w:basedOn w:val="Normal"/>
    <w:pPr>
      <w:tabs>
        <w:tab w:val="clear" w:pos="720"/>
        <w:tab w:val="center" w:pos="4320" w:leader="none"/>
        <w:tab w:val="right" w:pos="8640" w:leader="none"/>
      </w:tabs>
    </w:pPr>
    <w:rPr/>
  </w:style>
  <w:style w:type="paragraph" w:styleId="Style11">
    <w:name w:val="Style1"/>
    <w:basedOn w:val="Normal"/>
    <w:qFormat/>
    <w:pPr>
      <w:jc w:val="both"/>
    </w:pPr>
    <w:rPr>
      <w:emboss/>
      <w:color w:val="0000FF"/>
      <w:sz w:val="22"/>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hrweb.enron.com/" TargetMode="Externa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2001-10-24T22:30:00Z</dcterms:created>
  <dc:creator>kphilli3</dc:creator>
  <dc:description/>
  <dc:language>en-CA</dc:language>
  <cp:lastModifiedBy>wfincher</cp:lastModifiedBy>
  <cp:lastPrinted>2001-10-29T15:13:00Z</cp:lastPrinted>
  <dcterms:modified xsi:type="dcterms:W3CDTF">2001-10-29T19:03:00Z</dcterms:modified>
  <cp:revision>4</cp:revision>
  <dc:subject/>
  <dc:title>Links</dc:title>
</cp:coreProperties>
</file>