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Maiandra GD" w:hAnsi="Maiandra GD" w:cs="Maiandra GD"/>
          <w:b/>
          <w:bCs/>
          <w:color w:val="FF0000"/>
          <w:sz w:val="28"/>
        </w:rPr>
      </w:pPr>
      <w:r>
        <w:rPr>
          <w:rFonts w:cs="Maiandra GD" w:ascii="Maiandra GD" w:hAnsi="Maiandra GD"/>
          <w:b/>
          <w:bCs/>
          <w:color w:val="FF0000"/>
          <w:sz w:val="28"/>
        </w:rPr>
        <w:t>RECEIPT FOR EMPLOYEE HANDBOOK</w:t>
      </w:r>
    </w:p>
    <w:p>
      <w:pPr>
        <w:pStyle w:val="PlainText"/>
        <w:jc w:val="center"/>
        <w:rPr>
          <w:rFonts w:ascii="Maiandra GD" w:hAnsi="Maiandra GD" w:cs="Maiandra GD"/>
          <w:b/>
          <w:bCs/>
          <w:color w:val="FF0000"/>
          <w:sz w:val="24"/>
        </w:rPr>
      </w:pPr>
      <w:r>
        <w:rPr>
          <w:rFonts w:cs="Maiandra GD" w:ascii="Maiandra GD" w:hAnsi="Maiandra GD"/>
          <w:b/>
          <w:bCs/>
          <w:color w:val="FF0000"/>
          <w:sz w:val="24"/>
        </w:rPr>
      </w:r>
    </w:p>
    <w:p>
      <w:pPr>
        <w:pStyle w:val="PlainText"/>
        <w:rPr>
          <w:rFonts w:ascii="Maiandra GD" w:hAnsi="Maiandra GD" w:cs="Maiandra GD"/>
          <w:sz w:val="24"/>
        </w:rPr>
      </w:pPr>
      <w:r>
        <w:rPr>
          <w:rFonts w:cs="Maiandra GD" w:ascii="Maiandra GD" w:hAnsi="Maiandra GD"/>
          <w:sz w:val="24"/>
        </w:rPr>
      </w:r>
    </w:p>
    <w:p>
      <w:pPr>
        <w:pStyle w:val="PlainText"/>
        <w:ind w:firstLine="720" w:end="0"/>
        <w:jc w:val="both"/>
        <w:rPr/>
      </w:pPr>
      <w:r>
        <w:rPr>
          <w:rFonts w:cs="Maiandra GD" w:ascii="Maiandra GD" w:hAnsi="Maiandra GD"/>
          <w:sz w:val="24"/>
        </w:rPr>
        <w:t xml:space="preserve">I acknowledge that I have received a copy of Enron's Employee Handbook.  I agree to read it thoroughly, including the statements in the foreword describing the purpose and effect of the Handbook.  I agree that if there is any policy or provision in the Handbook that I do not understand, I will seek clarification from the Human Resources Department.  I understand that Enron is an "at will" employer and as such employment with Enron is not for a fixed term or definite period and may be terminated at the will of either party, with or without cause, and without prior notice.  </w:t>
      </w:r>
      <w:r>
        <w:rPr>
          <w:rFonts w:cs="Maiandra GD" w:ascii="Maiandra GD" w:hAnsi="Maiandra GD"/>
          <w:sz w:val="24"/>
          <w:highlight w:val="yellow"/>
        </w:rPr>
        <w:t>No supervisor or other representative of Enron (except the President) has the authority to enter into any agreement for employment for any specified period of time, or to make any agreement contrary to the above.</w:t>
      </w:r>
      <w:r>
        <w:rPr>
          <w:rFonts w:cs="Maiandra GD" w:ascii="Maiandra GD" w:hAnsi="Maiandra GD"/>
          <w:sz w:val="24"/>
        </w:rPr>
        <w:t xml:space="preserve"> In addition, I understand that this Handbook states Enron's policies and practices in effect on the date of publication.  I understand that nothing contained in the Handbook may be construed as creating a promise of future benefits or a binding contract with Enron for benefits or for any other purpose.  I also understand that these policies and procedures are continually evaluated and may be amended, modified or terminated at any time.</w:t>
      </w:r>
    </w:p>
    <w:p>
      <w:pPr>
        <w:pStyle w:val="PlainText"/>
        <w:rPr>
          <w:rFonts w:ascii="Maiandra GD" w:hAnsi="Maiandra GD" w:cs="Maiandra GD"/>
          <w:sz w:val="24"/>
        </w:rPr>
      </w:pPr>
      <w:r>
        <w:rPr>
          <w:rFonts w:cs="Maiandra GD" w:ascii="Maiandra GD" w:hAnsi="Maiandra GD"/>
          <w:sz w:val="24"/>
        </w:rPr>
      </w:r>
    </w:p>
    <w:p>
      <w:pPr>
        <w:pStyle w:val="PlainText"/>
        <w:ind w:firstLine="720" w:end="0"/>
        <w:jc w:val="both"/>
        <w:rPr>
          <w:rFonts w:ascii="Maiandra GD" w:hAnsi="Maiandra GD" w:cs="Maiandra GD"/>
          <w:sz w:val="24"/>
        </w:rPr>
      </w:pPr>
      <w:r>
        <w:rPr>
          <w:rFonts w:cs="Maiandra GD" w:ascii="Maiandra GD" w:hAnsi="Maiandra GD"/>
          <w:sz w:val="24"/>
        </w:rPr>
        <w:t>Please sign and date this receipt and return it to the Human Resources Representative.</w:t>
      </w:r>
    </w:p>
    <w:p>
      <w:pPr>
        <w:pStyle w:val="PlainText"/>
        <w:ind w:firstLine="720" w:end="0"/>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t>Date: __________________________________</w:t>
      </w:r>
    </w:p>
    <w:p>
      <w:pPr>
        <w:pStyle w:val="PlainText"/>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r>
    </w:p>
    <w:p>
      <w:pPr>
        <w:pStyle w:val="PlainText"/>
        <w:rPr>
          <w:rFonts w:ascii="Maiandra GD" w:hAnsi="Maiandra GD" w:cs="Maiandra GD"/>
          <w:sz w:val="24"/>
        </w:rPr>
      </w:pPr>
      <w:r>
        <w:rPr>
          <w:rFonts w:cs="Maiandra GD" w:ascii="Maiandra GD" w:hAnsi="Maiandra GD"/>
          <w:sz w:val="24"/>
        </w:rPr>
        <w:t>Signature: ______________________________</w:t>
      </w:r>
    </w:p>
    <w:p>
      <w:pPr>
        <w:pStyle w:val="PlainText"/>
        <w:rPr>
          <w:rFonts w:ascii="Maiandra GD" w:hAnsi="Maiandra GD" w:cs="Maiandra GD"/>
          <w:sz w:val="24"/>
        </w:rPr>
      </w:pPr>
      <w:r>
        <w:rPr>
          <w:rFonts w:cs="Maiandra GD" w:ascii="Maiandra GD" w:hAnsi="Maiandra GD"/>
          <w:sz w:val="24"/>
        </w:rPr>
      </w:r>
    </w:p>
    <w:p>
      <w:pPr>
        <w:pStyle w:val="h2"/>
        <w:rPr>
          <w:b w:val="false"/>
          <w:bCs w:val="false"/>
        </w:rPr>
      </w:pPr>
      <w:r>
        <w:rPr>
          <w:rFonts w:cs="Maiandra GD" w:ascii="Maiandra GD" w:hAnsi="Maiandra GD"/>
          <w:b w:val="false"/>
          <w:bCs w:val="false"/>
          <w:sz w:val="24"/>
        </w:rPr>
        <w:t>Printed Name: __________________________</w:t>
      </w:r>
      <w:r>
        <w:br w:type="page"/>
      </w:r>
    </w:p>
    <w:p>
      <w:pPr>
        <w:pStyle w:val="h2"/>
        <w:jc w:val="center"/>
        <w:rPr>
          <w:rFonts w:ascii="Maiandra GD" w:hAnsi="Maiandra GD" w:cs="Maiandra GD"/>
          <w:color w:val="FF0000"/>
        </w:rPr>
      </w:pPr>
      <w:r>
        <w:rPr>
          <w:rFonts w:cs="Maiandra GD" w:ascii="Maiandra GD" w:hAnsi="Maiandra GD"/>
          <w:color w:val="FF0000"/>
        </w:rPr>
        <w:t>NON-CONTRACTUAL NOTICE</w:t>
      </w:r>
    </w:p>
    <w:p>
      <w:pPr>
        <w:pStyle w:val="Header"/>
        <w:jc w:val="both"/>
        <w:rPr>
          <w:rFonts w:ascii="Maiandra GD" w:hAnsi="Maiandra GD" w:cs="Maiandra GD"/>
          <w:color w:val="000000"/>
          <w:sz w:val="24"/>
          <w:szCs w:val="18"/>
        </w:rPr>
      </w:pPr>
      <w:r>
        <w:rPr>
          <w:rFonts w:cs="Maiandra GD" w:ascii="Maiandra GD" w:hAnsi="Maiandra GD"/>
          <w:color w:val="000000"/>
          <w:sz w:val="24"/>
          <w:szCs w:val="18"/>
        </w:rPr>
      </w:r>
    </w:p>
    <w:p>
      <w:pPr>
        <w:pStyle w:val="Header"/>
        <w:jc w:val="both"/>
        <w:rPr/>
      </w:pPr>
      <w:r>
        <w:rPr>
          <w:rFonts w:cs="Maiandra GD" w:ascii="Maiandra GD" w:hAnsi="Maiandra GD"/>
          <w:color w:val="000000"/>
          <w:sz w:val="24"/>
          <w:szCs w:val="18"/>
        </w:rPr>
        <w:br/>
      </w:r>
      <w:r>
        <w:rPr>
          <w:rStyle w:val="content9pt1"/>
          <w:rFonts w:cs="Maiandra GD" w:ascii="Maiandra GD" w:hAnsi="Maiandra GD"/>
          <w:b/>
          <w:bCs/>
          <w:sz w:val="24"/>
        </w:rPr>
        <w:t>The Human Resources Policy Manual has been adopted by Enron for its sole and exclusive use. The policies and procedures communicated herein neither constitute nor imply a contract between Enron Corp., its subsidiaries or affiliated companies, and any individual.</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The policies herein are intended as guidelines to promote effective and efficient management practices. The policies herein also are intended to inform and help prevent business-related conduct that may be unfair, unsafe, or unlawful. However, the policies herein are not intended to be the exclusive means available to enron to accomplish these objectives.</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The policies herein are intended to facilitate administration of, but neither amend nor modify in any sense, stipulations of actual employee benefit plans or related plan documents adopted by the Company.</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The policies herein create no obligation on the part of the Company, nor any individual obligation, right, term, condition, expectation, or privilege of employment not otherwise established by law. Contracts of employment may not be extended to any individual, or modified, unless and until each has been approved and initialed by both the Office of the Chairman and General Counsel of Enron Corp. or their designated representatives.</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The policies herein may be amended or withdrawn at any time by the Company without prior notice.</w:t>
      </w:r>
    </w:p>
    <w:p>
      <w:pPr>
        <w:pStyle w:val="Header"/>
        <w:jc w:val="both"/>
        <w:rPr/>
      </w:pPr>
      <w:r>
        <w:rPr>
          <w:rFonts w:cs="Maiandra GD" w:ascii="Maiandra GD" w:hAnsi="Maiandra GD"/>
          <w:b w:val="false"/>
          <w:bCs/>
          <w:color w:val="000000"/>
          <w:sz w:val="24"/>
          <w:szCs w:val="18"/>
        </w:rPr>
        <w:br/>
      </w:r>
      <w:r>
        <w:rPr>
          <w:rStyle w:val="content9pt1"/>
          <w:rFonts w:cs="Maiandra GD" w:ascii="Maiandra GD" w:hAnsi="Maiandra GD"/>
          <w:b/>
          <w:bCs/>
          <w:sz w:val="24"/>
        </w:rPr>
        <w:t>Questions regarding the application and interpretation of any policy herein should be directed to Human Resources for appropriate disposition.</w:t>
      </w:r>
    </w:p>
    <w:p>
      <w:pPr>
        <w:pStyle w:val="Header"/>
        <w:jc w:val="both"/>
        <w:rPr>
          <w:rStyle w:val="content9pt1"/>
          <w:rFonts w:ascii="Maiandra GD" w:hAnsi="Maiandra GD" w:cs="Maiandra GD"/>
          <w:b/>
          <w:bCs/>
          <w:sz w:val="24"/>
        </w:rPr>
      </w:pPr>
      <w:r>
        <w:rPr/>
      </w:r>
    </w:p>
    <w:p>
      <w:pPr>
        <w:pStyle w:val="Header"/>
        <w:jc w:val="both"/>
        <w:rPr>
          <w:rStyle w:val="content9pt1"/>
          <w:rFonts w:ascii="Maiandra GD" w:hAnsi="Maiandra GD" w:cs="Maiandra GD"/>
          <w:b w:val="false"/>
          <w:bCs/>
          <w:sz w:val="28"/>
        </w:rPr>
      </w:pPr>
      <w:r>
        <w:rPr/>
      </w:r>
    </w:p>
    <w:p>
      <w:pPr>
        <w:pStyle w:val="Header"/>
        <w:keepNext w:val="true"/>
        <w:keepLines/>
        <w:rPr>
          <w:rFonts w:ascii="Maiandra GD" w:hAnsi="Maiandra GD" w:cs="Maiandra GD"/>
          <w:color w:val="0000FF"/>
          <w:sz w:val="28"/>
        </w:rPr>
      </w:pPr>
      <w:r>
        <w:rPr>
          <w:rFonts w:cs="Maiandra GD" w:ascii="Maiandra GD" w:hAnsi="Maiandra GD"/>
          <w:color w:val="0000FF"/>
          <w:sz w:val="28"/>
        </w:rPr>
        <w:t>Equal Employment Opportunity</w:t>
      </w:r>
    </w:p>
    <w:p>
      <w:pPr>
        <w:pStyle w:val="Normal"/>
        <w:keepNext w:val="true"/>
        <w:keepLines/>
        <w:rPr>
          <w:rFonts w:ascii="Maiandra GD" w:hAnsi="Maiandra GD" w:cs="Maiandra GD"/>
          <w:color w:val="0000FF"/>
          <w:sz w:val="22"/>
        </w:rPr>
      </w:pPr>
      <w:r>
        <w:rPr>
          <w:rFonts w:cs="Maiandra GD" w:ascii="Maiandra GD" w:hAnsi="Maiandra GD"/>
          <w:color w:val="0000FF"/>
          <w:sz w:val="22"/>
        </w:rPr>
      </w:r>
    </w:p>
    <w:p>
      <w:pPr>
        <w:pStyle w:val="Normal"/>
        <w:keepNext w:val="true"/>
        <w:keepLines/>
        <w:jc w:val="both"/>
        <w:rPr/>
      </w:pPr>
      <w:r>
        <w:rPr>
          <w:rFonts w:cs="Maiandra GD" w:ascii="Maiandra GD" w:hAnsi="Maiandra GD"/>
          <w:sz w:val="22"/>
        </w:rPr>
        <w:t xml:space="preserve">Enron supports </w:t>
      </w:r>
      <w:r>
        <w:rPr>
          <w:rFonts w:cs="Maiandra GD" w:ascii="Maiandra GD" w:hAnsi="Maiandra GD"/>
          <w:emboss/>
          <w:color w:val="0000FF"/>
          <w:sz w:val="22"/>
          <w:u w:val="single"/>
        </w:rPr>
        <w:t>Equal Employment Opportunity (EEO)</w:t>
      </w:r>
      <w:r>
        <w:rPr>
          <w:rFonts w:cs="Maiandra GD" w:ascii="Maiandra GD" w:hAnsi="Maiandra GD"/>
          <w:sz w:val="22"/>
        </w:rPr>
        <w:t xml:space="preserve"> for all employees and job applicants in all aspects of employment, including hiring, pay, promotion, discipline, evaluation, termination, and other aspects of employment at Enron.  Enron will not tolerate </w:t>
      </w:r>
      <w:r>
        <w:rPr>
          <w:rStyle w:val="Hyperlink"/>
        </w:rPr>
        <w:t>di</w:t>
      </w:r>
      <w:r>
        <w:rPr>
          <w:rFonts w:cs="Maiandra GD" w:ascii="Maiandra GD" w:hAnsi="Maiandra GD"/>
          <w:emboss/>
          <w:color w:val="0000FF"/>
          <w:sz w:val="22"/>
          <w:u w:val="single"/>
        </w:rPr>
        <w:t>scrimination</w:t>
      </w:r>
      <w:r>
        <w:rPr>
          <w:rFonts w:cs="Maiandra GD" w:ascii="Maiandra GD" w:hAnsi="Maiandra GD"/>
          <w:emboss/>
          <w:sz w:val="22"/>
        </w:rPr>
        <w:t xml:space="preserve"> </w:t>
      </w:r>
      <w:r>
        <w:rPr>
          <w:rFonts w:cs="Maiandra GD" w:ascii="Maiandra GD" w:hAnsi="Maiandra GD"/>
          <w:sz w:val="22"/>
        </w:rPr>
        <w:t>or</w:t>
      </w:r>
      <w:r>
        <w:rPr>
          <w:rFonts w:cs="Maiandra GD" w:ascii="Maiandra GD" w:hAnsi="Maiandra GD"/>
          <w:emboss/>
          <w:sz w:val="22"/>
        </w:rPr>
        <w:t xml:space="preserve"> </w:t>
      </w:r>
      <w:r>
        <w:rPr>
          <w:rFonts w:cs="Maiandra GD" w:ascii="Maiandra GD" w:hAnsi="Maiandra GD"/>
          <w:emboss/>
          <w:color w:val="0000FF"/>
          <w:sz w:val="22"/>
          <w:u w:val="single"/>
        </w:rPr>
        <w:t>harassment</w:t>
      </w:r>
      <w:r>
        <w:rPr>
          <w:rFonts w:cs="Maiandra GD" w:ascii="Maiandra GD" w:hAnsi="Maiandra GD"/>
          <w:sz w:val="22"/>
        </w:rPr>
        <w:t xml:space="preserve"> in any form.  Enron will not discriminate against any individual on the basis of </w:t>
      </w:r>
      <w:r>
        <w:rPr>
          <w:rFonts w:cs="Maiandra GD" w:ascii="Maiandra GD" w:hAnsi="Maiandra GD"/>
          <w:emboss/>
          <w:color w:val="0000FF"/>
          <w:sz w:val="22"/>
          <w:u w:val="single"/>
        </w:rPr>
        <w:t>race</w:t>
      </w:r>
      <w:r>
        <w:rPr>
          <w:rFonts w:cs="Maiandra GD" w:ascii="Maiandra GD" w:hAnsi="Maiandra GD"/>
          <w:emboss/>
          <w:sz w:val="22"/>
        </w:rPr>
        <w:t>,</w:t>
      </w:r>
      <w:r>
        <w:rPr>
          <w:rFonts w:cs="Maiandra GD" w:ascii="Maiandra GD" w:hAnsi="Maiandra GD"/>
          <w:emboss/>
          <w:color w:val="0000FF"/>
          <w:sz w:val="22"/>
        </w:rPr>
        <w:t xml:space="preserve"> </w:t>
      </w:r>
      <w:r>
        <w:rPr>
          <w:rFonts w:cs="Maiandra GD" w:ascii="Maiandra GD" w:hAnsi="Maiandra GD"/>
          <w:emboss/>
          <w:color w:val="0000FF"/>
          <w:sz w:val="22"/>
          <w:u w:val="single"/>
        </w:rPr>
        <w:t>color</w:t>
      </w:r>
      <w:r>
        <w:rPr>
          <w:rFonts w:cs="Maiandra GD" w:ascii="Maiandra GD" w:hAnsi="Maiandra GD"/>
          <w:emboss/>
          <w:color w:val="0000FF"/>
          <w:sz w:val="22"/>
        </w:rPr>
        <w:t xml:space="preserve">, </w:t>
      </w:r>
      <w:r>
        <w:rPr>
          <w:rFonts w:cs="Maiandra GD" w:ascii="Maiandra GD" w:hAnsi="Maiandra GD"/>
          <w:emboss/>
          <w:color w:val="0000FF"/>
          <w:sz w:val="22"/>
          <w:u w:val="single"/>
        </w:rPr>
        <w:t>religion</w:t>
      </w:r>
      <w:r>
        <w:rPr>
          <w:rFonts w:cs="Maiandra GD" w:ascii="Maiandra GD" w:hAnsi="Maiandra GD"/>
          <w:emboss/>
          <w:color w:val="0000FF"/>
          <w:sz w:val="22"/>
        </w:rPr>
        <w:t xml:space="preserve">, </w:t>
      </w:r>
      <w:r>
        <w:rPr>
          <w:rFonts w:cs="Maiandra GD" w:ascii="Maiandra GD" w:hAnsi="Maiandra GD"/>
          <w:emboss/>
          <w:color w:val="0000FF"/>
          <w:sz w:val="22"/>
          <w:u w:val="single"/>
        </w:rPr>
        <w:t>national origin</w:t>
      </w:r>
      <w:r>
        <w:rPr>
          <w:rFonts w:cs="Maiandra GD" w:ascii="Maiandra GD" w:hAnsi="Maiandra GD"/>
          <w:emboss/>
          <w:color w:val="0000FF"/>
          <w:sz w:val="22"/>
        </w:rPr>
        <w:t xml:space="preserve">, </w:t>
      </w:r>
      <w:r>
        <w:rPr>
          <w:rFonts w:cs="Maiandra GD" w:ascii="Maiandra GD" w:hAnsi="Maiandra GD"/>
          <w:emboss/>
          <w:color w:val="0000FF"/>
          <w:sz w:val="22"/>
          <w:u w:val="single"/>
        </w:rPr>
        <w:t>sex</w:t>
      </w:r>
      <w:r>
        <w:rPr>
          <w:rFonts w:cs="Maiandra GD" w:ascii="Maiandra GD" w:hAnsi="Maiandra GD"/>
          <w:emboss/>
          <w:color w:val="0000FF"/>
          <w:sz w:val="22"/>
        </w:rPr>
        <w:t>,</w:t>
      </w:r>
      <w:r>
        <w:rPr>
          <w:rFonts w:cs="Maiandra GD" w:ascii="Maiandra GD" w:hAnsi="Maiandra GD"/>
          <w:sz w:val="22"/>
        </w:rPr>
        <w:t xml:space="preserve"> pregnancy or related medical conditions, </w:t>
      </w:r>
      <w:r>
        <w:rPr>
          <w:rFonts w:cs="Maiandra GD" w:ascii="Maiandra GD" w:hAnsi="Maiandra GD"/>
          <w:emboss/>
          <w:color w:val="0000FF"/>
          <w:sz w:val="22"/>
          <w:u w:val="single"/>
        </w:rPr>
        <w:t>sexual orientation</w:t>
      </w:r>
      <w:r>
        <w:rPr>
          <w:rFonts w:cs="Maiandra GD" w:ascii="Maiandra GD" w:hAnsi="Maiandra GD"/>
          <w:emboss/>
          <w:color w:val="0000FF"/>
          <w:sz w:val="22"/>
        </w:rPr>
        <w:t xml:space="preserve">, </w:t>
      </w:r>
      <w:r>
        <w:rPr>
          <w:rFonts w:cs="Maiandra GD" w:ascii="Maiandra GD" w:hAnsi="Maiandra GD"/>
          <w:emboss/>
          <w:color w:val="0000FF"/>
          <w:sz w:val="22"/>
          <w:u w:val="single"/>
        </w:rPr>
        <w:t>marital status</w:t>
      </w:r>
      <w:r>
        <w:rPr>
          <w:rFonts w:cs="Maiandra GD" w:ascii="Maiandra GD" w:hAnsi="Maiandra GD"/>
          <w:emboss/>
          <w:color w:val="0000FF"/>
          <w:sz w:val="22"/>
        </w:rPr>
        <w:t xml:space="preserve">, </w:t>
      </w:r>
      <w:r>
        <w:rPr>
          <w:rFonts w:cs="Maiandra GD" w:ascii="Maiandra GD" w:hAnsi="Maiandra GD"/>
          <w:emboss/>
          <w:color w:val="0000FF"/>
          <w:sz w:val="22"/>
          <w:u w:val="single"/>
        </w:rPr>
        <w:t>age</w:t>
      </w:r>
      <w:r>
        <w:rPr>
          <w:rFonts w:cs="Maiandra GD" w:ascii="Maiandra GD" w:hAnsi="Maiandra GD"/>
          <w:color w:val="0000FF"/>
          <w:sz w:val="22"/>
        </w:rPr>
        <w:t>,</w:t>
      </w:r>
      <w:r>
        <w:rPr>
          <w:rFonts w:cs="Maiandra GD" w:ascii="Maiandra GD" w:hAnsi="Maiandra GD"/>
          <w:sz w:val="22"/>
        </w:rPr>
        <w:t xml:space="preserve"> </w:t>
      </w:r>
      <w:r>
        <w:rPr>
          <w:rFonts w:cs="Maiandra GD" w:ascii="Maiandra GD" w:hAnsi="Maiandra GD"/>
          <w:emboss/>
          <w:color w:val="0000FF"/>
          <w:sz w:val="22"/>
          <w:u w:val="single"/>
        </w:rPr>
        <w:t>disability</w:t>
      </w:r>
      <w:r>
        <w:rPr>
          <w:rFonts w:cs="Maiandra GD" w:ascii="Maiandra GD" w:hAnsi="Maiandra GD"/>
          <w:color w:val="0000FF"/>
          <w:sz w:val="22"/>
        </w:rPr>
        <w:t>,</w:t>
      </w:r>
      <w:r>
        <w:rPr>
          <w:rFonts w:cs="Maiandra GD" w:ascii="Maiandra GD" w:hAnsi="Maiandra GD"/>
          <w:sz w:val="22"/>
        </w:rPr>
        <w:t xml:space="preserve"> status as a disabled or other covered </w:t>
      </w:r>
      <w:r>
        <w:rPr>
          <w:rFonts w:cs="Maiandra GD" w:ascii="Maiandra GD" w:hAnsi="Maiandra GD"/>
          <w:emboss/>
          <w:color w:val="0000FF"/>
          <w:sz w:val="22"/>
          <w:u w:val="single"/>
        </w:rPr>
        <w:t>veteran</w:t>
      </w:r>
      <w:r>
        <w:rPr>
          <w:rFonts w:cs="Maiandra GD" w:ascii="Maiandra GD" w:hAnsi="Maiandra GD"/>
          <w:color w:val="0000FF"/>
          <w:sz w:val="22"/>
        </w:rPr>
        <w:t>,</w:t>
      </w:r>
      <w:r>
        <w:rPr>
          <w:rFonts w:cs="Maiandra GD" w:ascii="Maiandra GD" w:hAnsi="Maiandra GD"/>
          <w:sz w:val="22"/>
        </w:rPr>
        <w:t xml:space="preserve"> or status as an alien eligible to work in the United States.</w:t>
      </w:r>
    </w:p>
    <w:p>
      <w:pPr>
        <w:pStyle w:val="Header"/>
        <w:keepNext w:val="true"/>
        <w:keepLines/>
        <w:jc w:val="both"/>
        <w:rPr>
          <w:rFonts w:ascii="Maiandra GD" w:hAnsi="Maiandra GD" w:cs="Maiandra GD"/>
          <w:sz w:val="22"/>
        </w:rPr>
      </w:pPr>
      <w:r>
        <w:rPr>
          <w:rFonts w:cs="Maiandra GD" w:ascii="Maiandra GD" w:hAnsi="Maiandra GD"/>
          <w:sz w:val="22"/>
        </w:rPr>
      </w:r>
    </w:p>
    <w:p>
      <w:pPr>
        <w:pStyle w:val="Normal"/>
        <w:keepNext w:val="true"/>
        <w:keepLines/>
        <w:jc w:val="both"/>
        <w:rPr/>
      </w:pPr>
      <w:r>
        <w:rPr>
          <w:rFonts w:cs="Maiandra GD" w:ascii="Maiandra GD" w:hAnsi="Maiandra GD"/>
          <w:sz w:val="22"/>
        </w:rPr>
        <w:t xml:space="preserve">In addition, Enron maintains </w:t>
      </w:r>
      <w:r>
        <w:rPr>
          <w:rFonts w:cs="Maiandra GD" w:ascii="Maiandra GD" w:hAnsi="Maiandra GD"/>
          <w:emboss/>
          <w:color w:val="0000FF"/>
          <w:sz w:val="22"/>
          <w:u w:val="single"/>
        </w:rPr>
        <w:t>Affirmative Action Plans (AAP)</w:t>
      </w:r>
      <w:r>
        <w:rPr>
          <w:rFonts w:cs="Maiandra GD" w:ascii="Maiandra GD" w:hAnsi="Maiandra GD"/>
          <w:sz w:val="22"/>
        </w:rPr>
        <w:t xml:space="preserve"> for minorities and women, the disabled, and Vietnam-era and special disabled veterans.  </w:t>
      </w:r>
    </w:p>
    <w:p>
      <w:pPr>
        <w:pStyle w:val="Normal"/>
        <w:keepNext w:val="true"/>
        <w:keepLines/>
        <w:jc w:val="both"/>
        <w:rPr>
          <w:rFonts w:ascii="Maiandra GD" w:hAnsi="Maiandra GD" w:cs="Maiandra GD"/>
          <w:sz w:val="22"/>
        </w:rPr>
      </w:pPr>
      <w:r>
        <w:rPr>
          <w:rFonts w:cs="Maiandra GD" w:ascii="Maiandra GD" w:hAnsi="Maiandra GD"/>
          <w:sz w:val="22"/>
        </w:rPr>
      </w:r>
    </w:p>
    <w:p>
      <w:pPr>
        <w:pStyle w:val="Normal"/>
        <w:keepNext w:val="true"/>
        <w:keepLines/>
        <w:jc w:val="both"/>
        <w:rPr/>
      </w:pPr>
      <w:r>
        <w:rPr>
          <w:rFonts w:cs="Maiandra GD" w:ascii="Maiandra GD" w:hAnsi="Maiandra GD"/>
          <w:sz w:val="22"/>
        </w:rPr>
        <w:t xml:space="preserve">It is Enron’s policy to provide and maintain a work environment in which all individuals are treated fairly, and provide (when necessary) </w:t>
      </w:r>
      <w:r>
        <w:rPr>
          <w:rStyle w:val="Hyperlink"/>
        </w:rPr>
        <w:t>reasonable accommodations</w:t>
      </w:r>
      <w:r>
        <w:rPr>
          <w:rFonts w:cs="Maiandra GD" w:ascii="Maiandra GD" w:hAnsi="Maiandra GD"/>
          <w:sz w:val="22"/>
        </w:rPr>
        <w:t xml:space="preserve"> to qualified employees with disabilities and persons of a particular religion.  Requests for reasonable accommodation, including those for facility modification, are to be documented and communicated to Human Resources for evaluation consistent with all applicable laws.</w:t>
      </w:r>
    </w:p>
    <w:p>
      <w:pPr>
        <w:pStyle w:val="Normal"/>
        <w:keepNext w:val="true"/>
        <w:keepLines/>
        <w:jc w:val="both"/>
        <w:rPr>
          <w:rFonts w:ascii="Maiandra GD" w:hAnsi="Maiandra GD" w:cs="Maiandra GD"/>
          <w:sz w:val="22"/>
        </w:rPr>
      </w:pPr>
      <w:r>
        <w:rPr>
          <w:rFonts w:cs="Maiandra GD" w:ascii="Maiandra GD" w:hAnsi="Maiandra GD"/>
          <w:sz w:val="22"/>
        </w:rPr>
      </w:r>
    </w:p>
    <w:p>
      <w:pPr>
        <w:pStyle w:val="Normal"/>
        <w:keepNext w:val="true"/>
        <w:keepLines/>
        <w:jc w:val="both"/>
        <w:rPr>
          <w:rFonts w:ascii="Maiandra GD" w:hAnsi="Maiandra GD" w:cs="Maiandra GD"/>
          <w:sz w:val="22"/>
        </w:rPr>
      </w:pPr>
      <w:r>
        <w:rPr>
          <w:rFonts w:cs="Maiandra GD" w:ascii="Maiandra GD" w:hAnsi="Maiandra GD"/>
          <w:sz w:val="22"/>
        </w:rPr>
        <w:t xml:space="preserve">The mission of EEO is to ensure that we do not overlook the potential contributions of anyone associated with Enron because of factors that are irrelevant to job performance.  </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rFonts w:cs="Maiandra GD" w:ascii="Maiandra GD" w:hAnsi="Maiandra GD"/>
          <w:sz w:val="22"/>
        </w:rPr>
        <w:t xml:space="preserve">All employees, managers, and officers at Enron have a vested interest in supporting the organization’s EEO/AAP and diversity initiatives.  The Executive Vice President of Employee Relations and Corporate Responsibility is designated as the Company’s </w:t>
      </w:r>
      <w:r>
        <w:rPr>
          <w:rFonts w:cs="Maiandra GD" w:ascii="Maiandra GD" w:hAnsi="Maiandra GD"/>
          <w:emboss/>
          <w:color w:val="0000FF"/>
          <w:sz w:val="22"/>
          <w:u w:val="single"/>
        </w:rPr>
        <w:t>EEO Officer</w:t>
      </w:r>
      <w:r>
        <w:rPr>
          <w:rFonts w:cs="Maiandra GD" w:ascii="Maiandra GD" w:hAnsi="Maiandra GD"/>
          <w:sz w:val="22"/>
        </w:rPr>
        <w:t>.</w:t>
      </w:r>
    </w:p>
    <w:p>
      <w:pPr>
        <w:pStyle w:val="Header"/>
        <w:rPr>
          <w:rFonts w:ascii="Maiandra GD" w:hAnsi="Maiandra GD" w:cs="Maiandra GD"/>
          <w:sz w:val="22"/>
        </w:rPr>
      </w:pPr>
      <w:r>
        <w:rPr>
          <w:rFonts w:cs="Maiandra GD" w:ascii="Maiandra GD" w:hAnsi="Maiandra GD"/>
          <w:sz w:val="22"/>
        </w:rPr>
      </w:r>
    </w:p>
    <w:p>
      <w:pPr>
        <w:pStyle w:val="BodyTextIndent"/>
        <w:rPr>
          <w:rFonts w:ascii="Maiandra GD" w:hAnsi="Maiandra GD" w:cs="Maiandra GD"/>
          <w:sz w:val="22"/>
        </w:rPr>
      </w:pPr>
      <w:r>
        <w:rPr>
          <w:rFonts w:cs="Maiandra GD" w:ascii="Maiandra GD" w:hAnsi="Maiandra GD"/>
          <w:sz w:val="22"/>
        </w:rPr>
      </w:r>
    </w:p>
    <w:p>
      <w:pPr>
        <w:pStyle w:val="Heading1"/>
        <w:ind w:hanging="0" w:start="0"/>
        <w:rPr>
          <w:rFonts w:ascii="Maiandra GD" w:hAnsi="Maiandra GD" w:cs="Maiandra GD"/>
          <w:color w:val="0000FF"/>
          <w:sz w:val="28"/>
        </w:rPr>
      </w:pPr>
      <w:r>
        <w:rPr>
          <w:rFonts w:cs="Maiandra GD" w:ascii="Maiandra GD" w:hAnsi="Maiandra GD"/>
          <w:color w:val="0000FF"/>
          <w:sz w:val="28"/>
        </w:rPr>
        <w:t>Harassment Prevention</w:t>
      </w:r>
    </w:p>
    <w:p>
      <w:pPr>
        <w:pStyle w:val="Normal"/>
        <w:jc w:val="center"/>
        <w:rPr>
          <w:rFonts w:ascii="Maiandra GD" w:hAnsi="Maiandra GD" w:cs="Maiandra GD"/>
          <w:b/>
          <w:bCs/>
          <w:color w:val="0000FF"/>
          <w:sz w:val="28"/>
        </w:rPr>
      </w:pPr>
      <w:r>
        <w:rPr>
          <w:rFonts w:cs="Maiandra GD" w:ascii="Maiandra GD" w:hAnsi="Maiandra GD"/>
          <w:b/>
          <w:bCs/>
          <w:color w:val="0000FF"/>
          <w:sz w:val="28"/>
        </w:rPr>
      </w:r>
    </w:p>
    <w:p>
      <w:pPr>
        <w:pStyle w:val="Normal"/>
        <w:jc w:val="both"/>
        <w:rPr/>
      </w:pPr>
      <w:r>
        <w:rPr>
          <w:rFonts w:cs="Maiandra GD" w:ascii="Maiandra GD" w:hAnsi="Maiandra GD"/>
          <w:sz w:val="22"/>
        </w:rPr>
        <w:t xml:space="preserve">Enron is committed to preventing harassment.  Enron strictly prohibits </w:t>
      </w:r>
      <w:r>
        <w:rPr>
          <w:rFonts w:cs="Maiandra GD" w:ascii="Maiandra GD" w:hAnsi="Maiandra GD"/>
          <w:color w:val="0000FF"/>
          <w:sz w:val="22"/>
          <w:u w:val="single"/>
        </w:rPr>
        <w:t>harassment</w:t>
      </w:r>
      <w:r>
        <w:rPr>
          <w:rFonts w:cs="Maiandra GD" w:ascii="Maiandra GD" w:hAnsi="Maiandra GD"/>
          <w:sz w:val="22"/>
        </w:rPr>
        <w:t xml:space="preserve"> of any kind, including </w:t>
      </w:r>
      <w:r>
        <w:rPr>
          <w:rFonts w:cs="Maiandra GD" w:ascii="Maiandra GD" w:hAnsi="Maiandra GD"/>
          <w:color w:val="0000FF"/>
          <w:sz w:val="22"/>
          <w:u w:val="single"/>
        </w:rPr>
        <w:t>sexual harassment</w:t>
      </w:r>
      <w:r>
        <w:rPr>
          <w:rFonts w:cs="Maiandra GD" w:ascii="Maiandra GD" w:hAnsi="Maiandra GD"/>
          <w:sz w:val="22"/>
        </w:rPr>
        <w:t xml:space="preserve">, and same sex sexual harassment in the workplace.  This policy addresses harassment by officers, employees, vendors, contractors, customers, and job applicants.  Enron’s policy prohibits harassment that violates any applicable law.  In addition, the policy prohibits conduct that the Company may determine to be inconsistent with its efforts to promote a workplace free of harassment even if that conduct does not rise to the level of violation of law.  Enron strictly prohibits harassing conduct that affects tangible job benefits, interferes with an individual’s work performance, or that creates an intimidating, hostile, or offensive working environment.  For example, conduct prohibited under Enron’s sexual harassment policy includes, but is not limited to: </w:t>
      </w:r>
    </w:p>
    <w:p>
      <w:pPr>
        <w:pStyle w:val="Normal"/>
        <w:jc w:val="both"/>
        <w:rPr>
          <w:rFonts w:ascii="Maiandra GD" w:hAnsi="Maiandra GD" w:cs="Maiandra GD"/>
          <w:sz w:val="22"/>
        </w:rPr>
      </w:pPr>
      <w:r>
        <w:rPr>
          <w:rFonts w:cs="Maiandra GD" w:ascii="Maiandra GD" w:hAnsi="Maiandra GD"/>
          <w:sz w:val="22"/>
        </w:rPr>
      </w:r>
    </w:p>
    <w:p>
      <w:pPr>
        <w:pStyle w:val="Normal"/>
        <w:numPr>
          <w:ilvl w:val="0"/>
          <w:numId w:val="2"/>
        </w:numPr>
        <w:jc w:val="both"/>
        <w:rPr>
          <w:rFonts w:ascii="Maiandra GD" w:hAnsi="Maiandra GD" w:cs="Maiandra GD"/>
          <w:sz w:val="22"/>
        </w:rPr>
      </w:pPr>
      <w:r>
        <w:rPr>
          <w:rFonts w:cs="Maiandra GD" w:ascii="Maiandra GD" w:hAnsi="Maiandra GD"/>
          <w:sz w:val="22"/>
        </w:rPr>
        <w:t>Unwelcome requests for sexual favors</w:t>
      </w:r>
    </w:p>
    <w:p>
      <w:pPr>
        <w:pStyle w:val="Normal"/>
        <w:numPr>
          <w:ilvl w:val="0"/>
          <w:numId w:val="2"/>
        </w:numPr>
        <w:jc w:val="both"/>
        <w:rPr>
          <w:rFonts w:ascii="Maiandra GD" w:hAnsi="Maiandra GD" w:cs="Maiandra GD"/>
          <w:sz w:val="22"/>
        </w:rPr>
      </w:pPr>
      <w:r>
        <w:rPr>
          <w:rFonts w:cs="Maiandra GD" w:ascii="Maiandra GD" w:hAnsi="Maiandra GD"/>
          <w:sz w:val="22"/>
        </w:rPr>
        <w:t>Inappropriate touching or physical contact</w:t>
      </w:r>
    </w:p>
    <w:p>
      <w:pPr>
        <w:pStyle w:val="Normal"/>
        <w:numPr>
          <w:ilvl w:val="0"/>
          <w:numId w:val="2"/>
        </w:numPr>
        <w:jc w:val="both"/>
        <w:rPr>
          <w:rFonts w:ascii="Maiandra GD" w:hAnsi="Maiandra GD" w:cs="Maiandra GD"/>
          <w:sz w:val="22"/>
        </w:rPr>
      </w:pPr>
      <w:r>
        <w:rPr>
          <w:rFonts w:cs="Maiandra GD" w:ascii="Maiandra GD" w:hAnsi="Maiandra GD"/>
          <w:sz w:val="22"/>
        </w:rPr>
        <w:t>Vulgar, sexual, demeaning, or intimidating language or insults</w:t>
      </w:r>
    </w:p>
    <w:p>
      <w:pPr>
        <w:pStyle w:val="Normal"/>
        <w:numPr>
          <w:ilvl w:val="0"/>
          <w:numId w:val="2"/>
        </w:numPr>
        <w:jc w:val="both"/>
        <w:rPr>
          <w:rFonts w:ascii="Maiandra GD" w:hAnsi="Maiandra GD" w:cs="Maiandra GD"/>
          <w:sz w:val="22"/>
        </w:rPr>
      </w:pPr>
      <w:r>
        <w:rPr>
          <w:rFonts w:cs="Maiandra GD" w:ascii="Maiandra GD" w:hAnsi="Maiandra GD"/>
          <w:sz w:val="22"/>
        </w:rPr>
        <w:t>Vulgar, sexual, demeaning, or intimidating e-mail, cartoons, jokes, etc.</w:t>
      </w:r>
    </w:p>
    <w:p>
      <w:pPr>
        <w:pStyle w:val="Normal"/>
        <w:numPr>
          <w:ilvl w:val="0"/>
          <w:numId w:val="2"/>
        </w:numPr>
        <w:jc w:val="both"/>
        <w:rPr>
          <w:rFonts w:ascii="Maiandra GD" w:hAnsi="Maiandra GD" w:cs="Maiandra GD"/>
          <w:sz w:val="22"/>
        </w:rPr>
      </w:pPr>
      <w:r>
        <w:rPr>
          <w:rFonts w:cs="Maiandra GD" w:ascii="Maiandra GD" w:hAnsi="Maiandra GD"/>
          <w:sz w:val="22"/>
        </w:rPr>
        <w:t>Unwelcome requests for dates</w:t>
      </w:r>
    </w:p>
    <w:p>
      <w:pPr>
        <w:pStyle w:val="Normal"/>
        <w:numPr>
          <w:ilvl w:val="0"/>
          <w:numId w:val="2"/>
        </w:numPr>
        <w:jc w:val="both"/>
        <w:rPr>
          <w:rFonts w:ascii="Maiandra GD" w:hAnsi="Maiandra GD" w:cs="Maiandra GD"/>
          <w:sz w:val="22"/>
        </w:rPr>
      </w:pPr>
      <w:r>
        <w:rPr>
          <w:rFonts w:cs="Maiandra GD" w:ascii="Maiandra GD" w:hAnsi="Maiandra GD"/>
          <w:sz w:val="22"/>
        </w:rPr>
        <w:t>Remarks concerning a person’s physical appearance.</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rFonts w:cs="Maiandra GD" w:ascii="Maiandra GD" w:hAnsi="Maiandra GD"/>
          <w:sz w:val="22"/>
        </w:rPr>
        <w:t xml:space="preserve">In handling claims of harassment, Enron’s objectives are to prevent harassment, right any wrong, and restore effective working relationships.  You are charged with the duty to refrain from harassing conduct and to report harassing conduct, so that it may be stopped. You must report harassment, and have several avenues from which to choose in reporting.  You may report harassment to your supervisor, to your Human Resources representative, or to Employee Relations.  If you are reporting about your supervisor, you must report to Human Resources or Employee Relations.  You also may tell the person whom you believe is engaging in inappropriate, harassing conduct that you find such conduct offensive and wish for it to cease; however, you still must report harassing conduct to one of the individuals listed above.  Enron will investigate every complaint thoroughly and promptly.  </w:t>
      </w:r>
      <w:r>
        <w:rPr>
          <w:rFonts w:cs="Maiandra GD" w:ascii="Maiandra GD" w:hAnsi="Maiandra GD"/>
          <w:color w:val="0000FF"/>
          <w:sz w:val="22"/>
          <w:u w:val="single"/>
        </w:rPr>
        <w:t>Confidentiality</w:t>
      </w:r>
      <w:r>
        <w:rPr>
          <w:rFonts w:cs="Maiandra GD" w:ascii="Maiandra GD" w:hAnsi="Maiandra GD"/>
          <w:sz w:val="22"/>
        </w:rPr>
        <w:t xml:space="preserve"> will be maintained to the extent possible.  </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rFonts w:cs="Maiandra GD" w:ascii="Maiandra GD" w:hAnsi="Maiandra GD"/>
          <w:sz w:val="22"/>
        </w:rPr>
        <w:t xml:space="preserve">Employees can report harassment without fear of retaliation.  </w:t>
      </w:r>
      <w:r>
        <w:rPr>
          <w:rFonts w:cs="Maiandra GD" w:ascii="Maiandra GD" w:hAnsi="Maiandra GD"/>
          <w:color w:val="0000FF"/>
          <w:sz w:val="22"/>
          <w:u w:val="single"/>
        </w:rPr>
        <w:t>Retaliation</w:t>
      </w:r>
      <w:r>
        <w:rPr>
          <w:rFonts w:cs="Maiandra GD" w:ascii="Maiandra GD" w:hAnsi="Maiandra GD"/>
          <w:sz w:val="22"/>
        </w:rPr>
        <w:t xml:space="preserve"> for complaining about harassment is strictly prohibited.  Retaliation must be reported immediately in accordance with the reporting procedures in the policy.  </w:t>
      </w:r>
    </w:p>
    <w:p>
      <w:pPr>
        <w:pStyle w:val="Normal"/>
        <w:jc w:val="both"/>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sz w:val="22"/>
        </w:rPr>
      </w:pPr>
      <w:r>
        <w:rPr>
          <w:rFonts w:cs="Maiandra GD" w:ascii="Maiandra GD" w:hAnsi="Maiandra GD"/>
          <w:sz w:val="22"/>
        </w:rPr>
        <w:t xml:space="preserve">Any person determined to be in violation of this policy, even if the conduct does not rise to the level of illegal harassment, will be subject to discipline, up to and including termination.  </w:t>
      </w:r>
    </w:p>
    <w:sectPr>
      <w:footerReference w:type="default" r:id="rId2"/>
      <w:type w:val="nextPage"/>
      <w:pgSz w:w="12240" w:h="15840"/>
      <w:pgMar w:left="1440" w:right="1440" w:gutter="0" w:header="0" w:top="1440" w:footer="720" w:bottom="1440"/>
      <w:pgBorders w:display="allPages" w:offsetFrom="page">
        <w:top w:val="threeDEngrave" w:sz="24" w:space="24" w:color="008000" w:shadow="1"/>
        <w:left w:val="threeDEngrave" w:sz="24" w:space="24" w:color="008000" w:shadow="1"/>
        <w:bottom w:val="threeDEmboss" w:sz="24" w:space="24" w:color="008000" w:shadow="1"/>
        <w:right w:val="threeDEmboss" w:sz="24" w:space="24" w:color="008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dern No. 20">
    <w:charset w:val="00" w:characterSet="windows-1252"/>
    <w:family w:val="roman"/>
    <w:pitch w:val="variable"/>
  </w:font>
  <w:font w:name="Verdan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High Tower Text">
    <w:charset w:val="00" w:characterSet="windows-1252"/>
    <w:family w:val="roman"/>
    <w:pitch w:val="variable"/>
  </w:font>
  <w:font w:name="Maiandra G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odern No. 20" w:hAnsi="Modern No. 20" w:cs="Modern No. 20"/>
      <w:b/>
      <w:bCs/>
      <w:sz w:val="32"/>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outlineLvl w:val="1"/>
    </w:pPr>
    <w:rPr>
      <w:b/>
      <w:bCs/>
      <w:color w:val="0000FF"/>
    </w:rPr>
  </w:style>
  <w:style w:type="paragraph" w:styleId="Heading3">
    <w:name w:val="heading 3"/>
    <w:basedOn w:val="Normal"/>
    <w:next w:val="Normal"/>
    <w:qFormat/>
    <w:pPr>
      <w:keepNext w:val="true"/>
      <w:numPr>
        <w:ilvl w:val="2"/>
        <w:numId w:val="1"/>
      </w:numPr>
      <w:outlineLvl w:val="2"/>
    </w:pPr>
    <w:rPr>
      <w:b/>
      <w:bCs/>
      <w:szCs w:val="20"/>
      <w:bdr w:val="single" w:sz="4" w:space="0" w:color="00000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outlineLvl w:val="4"/>
    </w:pPr>
    <w:rPr>
      <w:rFonts w:ascii="Verdana" w:hAnsi="Verdana" w:eastAsia="Arial Unicode MS" w:cs="Arial Unicode MS"/>
      <w:b/>
      <w:bCs/>
      <w:color w:val="008000"/>
      <w:sz w:val="18"/>
      <w:szCs w:val="18"/>
    </w:rPr>
  </w:style>
  <w:style w:type="paragraph" w:styleId="Heading6">
    <w:name w:val="heading 6"/>
    <w:basedOn w:val="Normal"/>
    <w:next w:val="Normal"/>
    <w:qFormat/>
    <w:pPr>
      <w:keepNext w:val="true"/>
      <w:numPr>
        <w:ilvl w:val="5"/>
        <w:numId w:val="1"/>
      </w:numPr>
      <w:outlineLvl w:val="5"/>
    </w:pPr>
    <w:rPr>
      <w:rFonts w:ascii="Verdana" w:hAnsi="Verdana" w:eastAsia="Arial Unicode MS" w:cs="Arial Unicode MS"/>
      <w:b/>
      <w:bCs/>
      <w:color w:val="0000FF"/>
      <w:sz w:val="22"/>
      <w:szCs w:val="18"/>
    </w:rPr>
  </w:style>
  <w:style w:type="paragraph" w:styleId="Heading7">
    <w:name w:val="heading 7"/>
    <w:basedOn w:val="Normal"/>
    <w:next w:val="Normal"/>
    <w:qFormat/>
    <w:pPr>
      <w:keepNext w:val="true"/>
      <w:numPr>
        <w:ilvl w:val="6"/>
        <w:numId w:val="1"/>
      </w:numPr>
      <w:ind w:hanging="0" w:start="720" w:end="0"/>
      <w:outlineLvl w:val="6"/>
    </w:pPr>
    <w:rPr>
      <w:color w:val="0000FF"/>
      <w:u w:val="single"/>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outlineLvl w:val="7"/>
    </w:pPr>
    <w:rPr>
      <w:b/>
      <w:bCs/>
    </w:rPr>
  </w:style>
  <w:style w:type="paragraph" w:styleId="Heading9">
    <w:name w:val="heading 9"/>
    <w:basedOn w:val="Normal"/>
    <w:next w:val="Normal"/>
    <w:qFormat/>
    <w:pPr>
      <w:keepNext w:val="true"/>
      <w:numPr>
        <w:ilvl w:val="8"/>
        <w:numId w:val="1"/>
      </w:numPr>
      <w:ind w:hanging="0" w:start="360" w:end="0"/>
      <w:jc w:val="both"/>
      <w:outlineLvl w:val="8"/>
    </w:pPr>
    <w:rPr>
      <w:u w:val="single"/>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b w:val="false"/>
      <w:i/>
    </w:rPr>
  </w:style>
  <w:style w:type="character" w:styleId="WW8Num10z0">
    <w:name w:val="WW8Num10z0"/>
    <w:qFormat/>
    <w:rPr>
      <w:b w:val="false"/>
    </w:rPr>
  </w:style>
  <w:style w:type="character" w:styleId="WW8Num11z0">
    <w:name w:val="WW8Num11z0"/>
    <w:qFormat/>
    <w:rPr>
      <w:u w:val="none"/>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Times New Roman"/>
      <w:color w:val="000000"/>
      <w:sz w:val="2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b/>
      <w:u w:val="single"/>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u w:val="single"/>
    </w:rPr>
  </w:style>
  <w:style w:type="character" w:styleId="WW8Num26z0">
    <w:name w:val="WW8Num26z0"/>
    <w:qFormat/>
    <w:rPr/>
  </w:style>
  <w:style w:type="character" w:styleId="WW8Num27z0">
    <w:name w:val="WW8Num27z0"/>
    <w:qFormat/>
    <w:rPr>
      <w:rFonts w:ascii="Wingdings" w:hAnsi="Wingdings" w:cs="Times New Roman"/>
      <w:color w:val="000000"/>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9z0">
    <w:name w:val="WW8Num29z0"/>
    <w:qFormat/>
    <w:rPr>
      <w:b/>
    </w:rPr>
  </w:style>
  <w:style w:type="character" w:styleId="WW8Num31z0">
    <w:name w:val="WW8Num31z0"/>
    <w:qFormat/>
    <w:rPr>
      <w:i w:val="false"/>
    </w:rPr>
  </w:style>
  <w:style w:type="character" w:styleId="WW8Num32z0">
    <w:name w:val="WW8Num32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6z0">
    <w:name w:val="WW8Num36z0"/>
    <w:qFormat/>
    <w:rPr>
      <w:rFonts w:ascii="Wingdings" w:hAnsi="Wingdings" w:cs="Times New Roman"/>
      <w:color w:val="000000"/>
      <w:sz w:val="2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b/>
    </w:rPr>
  </w:style>
  <w:style w:type="character" w:styleId="WW8Num38z0">
    <w:name w:val="WW8Num38z0"/>
    <w:qFormat/>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b/>
      <w:u w:val="single"/>
    </w:rPr>
  </w:style>
  <w:style w:type="character" w:styleId="WW8Num41z0">
    <w:name w:val="WW8Num41z0"/>
    <w:qFormat/>
    <w:rPr/>
  </w:style>
  <w:style w:type="character" w:styleId="WW8Num43z0">
    <w:name w:val="WW8Num43z0"/>
    <w:qFormat/>
    <w:rPr>
      <w:rFonts w:ascii="Wingdings" w:hAnsi="Wingdings" w:cs="Times New Roman"/>
      <w:color w:val="000000"/>
      <w:sz w:val="2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b/>
    </w:rPr>
  </w:style>
  <w:style w:type="character" w:styleId="WW8Num45z0">
    <w:name w:val="WW8Num45z0"/>
    <w:qFormat/>
    <w:rPr/>
  </w:style>
  <w:style w:type="character" w:styleId="WW8Num46z0">
    <w:name w:val="WW8Num46z0"/>
    <w:qFormat/>
    <w:rPr>
      <w:u w:val="none"/>
    </w:rPr>
  </w:style>
  <w:style w:type="character" w:styleId="WW8Num47z0">
    <w:name w:val="WW8Num47z0"/>
    <w:qFormat/>
    <w:rPr>
      <w:i w:val="false"/>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Wingdings" w:hAnsi="Wingdings" w:cs="Wingdings"/>
      <w:sz w:val="16"/>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4z0">
    <w:name w:val="WW8Num54z0"/>
    <w:qFormat/>
    <w:rPr>
      <w:rFonts w:ascii="Times New Roman" w:hAnsi="Times New Roman"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Wingdings" w:hAnsi="Wingdings" w:cs="Times New Roman"/>
      <w:color w:val="000000"/>
      <w:sz w:val="20"/>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u w:val="none"/>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1z0">
    <w:name w:val="WW8Num61z0"/>
    <w:qFormat/>
    <w:rPr>
      <w:b/>
    </w:rPr>
  </w:style>
  <w:style w:type="character" w:styleId="WW8Num62z0">
    <w:name w:val="WW8Num62z0"/>
    <w:qFormat/>
    <w:rPr>
      <w:i/>
      <w:u w:val="none"/>
    </w:rPr>
  </w:style>
  <w:style w:type="character" w:styleId="WW8Num63z0">
    <w:name w:val="WW8Num63z0"/>
    <w:qFormat/>
    <w:rPr>
      <w:rFonts w:ascii="Symbol" w:hAnsi="Symbol" w:cs="Symbol"/>
    </w:rPr>
  </w:style>
  <w:style w:type="character" w:styleId="WW8Num63z1">
    <w:name w:val="WW8Num63z1"/>
    <w:qFormat/>
    <w:rPr/>
  </w:style>
  <w:style w:type="character" w:styleId="WW8Num64z0">
    <w:name w:val="WW8Num64z0"/>
    <w:qFormat/>
    <w:rPr>
      <w:b w:val="false"/>
      <w:i w:val="false"/>
    </w:rPr>
  </w:style>
  <w:style w:type="character" w:styleId="WW8Num65z0">
    <w:name w:val="WW8Num65z0"/>
    <w:qFormat/>
    <w:rPr/>
  </w:style>
  <w:style w:type="character" w:styleId="WW8Num66z0">
    <w:name w:val="WW8Num66z0"/>
    <w:qFormat/>
    <w:rPr>
      <w:b w:val="false"/>
    </w:rPr>
  </w:style>
  <w:style w:type="character" w:styleId="WW8Num68z0">
    <w:name w:val="WW8Num68z0"/>
    <w:qFormat/>
    <w:rPr>
      <w:u w:val="single"/>
    </w:rPr>
  </w:style>
  <w:style w:type="character" w:styleId="WW8Num69z0">
    <w:name w:val="WW8Num69z0"/>
    <w:qFormat/>
    <w:rPr/>
  </w:style>
  <w:style w:type="character" w:styleId="WW8Num70z0">
    <w:name w:val="WW8Num70z0"/>
    <w:qFormat/>
    <w:rPr>
      <w:rFonts w:ascii="Wingdings" w:hAnsi="Wingdings" w:cs="Times New Roman"/>
      <w:color w:val="000000"/>
      <w:sz w:val="2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u w:val="single"/>
    </w:rPr>
  </w:style>
  <w:style w:type="character" w:styleId="WW8Num76z0">
    <w:name w:val="WW8Num76z0"/>
    <w:qFormat/>
    <w:rPr/>
  </w:style>
  <w:style w:type="character" w:styleId="WW8Num77z0">
    <w:name w:val="WW8Num77z0"/>
    <w:qFormat/>
    <w:rPr>
      <w:rFonts w:ascii="Wingdings" w:hAnsi="Wingdings" w:cs="Times New Roman"/>
      <w:color w:val="000000"/>
      <w:sz w:val="2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u w:val="none"/>
    </w:rPr>
  </w:style>
  <w:style w:type="character" w:styleId="WW8Num79z0">
    <w:name w:val="WW8Num79z0"/>
    <w:qFormat/>
    <w:rPr/>
  </w:style>
  <w:style w:type="character" w:styleId="WW8Num81z0">
    <w:name w:val="WW8Num81z0"/>
    <w:qFormat/>
    <w:rPr>
      <w:rFonts w:ascii="Wingdings" w:hAnsi="Wingdings" w:cs="Times New Roman"/>
      <w:color w:val="000000"/>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b w:val="false"/>
    </w:rPr>
  </w:style>
  <w:style w:type="character" w:styleId="WW8Num83z0">
    <w:name w:val="WW8Num83z0"/>
    <w:qFormat/>
    <w:rPr>
      <w:rFonts w:ascii="Symbol" w:hAnsi="Symbol" w:cs="Symbol"/>
    </w:rPr>
  </w:style>
  <w:style w:type="character" w:styleId="WW8Num83z1">
    <w:name w:val="WW8Num83z1"/>
    <w:qFormat/>
    <w:rPr>
      <w:u w:val="single"/>
    </w:rPr>
  </w:style>
  <w:style w:type="character" w:styleId="WW8Num84z0">
    <w:name w:val="WW8Num84z0"/>
    <w:qFormat/>
    <w:rPr/>
  </w:style>
  <w:style w:type="character" w:styleId="WW8Num85z0">
    <w:name w:val="WW8Num85z0"/>
    <w:qFormat/>
    <w:rPr>
      <w:rFonts w:ascii="Wingdings" w:hAnsi="Wingdings" w:cs="Times New Roman"/>
      <w:color w:val="000000"/>
      <w:sz w:val="20"/>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emboss/>
      <w:color w:val="0000FF"/>
      <w:u w:val="single"/>
    </w:rPr>
  </w:style>
  <w:style w:type="character" w:styleId="content9ptbold1">
    <w:name w:val="content9ptbold1"/>
    <w:basedOn w:val="DefaultParagraphFont"/>
    <w:qFormat/>
    <w:rPr>
      <w:rFonts w:ascii="Verdana" w:hAnsi="Verdana" w:cs="Verdana"/>
      <w:b/>
      <w:bCs/>
      <w:strike w:val="false"/>
      <w:dstrike w:val="false"/>
      <w:color w:val="000000"/>
      <w:sz w:val="18"/>
      <w:szCs w:val="18"/>
      <w:u w:val="none"/>
    </w:rPr>
  </w:style>
  <w:style w:type="character" w:styleId="content9pt1">
    <w:name w:val="content9pt1"/>
    <w:basedOn w:val="DefaultParagraphFont"/>
    <w:qFormat/>
    <w:rPr>
      <w:rFonts w:ascii="Verdana" w:hAnsi="Verdana" w:cs="Verdana"/>
      <w:strike w:val="false"/>
      <w:dstrike w:val="false"/>
      <w:color w:val="000000"/>
      <w:sz w:val="18"/>
      <w:szCs w:val="18"/>
      <w:u w:val="non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igh Tower Text" w:hAnsi="High Tower Text" w:cs="High Tower Text"/>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center"/>
    </w:pPr>
    <w:rPr>
      <w:b/>
      <w:smallCaps/>
      <w:sz w:val="4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style>
  <w:style w:type="paragraph" w:styleId="content9pt">
    <w:name w:val="content9pt"/>
    <w:basedOn w:val="Normal"/>
    <w:qFormat/>
    <w:pPr>
      <w:spacing w:lineRule="atLeast" w:line="260" w:before="100" w:after="100"/>
    </w:pPr>
    <w:rPr>
      <w:rFonts w:ascii="Verdana" w:hAnsi="Verdana" w:eastAsia="Arial Unicode MS" w:cs="Arial Unicode MS"/>
      <w:color w:val="000000"/>
      <w:sz w:val="18"/>
      <w:szCs w:val="18"/>
    </w:rPr>
  </w:style>
  <w:style w:type="paragraph" w:styleId="BodyTextIndent3">
    <w:name w:val="Body Text Indent 3"/>
    <w:basedOn w:val="Normal"/>
    <w:qFormat/>
    <w:pPr>
      <w:ind w:hanging="360" w:start="360" w:end="0"/>
    </w:pPr>
    <w:rPr/>
  </w:style>
  <w:style w:type="paragraph" w:styleId="BodyTextIndent2">
    <w:name w:val="Body Text Indent 2"/>
    <w:basedOn w:val="Normal"/>
    <w:qFormat/>
    <w:pPr>
      <w:ind w:hanging="0" w:start="720" w:end="0"/>
    </w:pPr>
    <w:rPr>
      <w:rFonts w:ascii="Verdana" w:hAnsi="Verdana" w:eastAsia="Arial Unicode MS" w:cs="Arial Unicode MS"/>
      <w:color w:val="008000"/>
      <w:sz w:val="18"/>
      <w:szCs w:val="18"/>
    </w:rPr>
  </w:style>
  <w:style w:type="paragraph" w:styleId="BodyText2">
    <w:name w:val="Body Text 2"/>
    <w:basedOn w:val="Normal"/>
    <w:qFormat/>
    <w:pPr>
      <w:jc w:val="both"/>
    </w:pPr>
    <w:rPr/>
  </w:style>
  <w:style w:type="paragraph" w:styleId="h2">
    <w:name w:val="h2"/>
    <w:basedOn w:val="Normal"/>
    <w:qFormat/>
    <w:pPr>
      <w:spacing w:lineRule="atLeast" w:line="400" w:before="100" w:after="100"/>
    </w:pPr>
    <w:rPr>
      <w:rFonts w:ascii="Verdana" w:hAnsi="Verdana" w:eastAsia="Arial Unicode MS" w:cs="Arial Unicode MS"/>
      <w:b/>
      <w:bCs/>
      <w:color w:val="000000"/>
      <w:sz w:val="28"/>
      <w:szCs w:val="28"/>
    </w:rPr>
  </w:style>
  <w:style w:type="paragraph" w:styleId="PlainText">
    <w:name w:val="Plain Text"/>
    <w:basedOn w:val="Normal"/>
    <w:qFormat/>
    <w:pPr/>
    <w:rPr>
      <w:rFonts w:ascii="Courier New" w:hAnsi="Courier New" w:cs="Courier New"/>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2001-10-17T21:03:00Z</dcterms:created>
  <dc:creator>wfincher</dc:creator>
  <dc:description/>
  <dc:language>en-CA</dc:language>
  <cp:lastModifiedBy>wfincher</cp:lastModifiedBy>
  <cp:lastPrinted>2001-10-29T13:53:00Z</cp:lastPrinted>
  <dcterms:modified xsi:type="dcterms:W3CDTF">2001-10-29T18:36:00Z</dcterms:modified>
  <cp:revision>7</cp:revision>
  <dc:subject/>
  <dc:title>Enron’s Employment Environment</dc:title>
</cp:coreProperties>
</file>