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jc w:val="start"/>
        <w:rPr>
          <w:rFonts w:ascii="Times New Roman" w:hAnsi="Times New Roman"/>
        </w:rPr>
      </w:pPr>
      <w:r>
        <w:rPr/>
        <w:t>To:</w:t>
        <w:tab/>
        <w:tab/>
        <w:t>Distribution</w:t>
      </w:r>
    </w:p>
    <w:p>
      <w:pPr>
        <w:pStyle w:val="Normal"/>
        <w:bidi w:val="0"/>
        <w:jc w:val="start"/>
        <w:rPr>
          <w:b/>
          <w:sz w:val="24"/>
        </w:rPr>
      </w:pPr>
      <w:r>
        <w:rPr>
          <w:b/>
          <w:sz w:val="24"/>
        </w:rPr>
        <w:t>From:</w:t>
        <w:tab/>
        <w:t>Steve Kean</w:t>
      </w:r>
    </w:p>
    <w:p>
      <w:pPr>
        <w:pStyle w:val="Heading1"/>
        <w:bidi w:val="0"/>
        <w:jc w:val="start"/>
        <w:rPr>
          <w:rFonts w:ascii="Times New Roman" w:hAnsi="Times New Roman"/>
          <w:b/>
        </w:rPr>
      </w:pPr>
      <w:r>
        <w:rPr>
          <w:b/>
        </w:rPr>
        <w:t>Re:</w:t>
        <w:tab/>
        <w:tab/>
        <w:t>Managing Enron’s Regulatory Risks</w:t>
      </w:r>
    </w:p>
    <w:p>
      <w:pPr>
        <w:pStyle w:val="Normal"/>
        <w:bidi w:val="0"/>
        <w:jc w:val="start"/>
        <w:rPr>
          <w:sz w:val="24"/>
        </w:rPr>
      </w:pPr>
      <w:r>
        <w:rPr>
          <w:sz w:val="24"/>
        </w:rPr>
      </w:r>
    </w:p>
    <w:p>
      <w:pPr>
        <w:pStyle w:val="Normal"/>
        <w:bidi w:val="0"/>
        <w:jc w:val="start"/>
        <w:rPr>
          <w:sz w:val="24"/>
        </w:rPr>
      </w:pPr>
      <w:r>
        <w:rPr>
          <w:sz w:val="24"/>
        </w:rPr>
        <w:t>Last year I asked Jim Steffes to help develop a Regulatory Risk management process within Enron Government Affairs (“EGA”).</w:t>
      </w:r>
    </w:p>
    <w:p>
      <w:pPr>
        <w:pStyle w:val="Normal"/>
        <w:bidi w:val="0"/>
        <w:jc w:val="start"/>
        <w:rPr>
          <w:sz w:val="24"/>
        </w:rPr>
      </w:pPr>
      <w:r>
        <w:rPr>
          <w:sz w:val="24"/>
        </w:rPr>
      </w:r>
    </w:p>
    <w:p>
      <w:pPr>
        <w:pStyle w:val="Normal"/>
        <w:bidi w:val="0"/>
        <w:jc w:val="start"/>
        <w:rPr>
          <w:sz w:val="24"/>
        </w:rPr>
      </w:pPr>
      <w:r>
        <w:rPr>
          <w:sz w:val="24"/>
        </w:rPr>
        <w:t>As you know, Regulatory Risk management is one of the core functions performed by EGA (along with Advocacy, Deal Support, and Origination).    It is critical that we have a “best in class” Regulatory Risk management process to ensure that we are protecting Enron’s assets and positions.</w:t>
      </w:r>
    </w:p>
    <w:p>
      <w:pPr>
        <w:pStyle w:val="Normal"/>
        <w:bidi w:val="0"/>
        <w:jc w:val="start"/>
        <w:rPr>
          <w:sz w:val="24"/>
        </w:rPr>
      </w:pPr>
      <w:r>
        <w:rPr>
          <w:sz w:val="24"/>
        </w:rPr>
      </w:r>
    </w:p>
    <w:p>
      <w:pPr>
        <w:pStyle w:val="Normal"/>
        <w:bidi w:val="0"/>
        <w:jc w:val="start"/>
        <w:rPr>
          <w:sz w:val="24"/>
        </w:rPr>
      </w:pPr>
      <w:r>
        <w:rPr>
          <w:sz w:val="24"/>
        </w:rPr>
        <w:t>Attached please find a presentation that Jim and his Regulatory Risk Analytics team (Gia Maisashvili, John Neslage, and John Jura) gave to me last week.    The presentation includes the following key findings:</w:t>
      </w:r>
    </w:p>
    <w:p>
      <w:pPr>
        <w:pStyle w:val="Normal"/>
        <w:bidi w:val="0"/>
        <w:jc w:val="start"/>
        <w:rPr>
          <w:sz w:val="24"/>
        </w:rPr>
      </w:pPr>
      <w:r>
        <w:rPr>
          <w:sz w:val="24"/>
        </w:rPr>
      </w:r>
    </w:p>
    <w:p>
      <w:pPr>
        <w:pStyle w:val="Normal"/>
        <w:numPr>
          <w:ilvl w:val="0"/>
          <w:numId w:val="1"/>
        </w:numPr>
        <w:tabs>
          <w:tab w:val="clear" w:pos="432"/>
          <w:tab w:val="left" w:pos="360" w:leader="none"/>
        </w:tabs>
        <w:bidi w:val="0"/>
        <w:jc w:val="start"/>
        <w:rPr>
          <w:sz w:val="24"/>
        </w:rPr>
      </w:pPr>
      <w:r>
        <w:rPr>
          <w:sz w:val="24"/>
        </w:rPr>
        <w:t>Enron has significant Regulatory Risk ($2.2 billion and growing);</w:t>
      </w:r>
    </w:p>
    <w:p>
      <w:pPr>
        <w:pStyle w:val="Normal"/>
        <w:numPr>
          <w:ilvl w:val="0"/>
          <w:numId w:val="1"/>
        </w:numPr>
        <w:tabs>
          <w:tab w:val="clear" w:pos="432"/>
          <w:tab w:val="left" w:pos="360" w:leader="none"/>
        </w:tabs>
        <w:bidi w:val="0"/>
        <w:jc w:val="start"/>
        <w:rPr>
          <w:sz w:val="24"/>
        </w:rPr>
      </w:pPr>
      <w:r>
        <w:rPr>
          <w:sz w:val="24"/>
        </w:rPr>
        <w:t>Regulatory Risks quantification is difficult, but not impossible;</w:t>
      </w:r>
    </w:p>
    <w:p>
      <w:pPr>
        <w:pStyle w:val="Normal"/>
        <w:numPr>
          <w:ilvl w:val="0"/>
          <w:numId w:val="1"/>
        </w:numPr>
        <w:tabs>
          <w:tab w:val="clear" w:pos="432"/>
          <w:tab w:val="left" w:pos="360" w:leader="none"/>
        </w:tabs>
        <w:bidi w:val="0"/>
        <w:jc w:val="start"/>
        <w:rPr>
          <w:sz w:val="24"/>
        </w:rPr>
      </w:pPr>
      <w:r>
        <w:rPr>
          <w:sz w:val="24"/>
        </w:rPr>
        <w:t>Current due diligence practices need to be improved by incorporating “best practices” and global “lessons learned”; and</w:t>
      </w:r>
    </w:p>
    <w:p>
      <w:pPr>
        <w:pStyle w:val="Normal"/>
        <w:numPr>
          <w:ilvl w:val="0"/>
          <w:numId w:val="1"/>
        </w:numPr>
        <w:tabs>
          <w:tab w:val="clear" w:pos="432"/>
          <w:tab w:val="left" w:pos="360" w:leader="none"/>
        </w:tabs>
        <w:bidi w:val="0"/>
        <w:jc w:val="start"/>
        <w:rPr>
          <w:sz w:val="24"/>
        </w:rPr>
      </w:pPr>
      <w:r>
        <w:rPr>
          <w:sz w:val="24"/>
        </w:rPr>
        <w:t>EGA professionals must take ownership of Regulatory Risk management in order for it to succeed.</w:t>
      </w:r>
    </w:p>
    <w:p>
      <w:pPr>
        <w:pStyle w:val="Normal"/>
        <w:bidi w:val="0"/>
        <w:jc w:val="start"/>
        <w:rPr>
          <w:sz w:val="24"/>
        </w:rPr>
      </w:pPr>
      <w:r>
        <w:rPr>
          <w:sz w:val="24"/>
        </w:rPr>
      </w:r>
    </w:p>
    <w:p>
      <w:pPr>
        <w:pStyle w:val="Normal"/>
        <w:bidi w:val="0"/>
        <w:jc w:val="start"/>
        <w:rPr>
          <w:sz w:val="24"/>
        </w:rPr>
      </w:pPr>
      <w:r>
        <w:rPr>
          <w:sz w:val="24"/>
        </w:rPr>
        <w:t xml:space="preserve">Regulatory Risk Analytics has developed a Lotus Notes database to track Projects, Regulatory Risks, Mitigation Plans, and informational updates (this is the same database that has been used for the US/Canada Resource Commitment Request process).    While the Regulatory Risk Analytics team populated this database in the initial phase of the process, this task will now fall on to the specific EGA professional responsible for each project.    </w:t>
      </w:r>
    </w:p>
    <w:p>
      <w:pPr>
        <w:pStyle w:val="Normal"/>
        <w:bidi w:val="0"/>
        <w:jc w:val="start"/>
        <w:rPr>
          <w:sz w:val="24"/>
        </w:rPr>
      </w:pPr>
      <w:r>
        <w:rPr>
          <w:sz w:val="24"/>
        </w:rPr>
      </w:r>
    </w:p>
    <w:p>
      <w:pPr>
        <w:pStyle w:val="Normal"/>
        <w:bidi w:val="0"/>
        <w:jc w:val="start"/>
        <w:rPr>
          <w:sz w:val="24"/>
        </w:rPr>
      </w:pPr>
      <w:r>
        <w:rPr>
          <w:sz w:val="24"/>
        </w:rPr>
        <w:t>It is critical for EGA to update this database regularly to ensure that our group is reporting accurate risk information to Enron Corp management.    As important, we need to have regular updates to ensure that we are prioritizing our activities properly.</w:t>
      </w:r>
    </w:p>
    <w:p>
      <w:pPr>
        <w:pStyle w:val="Normal"/>
        <w:bidi w:val="0"/>
        <w:jc w:val="start"/>
        <w:rPr>
          <w:sz w:val="24"/>
        </w:rPr>
      </w:pPr>
      <w:r>
        <w:rPr>
          <w:sz w:val="24"/>
        </w:rPr>
      </w:r>
    </w:p>
    <w:p>
      <w:pPr>
        <w:pStyle w:val="Normal"/>
        <w:bidi w:val="0"/>
        <w:jc w:val="start"/>
        <w:rPr>
          <w:sz w:val="24"/>
        </w:rPr>
      </w:pPr>
      <w:r>
        <w:rPr>
          <w:sz w:val="24"/>
        </w:rPr>
        <w:t xml:space="preserve">Finally, we need to begin to focus significant efforts on Origination opportunities.    Origination is the flip side of Regulatory Risk management.    Rather than protecting Enron’s interest by preventing regulatory change, Origination occurs when EGA seeks to change regulatory rules to improve our market position. This is a critical role for our team’s success.    I have asked Jim to try and develop a process to help identify these opportunities.    </w:t>
      </w:r>
    </w:p>
    <w:p>
      <w:pPr>
        <w:pStyle w:val="Normal"/>
        <w:bidi w:val="0"/>
        <w:jc w:val="start"/>
        <w:rPr>
          <w:sz w:val="24"/>
        </w:rPr>
      </w:pPr>
      <w:r>
        <w:rPr>
          <w:sz w:val="24"/>
        </w:rPr>
      </w:r>
    </w:p>
    <w:p>
      <w:pPr>
        <w:pStyle w:val="Normal"/>
        <w:bidi w:val="0"/>
        <w:jc w:val="start"/>
        <w:rPr>
          <w:sz w:val="24"/>
        </w:rPr>
      </w:pPr>
      <w:r>
        <w:rPr>
          <w:sz w:val="24"/>
        </w:rPr>
        <w:t>I encourage each of you to use Jim, Gia, and John as resources to help with the Regulatory Risk process.    You should call on them as often as necessary.    If anyone has any questions about this process, please feel free to call and discuss with Jim.</w:t>
      </w:r>
    </w:p>
    <w:p>
      <w:pPr>
        <w:pStyle w:val="Normal"/>
        <w:bidi w:val="0"/>
        <w:jc w:val="start"/>
        <w:rPr>
          <w:sz w:val="24"/>
        </w:rPr>
      </w:pPr>
      <w:r>
        <w:rPr>
          <w:sz w:val="24"/>
        </w:rPr>
      </w:r>
    </w:p>
    <w:p>
      <w:pPr>
        <w:pStyle w:val="Normal"/>
        <w:bidi w:val="0"/>
        <w:jc w:val="start"/>
        <w:rPr>
          <w:sz w:val="24"/>
        </w:rPr>
      </w:pPr>
      <w:r>
        <w:rPr>
          <w:sz w:val="24"/>
        </w:rPr>
        <w:t>Distribution:    Enron Corp Public Affairs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432"/>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outlineLvl w:val="0"/>
    </w:pPr>
    <w:rPr/>
  </w:style>
  <w:style w:type="paragraph" w:styleId="Heading2">
    <w:name w:val="heading 2"/>
    <w:basedOn w:val="Normal"/>
    <w:next w:val="Normal"/>
    <w:qFormat/>
    <w:pPr>
      <w:keepNext w:val="true"/>
      <w:widowControl/>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0</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2000-06-05T10:08:00Z</dcterms:created>
  <dc:creator>jsteffe</dc:creator>
  <dc:description/>
  <dc:language>en-CA</dc:language>
  <cp:lastModifiedBy/>
  <cp:lastPrinted>2000-06-05T14:25:00Z</cp:lastPrinted>
  <dcterms:modified xsi:type="dcterms:W3CDTF">2000-06-05T14:48:00Z</dcterms:modified>
  <cp:revision>2</cp:revision>
  <dc:subject/>
  <dc:title>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jsteffe</vt:lpwstr>
  </property>
</Properties>
</file>