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settings.xml" ContentType="application/vnd.openxmlformats-officedocument.wordprocessingml.settings+xml"/>
  <Override PartName="/word/footer16.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PURCHASE AND SALE AGREEMENT</w:t>
      </w:r>
    </w:p>
    <w:p>
      <w:pPr>
        <w:pStyle w:val="Title"/>
        <w:bidi w:val="0"/>
        <w:rPr>
          <w:rFonts w:ascii="Times New Roman" w:hAnsi="Times New Roman"/>
          <w:u w:val="single"/>
        </w:rPr>
      </w:pPr>
      <w:r>
        <w:rPr>
          <w:u w:val="single"/>
        </w:rPr>
      </w:r>
    </w:p>
    <w:p>
      <w:pPr>
        <w:pStyle w:val="Title"/>
        <w:bidi w:val="0"/>
        <w:rPr>
          <w:rFonts w:ascii="Times New Roman" w:hAnsi="Times New Roman"/>
        </w:rPr>
      </w:pPr>
      <w:r>
        <w:rPr/>
        <w:t>by and between</w:t>
      </w:r>
    </w:p>
    <w:p>
      <w:pPr>
        <w:pStyle w:val="Title"/>
        <w:bidi w:val="0"/>
        <w:rPr>
          <w:rFonts w:ascii="Times New Roman" w:hAnsi="Times New Roman"/>
        </w:rPr>
      </w:pPr>
      <w:r>
        <w:rPr/>
      </w:r>
    </w:p>
    <w:p>
      <w:pPr>
        <w:pStyle w:val="Title"/>
        <w:bidi w:val="0"/>
        <w:rPr>
          <w:rFonts w:ascii="Times New Roman" w:hAnsi="Times New Roman"/>
        </w:rPr>
      </w:pPr>
      <w:r>
        <w:rPr/>
        <w:t>Enron North America Corp.</w:t>
      </w:r>
    </w:p>
    <w:p>
      <w:pPr>
        <w:pStyle w:val="Title"/>
        <w:bidi w:val="0"/>
        <w:rPr>
          <w:rFonts w:ascii="Times New Roman" w:hAnsi="Times New Roman"/>
        </w:rPr>
      </w:pPr>
      <w:r>
        <w:rPr/>
      </w:r>
    </w:p>
    <w:p>
      <w:pPr>
        <w:pStyle w:val="Title"/>
        <w:bidi w:val="0"/>
        <w:rPr>
          <w:rFonts w:ascii="Times New Roman" w:hAnsi="Times New Roman"/>
        </w:rPr>
      </w:pPr>
      <w:r>
        <w:rPr/>
        <w:t>and</w:t>
      </w:r>
    </w:p>
    <w:p>
      <w:pPr>
        <w:pStyle w:val="Title"/>
        <w:bidi w:val="0"/>
        <w:rPr>
          <w:rFonts w:ascii="Times New Roman" w:hAnsi="Times New Roman"/>
        </w:rPr>
      </w:pPr>
      <w:r>
        <w:rPr/>
      </w:r>
    </w:p>
    <w:p>
      <w:pPr>
        <w:pStyle w:val="Title"/>
        <w:bidi w:val="0"/>
        <w:rPr>
          <w:rFonts w:ascii="Times New Roman" w:hAnsi="Times New Roman"/>
        </w:rPr>
      </w:pPr>
      <w:r>
        <w:rPr/>
        <w:t>[____________]</w:t>
      </w:r>
    </w:p>
    <w:p>
      <w:pPr>
        <w:pStyle w:val="Title"/>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Title"/>
        <w:bidi w:val="0"/>
        <w:rPr>
          <w:rFonts w:ascii="Times New Roman" w:hAnsi="Times New Roman"/>
        </w:rPr>
      </w:pPr>
      <w:r>
        <w:rPr/>
        <w:t xml:space="preserve">Dated </w:t>
      </w:r>
      <w:r>
        <w:rPr>
          <w:strike/>
        </w:rPr>
        <w:t>November</w:t>
      </w:r>
      <w:r>
        <w:rPr/>
        <w:t xml:space="preserve"> </w:t>
      </w:r>
      <w:r>
        <w:rPr>
          <w:u w:val="double"/>
        </w:rPr>
        <w:t>December</w:t>
      </w:r>
      <w:r>
        <w:rPr/>
        <w:t xml:space="preserve"> ____, 2000</w:t>
      </w:r>
    </w:p>
    <w:p>
      <w:pPr>
        <w:pStyle w:val="Title"/>
        <w:bidi w:val="0"/>
        <w:rPr>
          <w:rFonts w:ascii="Times New Roman" w:hAnsi="Times New Roman"/>
          <w:u w:val="single"/>
        </w:rPr>
      </w:pPr>
      <w:r>
        <w:rPr/>
        <w:t>PURCHASE AND SALE AGREEMENT</w:t>
      </w:r>
    </w:p>
    <w:p>
      <w:pPr>
        <w:pStyle w:val="BodyTextFirstIndent"/>
        <w:bidi w:val="0"/>
        <w:rPr>
          <w:rFonts w:ascii="Times New Roman" w:hAnsi="Times New Roman"/>
        </w:rPr>
      </w:pPr>
      <w:r>
        <w:rPr/>
        <w:t>THIS PURCHASE AND SALE AGREEMENT (this “</w:t>
      </w:r>
      <w:r>
        <w:rPr>
          <w:rStyle w:val="Emphasis"/>
          <w:lang w:val="en-US" w:eastAsia="en-US"/>
        </w:rPr>
        <w:t>Agreement</w:t>
      </w:r>
      <w:r>
        <w:rPr/>
        <w:t xml:space="preserve">”), dated as of </w:t>
      </w:r>
      <w:r>
        <w:rPr>
          <w:strike/>
        </w:rPr>
        <w:t>November ____</w:t>
      </w:r>
      <w:r>
        <w:rPr>
          <w:b/>
          <w:u w:val="double"/>
        </w:rPr>
        <w:t>December ____</w:t>
      </w:r>
      <w:r>
        <w:rPr/>
        <w:t>, 2000, is by and between Enron North America Corp., a Delaware corporation (“</w:t>
      </w:r>
      <w:r>
        <w:rPr>
          <w:rStyle w:val="Emphasis"/>
          <w:lang w:val="en-US" w:eastAsia="en-US"/>
        </w:rPr>
        <w:t>Seller</w:t>
      </w:r>
      <w:r>
        <w:rPr/>
        <w:t>”), and [a Duke special purpose company], a Delaware limited liability company (“</w:t>
      </w:r>
      <w:r>
        <w:rPr>
          <w:rStyle w:val="Emphasis"/>
          <w:lang w:val="en-US" w:eastAsia="en-US"/>
        </w:rPr>
        <w:t>Buyer</w:t>
      </w:r>
      <w:r>
        <w:rPr/>
        <w:t>”).  Seller and Buyer are sometimes referred to herein individually as a “</w:t>
      </w:r>
      <w:r>
        <w:rPr>
          <w:i/>
        </w:rPr>
        <w:t>Party</w:t>
      </w:r>
      <w:r>
        <w:rPr/>
        <w:t>” and collectively as the “</w:t>
      </w:r>
      <w:r>
        <w:rPr>
          <w:i/>
        </w:rPr>
        <w:t>Parties</w:t>
      </w:r>
      <w:r>
        <w:rPr/>
        <w:t>.”</w:t>
      </w:r>
    </w:p>
    <w:p>
      <w:pPr>
        <w:pStyle w:val="Title"/>
        <w:bidi w:val="0"/>
        <w:rPr>
          <w:rFonts w:ascii="Times New Roman" w:hAnsi="Times New Roman"/>
        </w:rPr>
      </w:pPr>
      <w:r>
        <w:rPr/>
        <w:t>Recital</w:t>
      </w:r>
    </w:p>
    <w:p>
      <w:pPr>
        <w:pStyle w:val="BodyTextFirstIndent"/>
        <w:bidi w:val="0"/>
        <w:rPr>
          <w:rFonts w:ascii="Times New Roman" w:hAnsi="Times New Roman"/>
        </w:rPr>
      </w:pPr>
      <w:r>
        <w:rPr/>
        <w:t>Seller desires to sell to Buyer, and Buyer desires to purchase from Seller, all of the issued and outstanding member interests (collectively, the “</w:t>
      </w:r>
      <w:r>
        <w:rPr>
          <w:rStyle w:val="Emphasis"/>
          <w:lang w:val="en-US" w:eastAsia="en-US"/>
        </w:rPr>
        <w:t>LLC Interests</w:t>
      </w:r>
      <w:r>
        <w:rPr/>
        <w:t xml:space="preserve">”) of the limited liability companies named in </w:t>
      </w:r>
      <w:r>
        <w:rPr>
          <w:u w:val="single"/>
        </w:rPr>
        <w:t>Exhibit A</w:t>
      </w:r>
      <w:r>
        <w:rPr/>
        <w:t xml:space="preserve"> hereto, each a wholly owned subsidiary of Seller (the “</w:t>
      </w:r>
      <w:r>
        <w:rPr>
          <w:rStyle w:val="Emphasis"/>
          <w:lang w:val="en-US" w:eastAsia="en-US"/>
        </w:rPr>
        <w:t>LLCs</w:t>
      </w:r>
      <w:r>
        <w:rPr/>
        <w:t>”), upon the terms and subject to the conditions set forth in this Agreement, with the obligations of Seller being guaranteed by Enron Corp. and the obligations of Buyer being guaranteed by Duke Capital Corporation.</w:t>
      </w:r>
    </w:p>
    <w:p>
      <w:pPr>
        <w:pStyle w:val="BodyTextFirstIndent"/>
        <w:bidi w:val="0"/>
        <w:rPr>
          <w:rFonts w:ascii="Times New Roman" w:hAnsi="Times New Roman"/>
        </w:rPr>
      </w:pPr>
      <w:r>
        <w:rPr/>
        <w:t>NOW, THEREFORE, in consideration of the mutual covenants and agreements set forth in this Agreement, the Parties agree as follows:</w:t>
      </w:r>
    </w:p>
    <w:p>
      <w:pPr>
        <w:pStyle w:val="Heading1"/>
        <w:numPr>
          <w:ilvl w:val="0"/>
          <w:numId w:val="16"/>
        </w:numPr>
        <w:bidi w:val="0"/>
        <w:ind w:hanging="0" w:start="0" w:end="0"/>
        <w:outlineLvl w:val="0"/>
        <w:rPr>
          <w:rFonts w:ascii="Times New Roman" w:hAnsi="Times New Roman"/>
        </w:rPr>
      </w:pPr>
      <w:r>
        <w:rPr/>
        <w:br/>
        <w:t>Certain Definitions</w:t>
      </w:r>
    </w:p>
    <w:p>
      <w:pPr>
        <w:pStyle w:val="Heading2"/>
        <w:numPr>
          <w:ilvl w:val="1"/>
          <w:numId w:val="16"/>
        </w:numPr>
        <w:bidi w:val="0"/>
        <w:ind w:firstLine="720" w:start="0" w:end="0"/>
        <w:outlineLvl w:val="1"/>
        <w:rPr>
          <w:rFonts w:ascii="Times New Roman" w:hAnsi="Times New Roman"/>
        </w:rPr>
      </w:pPr>
      <w:r>
        <w:rPr>
          <w:u w:val="single"/>
        </w:rPr>
        <w:t>Certain Defined Terms</w:t>
      </w:r>
      <w:r>
        <w:rPr/>
        <w:t>.  As used in this Agreement, the following terms have the respective meanings set forth below or set forth in the Sections referred to below:</w:t>
      </w:r>
    </w:p>
    <w:p>
      <w:pPr>
        <w:pStyle w:val="BodyTextFirstIndent"/>
        <w:bidi w:val="0"/>
        <w:rPr>
          <w:rFonts w:ascii="Times New Roman" w:hAnsi="Times New Roman"/>
        </w:rPr>
      </w:pPr>
      <w:r>
        <w:rPr/>
        <w:t>“</w:t>
      </w:r>
      <w:r>
        <w:rPr>
          <w:rStyle w:val="Emphasis"/>
          <w:lang w:val="en-US" w:eastAsia="en-US"/>
        </w:rPr>
        <w:t>Action</w:t>
      </w:r>
      <w:r>
        <w:rPr/>
        <w:t>” means any action, suit, investigation, proceeding, condemnation, or audit by or before any court or other Governmental Authority or any arbitration proceeding.</w:t>
      </w:r>
    </w:p>
    <w:p>
      <w:pPr>
        <w:pStyle w:val="BodyTextFirstIndent"/>
        <w:bidi w:val="0"/>
        <w:rPr>
          <w:rFonts w:ascii="Times New Roman" w:hAnsi="Times New Roman"/>
        </w:rPr>
      </w:pPr>
      <w:r>
        <w:rPr>
          <w:i/>
        </w:rPr>
        <w:t>“</w:t>
      </w:r>
      <w:r>
        <w:rPr>
          <w:i/>
        </w:rPr>
        <w:t>Acquisition Proposal”</w:t>
      </w:r>
      <w:r>
        <w:rPr/>
        <w:t xml:space="preserve"> is defined in </w:t>
      </w:r>
      <w:r>
        <w:rPr>
          <w:u w:val="single"/>
        </w:rPr>
        <w:t>Section 5.2</w:t>
      </w:r>
      <w:r>
        <w:rPr/>
        <w:t>.</w:t>
      </w:r>
    </w:p>
    <w:p>
      <w:pPr>
        <w:pStyle w:val="BodyTextFirstIndent"/>
        <w:bidi w:val="0"/>
        <w:rPr>
          <w:rFonts w:ascii="Times New Roman" w:hAnsi="Times New Roman"/>
        </w:rPr>
      </w:pPr>
      <w:r>
        <w:rPr>
          <w:strike/>
        </w:rPr>
        <w:t>“</w:t>
      </w:r>
      <w:r>
        <w:rPr>
          <w:strike/>
        </w:rPr>
        <w:t>Adjusted Purchase Price”</w:t>
      </w:r>
    </w:p>
    <w:p>
      <w:pPr>
        <w:pStyle w:val="BodyTextFirstIndent"/>
        <w:bidi w:val="0"/>
        <w:rPr>
          <w:rFonts w:ascii="Times New Roman" w:hAnsi="Times New Roman"/>
          <w:i/>
          <w:i/>
        </w:rPr>
      </w:pPr>
      <w:r>
        <w:rPr/>
        <w:t xml:space="preserve"> </w:t>
      </w:r>
      <w:r>
        <w:rPr>
          <w:b/>
          <w:u w:val="double"/>
        </w:rPr>
        <w:t>“</w:t>
      </w:r>
      <w:r>
        <w:rPr>
          <w:b/>
          <w:i/>
          <w:u w:val="double"/>
        </w:rPr>
        <w:t>Affected LLCs</w:t>
      </w:r>
      <w:r>
        <w:rPr>
          <w:b/>
          <w:u w:val="double"/>
        </w:rPr>
        <w:t>”</w:t>
      </w:r>
      <w:r>
        <w:rPr>
          <w:i/>
        </w:rPr>
        <w:t xml:space="preserve"> is defined in </w:t>
      </w:r>
      <w:r>
        <w:rPr>
          <w:i/>
          <w:strike/>
          <w:u w:val="single"/>
        </w:rPr>
        <w:t>Section 3.1</w:t>
      </w:r>
      <w:r>
        <w:rPr>
          <w:i/>
          <w:u w:val="single"/>
        </w:rPr>
        <w:t xml:space="preserve"> </w:t>
      </w:r>
      <w:r>
        <w:rPr>
          <w:b/>
          <w:i/>
          <w:u w:val="double"/>
        </w:rPr>
        <w:t>Section 7.9</w:t>
      </w:r>
      <w:r>
        <w:rPr>
          <w:i/>
        </w:rPr>
        <w:t>.</w:t>
      </w:r>
    </w:p>
    <w:p>
      <w:pPr>
        <w:pStyle w:val="BodyTextFirstIndent"/>
        <w:bidi w:val="0"/>
        <w:rPr>
          <w:rFonts w:ascii="Times New Roman" w:hAnsi="Times New Roman"/>
        </w:rPr>
      </w:pPr>
      <w:r>
        <w:rPr/>
        <w:t>“</w:t>
      </w:r>
      <w:r>
        <w:rPr>
          <w:rStyle w:val="Emphasis"/>
          <w:lang w:val="en-US" w:eastAsia="en-US"/>
        </w:rPr>
        <w:t>Affiliate</w:t>
      </w:r>
      <w:r>
        <w:rPr/>
        <w:t>” means, as to the Person specified, any Person controlling, controlled by or under common control with such specified Person.  The concept of control, controlling or controlled as used in the aforesaid context means the possession, directly or indirectly, of the power to direct or cause the direction of the management and policies of another, whether through the ownership of voting securities, by contract or otherwise.  No Person shall be deemed an Affiliate of any Person by reason of the exercise or existence of rights, interests, or remedies under this Agreement.</w:t>
      </w:r>
    </w:p>
    <w:p>
      <w:pPr>
        <w:pStyle w:val="BodyTextFirstIndent"/>
        <w:bidi w:val="0"/>
        <w:rPr>
          <w:rFonts w:ascii="Times New Roman" w:hAnsi="Times New Roman"/>
        </w:rPr>
      </w:pPr>
      <w:r>
        <w:rPr/>
        <w:t>“</w:t>
      </w:r>
      <w:r>
        <w:rPr>
          <w:rStyle w:val="Emphasis"/>
          <w:lang w:val="en-US" w:eastAsia="en-US"/>
        </w:rPr>
        <w:t>Agreement</w:t>
      </w:r>
      <w:r>
        <w:rPr/>
        <w:t>” is defined in the preamble.</w:t>
      </w:r>
    </w:p>
    <w:p>
      <w:pPr>
        <w:pStyle w:val="BodyTextFirstIndent"/>
        <w:bidi w:val="0"/>
        <w:rPr>
          <w:rFonts w:ascii="Times New Roman" w:hAnsi="Times New Roman"/>
        </w:rPr>
      </w:pPr>
      <w:r>
        <w:rPr/>
        <w:t>“</w:t>
      </w:r>
      <w:r>
        <w:rPr>
          <w:i/>
        </w:rPr>
        <w:t>Assignment and Assumption Agreement</w:t>
      </w:r>
      <w:r>
        <w:rPr/>
        <w:t xml:space="preserve">” means the Assignment and Assumption Agreement attached hereto as </w:t>
      </w:r>
      <w:r>
        <w:rPr>
          <w:u w:val="single"/>
        </w:rPr>
        <w:t>Exhibit 9.2</w:t>
      </w:r>
      <w:r>
        <w:rPr/>
        <w:t xml:space="preserve">.  </w:t>
      </w:r>
    </w:p>
    <w:p>
      <w:pPr>
        <w:pStyle w:val="BodyTextFirstIndent"/>
        <w:bidi w:val="0"/>
        <w:rPr>
          <w:rFonts w:ascii="Times New Roman" w:hAnsi="Times New Roman"/>
        </w:rPr>
      </w:pPr>
      <w:r>
        <w:rPr>
          <w:i/>
        </w:rPr>
        <w:t>“</w:t>
      </w:r>
      <w:r>
        <w:rPr>
          <w:i/>
        </w:rPr>
        <w:t>Back-to-Back Guaranty”</w:t>
      </w:r>
      <w:r>
        <w:rPr/>
        <w:t xml:space="preserve"> is defined in </w:t>
      </w:r>
      <w:r>
        <w:rPr>
          <w:u w:val="single"/>
        </w:rPr>
        <w:t>Section 7.11</w:t>
      </w:r>
      <w:r>
        <w:rPr/>
        <w:t>.</w:t>
      </w:r>
    </w:p>
    <w:p>
      <w:pPr>
        <w:pStyle w:val="BodyTextFirstIndent"/>
        <w:bidi w:val="0"/>
        <w:rPr>
          <w:rFonts w:ascii="Times New Roman" w:hAnsi="Times New Roman"/>
        </w:rPr>
      </w:pPr>
      <w:r>
        <w:rPr/>
        <w:t xml:space="preserve"> “</w:t>
      </w:r>
      <w:r>
        <w:rPr>
          <w:i/>
        </w:rPr>
        <w:t>Business</w:t>
      </w:r>
      <w:r>
        <w:rPr/>
        <w:t xml:space="preserve">” with respect to each of the LLCs, means the business and operations of such LLC related to such LLC’s Facility.  </w:t>
      </w:r>
    </w:p>
    <w:p>
      <w:pPr>
        <w:pStyle w:val="BodyTextFirstIndent"/>
        <w:bidi w:val="0"/>
        <w:rPr>
          <w:rFonts w:ascii="Times New Roman" w:hAnsi="Times New Roman"/>
        </w:rPr>
      </w:pPr>
      <w:r>
        <w:rPr/>
        <w:t>“</w:t>
      </w:r>
      <w:r>
        <w:rPr>
          <w:i/>
        </w:rPr>
        <w:t>Business Day</w:t>
      </w:r>
      <w:r>
        <w:rPr/>
        <w:t>” means any day which is not a Saturday, Sunday, or legal holiday recognized by the United States of America.</w:t>
      </w:r>
    </w:p>
    <w:p>
      <w:pPr>
        <w:pStyle w:val="BodyTextFirstIndent"/>
        <w:bidi w:val="0"/>
        <w:rPr>
          <w:rFonts w:ascii="Times New Roman" w:hAnsi="Times New Roman"/>
        </w:rPr>
      </w:pPr>
      <w:r>
        <w:rPr/>
        <w:t>“</w:t>
      </w:r>
      <w:r>
        <w:rPr>
          <w:i/>
        </w:rPr>
        <w:t>Buyer</w:t>
      </w:r>
      <w:r>
        <w:rPr/>
        <w:t>” is defined in the preamble.</w:t>
      </w:r>
    </w:p>
    <w:p>
      <w:pPr>
        <w:pStyle w:val="BodyTextFirstIndent"/>
        <w:bidi w:val="0"/>
        <w:rPr>
          <w:rFonts w:ascii="Times New Roman" w:hAnsi="Times New Roman"/>
        </w:rPr>
      </w:pPr>
      <w:r>
        <w:rPr/>
        <w:t>“</w:t>
      </w:r>
      <w:r>
        <w:rPr>
          <w:i/>
        </w:rPr>
        <w:t>Buyer Indemnified Parties</w:t>
      </w:r>
      <w:r>
        <w:rPr/>
        <w:t xml:space="preserve">” is defined in </w:t>
      </w:r>
      <w:r>
        <w:rPr>
          <w:u w:val="single"/>
        </w:rPr>
        <w:t>Section 11.2</w:t>
      </w:r>
      <w:r>
        <w:rPr/>
        <w:t>.</w:t>
      </w:r>
    </w:p>
    <w:p>
      <w:pPr>
        <w:pStyle w:val="BodyTextFirstIndent"/>
        <w:bidi w:val="0"/>
        <w:rPr>
          <w:rFonts w:ascii="Times New Roman" w:hAnsi="Times New Roman"/>
          <w:i/>
          <w:i/>
        </w:rPr>
      </w:pPr>
      <w:r>
        <w:rPr>
          <w:b/>
          <w:i/>
          <w:u w:val="double"/>
        </w:rPr>
        <w:t>“</w:t>
      </w:r>
      <w:r>
        <w:rPr>
          <w:b/>
          <w:i/>
          <w:u w:val="double"/>
        </w:rPr>
        <w:t xml:space="preserve">Casualty Loss Amount” </w:t>
      </w:r>
      <w:r>
        <w:rPr>
          <w:b/>
          <w:u w:val="double"/>
        </w:rPr>
        <w:t>is defined in</w:t>
      </w:r>
      <w:r>
        <w:rPr>
          <w:i/>
        </w:rPr>
        <w:t xml:space="preserve"> </w:t>
      </w:r>
      <w:r>
        <w:rPr>
          <w:b/>
          <w:u w:val="double"/>
        </w:rPr>
        <w:t>Section 7.9</w:t>
      </w:r>
      <w:r>
        <w:rPr>
          <w:b/>
          <w:i/>
          <w:u w:val="double"/>
        </w:rPr>
        <w:t>.</w:t>
      </w:r>
    </w:p>
    <w:p>
      <w:pPr>
        <w:pStyle w:val="BodyTextFirstIndent"/>
        <w:bidi w:val="0"/>
        <w:rPr>
          <w:rFonts w:ascii="Times New Roman" w:hAnsi="Times New Roman"/>
        </w:rPr>
      </w:pPr>
      <w:r>
        <w:rPr/>
        <w:t>“</w:t>
      </w:r>
      <w:r>
        <w:rPr>
          <w:i/>
        </w:rPr>
        <w:t>Closing</w:t>
      </w:r>
      <w:r>
        <w:rPr/>
        <w:t xml:space="preserve">” means the consummation of the transactions contemplated by </w:t>
      </w:r>
      <w:r>
        <w:rPr>
          <w:u w:val="single"/>
        </w:rPr>
        <w:t>Article 9</w:t>
      </w:r>
      <w:r>
        <w:rPr/>
        <w:t>.</w:t>
      </w:r>
    </w:p>
    <w:p>
      <w:pPr>
        <w:pStyle w:val="BodyTextFirstIndent"/>
        <w:bidi w:val="0"/>
        <w:rPr>
          <w:rFonts w:ascii="Times New Roman" w:hAnsi="Times New Roman"/>
        </w:rPr>
      </w:pPr>
      <w:r>
        <w:rPr/>
        <w:t>“</w:t>
      </w:r>
      <w:r>
        <w:rPr>
          <w:i/>
        </w:rPr>
        <w:t>Closing Date</w:t>
      </w:r>
      <w:r>
        <w:rPr/>
        <w:t xml:space="preserve">” means the date that the Closing actually occurs. </w:t>
      </w:r>
    </w:p>
    <w:p>
      <w:pPr>
        <w:pStyle w:val="BodyTextFirstIndent"/>
        <w:bidi w:val="0"/>
        <w:rPr>
          <w:rFonts w:ascii="Times New Roman" w:hAnsi="Times New Roman"/>
        </w:rPr>
      </w:pPr>
      <w:r>
        <w:rPr/>
        <w:t>“</w:t>
      </w:r>
      <w:r>
        <w:rPr>
          <w:i/>
        </w:rPr>
        <w:t>Closing Payment</w:t>
      </w:r>
      <w:r>
        <w:rPr/>
        <w:t xml:space="preserve">” is defined in </w:t>
      </w:r>
      <w:r>
        <w:rPr>
          <w:u w:val="single"/>
        </w:rPr>
        <w:t>Section 3.2</w:t>
      </w:r>
      <w:r>
        <w:rPr/>
        <w:t>.</w:t>
      </w:r>
    </w:p>
    <w:p>
      <w:pPr>
        <w:pStyle w:val="BodyTextFirstIndent"/>
        <w:bidi w:val="0"/>
        <w:rPr>
          <w:rFonts w:ascii="Times New Roman" w:hAnsi="Times New Roman"/>
          <w:strike/>
        </w:rPr>
      </w:pPr>
      <w:r>
        <w:rPr>
          <w:strike/>
        </w:rPr>
        <w:t>“</w:t>
      </w:r>
      <w:r>
        <w:rPr>
          <w:strike/>
        </w:rPr>
        <w:t xml:space="preserve">Closing Statement” is defined in Section 3.3. </w:t>
      </w:r>
    </w:p>
    <w:p>
      <w:pPr>
        <w:pStyle w:val="BodyTextFirstIndent"/>
        <w:bidi w:val="0"/>
        <w:rPr>
          <w:rFonts w:ascii="Times New Roman" w:hAnsi="Times New Roman"/>
        </w:rPr>
      </w:pPr>
      <w:r>
        <w:rPr>
          <w:strike/>
        </w:rPr>
        <w:t>“</w:t>
      </w:r>
      <w:r>
        <w:rPr>
          <w:strike/>
        </w:rPr>
        <w:t xml:space="preserve">Closing Statement Arbitrator” is defined in Section 3.4. </w:t>
      </w:r>
    </w:p>
    <w:p>
      <w:pPr>
        <w:pStyle w:val="BodyTextFirstIndent"/>
        <w:bidi w:val="0"/>
        <w:rPr>
          <w:rFonts w:ascii="Times New Roman" w:hAnsi="Times New Roman"/>
        </w:rPr>
      </w:pPr>
      <w:r>
        <w:rPr/>
        <w:t xml:space="preserve"> “</w:t>
      </w:r>
      <w:r>
        <w:rPr>
          <w:i/>
        </w:rPr>
        <w:t>Code</w:t>
      </w:r>
      <w:r>
        <w:rPr/>
        <w:t>” means the Internal Revenue Code of 1986, as amended.</w:t>
      </w:r>
    </w:p>
    <w:p>
      <w:pPr>
        <w:pStyle w:val="BodyTextFirstIndent"/>
        <w:bidi w:val="0"/>
        <w:rPr>
          <w:rFonts w:ascii="Times New Roman" w:hAnsi="Times New Roman"/>
        </w:rPr>
      </w:pPr>
      <w:r>
        <w:rPr/>
        <w:t>“</w:t>
      </w:r>
      <w:r>
        <w:rPr>
          <w:i/>
        </w:rPr>
        <w:t>Confidentiality Agreement</w:t>
      </w:r>
      <w:r>
        <w:rPr/>
        <w:t xml:space="preserve">” is defined in </w:t>
      </w:r>
      <w:r>
        <w:rPr>
          <w:u w:val="single"/>
        </w:rPr>
        <w:t>Section 5.2</w:t>
      </w:r>
      <w:r>
        <w:rPr/>
        <w:t>.</w:t>
      </w:r>
    </w:p>
    <w:p>
      <w:pPr>
        <w:pStyle w:val="BodyTextFirstIndent"/>
        <w:bidi w:val="0"/>
        <w:rPr>
          <w:rFonts w:ascii="Times New Roman" w:hAnsi="Times New Roman"/>
        </w:rPr>
      </w:pPr>
      <w:r>
        <w:rPr/>
        <w:t>“</w:t>
      </w:r>
      <w:r>
        <w:rPr>
          <w:i/>
        </w:rPr>
        <w:t>Dispute</w:t>
      </w:r>
      <w:r>
        <w:rPr/>
        <w:t xml:space="preserve">” is defined in </w:t>
      </w:r>
      <w:r>
        <w:rPr>
          <w:strike/>
          <w:u w:val="single"/>
        </w:rPr>
        <w:t>Section 13.4</w:t>
      </w:r>
      <w:r>
        <w:rPr>
          <w:u w:val="single"/>
        </w:rPr>
        <w:t xml:space="preserve"> </w:t>
      </w:r>
      <w:r>
        <w:rPr>
          <w:b/>
          <w:u w:val="double"/>
        </w:rPr>
        <w:t>Section 13.5</w:t>
      </w:r>
      <w:r>
        <w:rPr/>
        <w:t xml:space="preserve">.  </w:t>
      </w:r>
    </w:p>
    <w:p>
      <w:pPr>
        <w:pStyle w:val="BodyTextFirstIndent"/>
        <w:bidi w:val="0"/>
        <w:rPr>
          <w:rFonts w:ascii="Times New Roman" w:hAnsi="Times New Roman"/>
        </w:rPr>
      </w:pPr>
      <w:r>
        <w:rPr/>
        <w:t>“</w:t>
      </w:r>
      <w:r>
        <w:rPr>
          <w:i/>
        </w:rPr>
        <w:t>Enron Marks</w:t>
      </w:r>
      <w:r>
        <w:rPr/>
        <w:t>” means the name “Enron” and other trademarks, service marks, and trade names owned by Seller or its Affiliates (other than the LLCs).</w:t>
      </w:r>
    </w:p>
    <w:p>
      <w:pPr>
        <w:pStyle w:val="BodyTextFirstIndent"/>
        <w:bidi w:val="0"/>
        <w:rPr>
          <w:rFonts w:ascii="Times New Roman" w:hAnsi="Times New Roman"/>
        </w:rPr>
      </w:pPr>
      <w:r>
        <w:rPr/>
        <w:t>“</w:t>
      </w:r>
      <w:r>
        <w:rPr>
          <w:i/>
        </w:rPr>
        <w:t>Environmental Laws</w:t>
      </w:r>
      <w:r>
        <w:rPr/>
        <w:t>” means all Laws, as existing as of the date of this Agreement, relating to (i) the control of any pollutant, or protection of human health or the environment, including the air, water, or land, (ii) solid, gaseous or liquid waste generation, handling, treatment, storage, disposal or transportation, and (iii) exposure to hazardous, toxic or other harmful substances.  “</w:t>
      </w:r>
      <w:r>
        <w:rPr>
          <w:rStyle w:val="Emphasis"/>
          <w:lang w:val="en-US" w:eastAsia="en-US"/>
        </w:rPr>
        <w:t>Environmental Laws</w:t>
      </w:r>
      <w:r>
        <w:rPr/>
        <w:t xml:space="preserve">” shall include the Clean Air Act, 42 U.S.C. §7401 </w:t>
      </w:r>
      <w:r>
        <w:rPr>
          <w:u w:val="single"/>
        </w:rPr>
        <w:t>et</w:t>
      </w:r>
      <w:r>
        <w:rPr/>
        <w:t xml:space="preserve"> </w:t>
      </w:r>
      <w:r>
        <w:rPr>
          <w:u w:val="single"/>
        </w:rPr>
        <w:t>seq</w:t>
      </w:r>
      <w:r>
        <w:rPr/>
        <w:t xml:space="preserve">., the Resource Conservation Recovery Act, 42 U.S.C. §6901 </w:t>
      </w:r>
      <w:r>
        <w:rPr>
          <w:u w:val="single"/>
        </w:rPr>
        <w:t>et</w:t>
      </w:r>
      <w:r>
        <w:rPr/>
        <w:t xml:space="preserve"> </w:t>
      </w:r>
      <w:r>
        <w:rPr>
          <w:u w:val="single"/>
        </w:rPr>
        <w:t>seq</w:t>
      </w:r>
      <w:r>
        <w:rPr/>
        <w:t xml:space="preserve">., the Federal Water Pollution Control Act, 33 U.S.C. §1251 </w:t>
      </w:r>
      <w:r>
        <w:rPr>
          <w:u w:val="single"/>
        </w:rPr>
        <w:t>et</w:t>
      </w:r>
      <w:r>
        <w:rPr/>
        <w:t xml:space="preserve"> </w:t>
      </w:r>
      <w:r>
        <w:rPr>
          <w:u w:val="single"/>
        </w:rPr>
        <w:t>seq</w:t>
      </w:r>
      <w:r>
        <w:rPr/>
        <w:t xml:space="preserve">., the Safe Drinking Water Act, 42 U.S.C. §300f </w:t>
      </w:r>
      <w:r>
        <w:rPr>
          <w:u w:val="single"/>
        </w:rPr>
        <w:t>et</w:t>
      </w:r>
      <w:r>
        <w:rPr/>
        <w:t xml:space="preserve"> </w:t>
      </w:r>
      <w:r>
        <w:rPr>
          <w:u w:val="single"/>
        </w:rPr>
        <w:t>seq</w:t>
      </w:r>
      <w:r>
        <w:rPr/>
        <w:t xml:space="preserve">., and the Comprehensive Environmental Response, Compensation, and Liability Act, as amended by the Superfund Amendments and Reauthorization Act, 42 U.S.C. §9601 </w:t>
      </w:r>
      <w:r>
        <w:rPr>
          <w:u w:val="single"/>
        </w:rPr>
        <w:t>et</w:t>
      </w:r>
      <w:r>
        <w:rPr/>
        <w:t xml:space="preserve"> </w:t>
      </w:r>
      <w:r>
        <w:rPr>
          <w:u w:val="single"/>
        </w:rPr>
        <w:t>seq</w:t>
      </w:r>
      <w:r>
        <w:rPr/>
        <w:t>.</w:t>
      </w:r>
    </w:p>
    <w:p>
      <w:pPr>
        <w:pStyle w:val="BodyTextFirstIndent"/>
        <w:bidi w:val="0"/>
        <w:rPr>
          <w:rFonts w:ascii="Times New Roman" w:hAnsi="Times New Roman"/>
        </w:rPr>
      </w:pPr>
      <w:r>
        <w:rPr/>
        <w:t>“</w:t>
      </w:r>
      <w:r>
        <w:rPr>
          <w:i/>
        </w:rPr>
        <w:t>Environmental Liabilities</w:t>
      </w:r>
      <w:r>
        <w:rPr/>
        <w:t xml:space="preserve">” means any and all liabilities, claims, demands, costs, damages, losses settlements, expenses, penalties, fines, taxes, interest, attorneys’ fees, court costs, and other costs of suit (i) incurred or imposed (a) pursuant to any order, notice of responsibility, directive, injunction, judgment, or similar act (including settlements) by any Governmental Authority to the extent arising out of or under Environmental Laws or (b) pursuant to any claim or cause of action by a Governmental Authority or other third Person for personal injury, property damage, damage to natural resources, or remediation or response costs to the extent arising out of or attributable to any violation of, or any remedial obligation under, any Environmental Law, or (ii) otherwise arising under or related to Environmental Laws. </w:t>
      </w:r>
    </w:p>
    <w:p>
      <w:pPr>
        <w:pStyle w:val="BodyTextFirstIndent"/>
        <w:bidi w:val="0"/>
        <w:rPr>
          <w:rFonts w:ascii="Times New Roman" w:hAnsi="Times New Roman"/>
        </w:rPr>
      </w:pPr>
      <w:r>
        <w:rPr/>
        <w:t>“</w:t>
      </w:r>
      <w:r>
        <w:rPr>
          <w:i/>
        </w:rPr>
        <w:t>ERISA</w:t>
      </w:r>
      <w:r>
        <w:rPr/>
        <w:t>” means the Employee Retirement Income Security Act of 1974, as amended, and the regulations promulgated thereunder.</w:t>
      </w:r>
    </w:p>
    <w:p>
      <w:pPr>
        <w:pStyle w:val="BodyTextFirstIndent"/>
        <w:bidi w:val="0"/>
        <w:rPr>
          <w:rFonts w:ascii="Times New Roman" w:hAnsi="Times New Roman"/>
        </w:rPr>
      </w:pPr>
      <w:r>
        <w:rPr>
          <w:strike/>
        </w:rPr>
        <w:t>“</w:t>
      </w:r>
      <w:r>
        <w:rPr>
          <w:strike/>
        </w:rPr>
        <w:t xml:space="preserve">Estimated Adjusted Purchase Price” is defined in Section 3.3. </w:t>
      </w:r>
    </w:p>
    <w:p>
      <w:pPr>
        <w:pStyle w:val="BodyTextFirstIndent"/>
        <w:bidi w:val="0"/>
        <w:rPr>
          <w:rFonts w:ascii="Times New Roman" w:hAnsi="Times New Roman"/>
        </w:rPr>
      </w:pPr>
      <w:r>
        <w:rPr/>
        <w:t>“</w:t>
      </w:r>
      <w:r>
        <w:rPr>
          <w:i/>
        </w:rPr>
        <w:t>Excluded Assets</w:t>
      </w:r>
      <w:r>
        <w:rPr/>
        <w:t xml:space="preserve">” is defined in </w:t>
      </w:r>
      <w:r>
        <w:rPr>
          <w:u w:val="single"/>
        </w:rPr>
        <w:t>Section 7.10</w:t>
      </w:r>
      <w:r>
        <w:rPr/>
        <w:t>.</w:t>
      </w:r>
    </w:p>
    <w:p>
      <w:pPr>
        <w:pStyle w:val="BodyTextFirstIndent"/>
        <w:bidi w:val="0"/>
        <w:rPr>
          <w:rFonts w:ascii="Times New Roman" w:hAnsi="Times New Roman"/>
        </w:rPr>
      </w:pPr>
      <w:r>
        <w:rPr>
          <w:i/>
        </w:rPr>
        <w:t>“</w:t>
      </w:r>
      <w:r>
        <w:rPr>
          <w:i/>
        </w:rPr>
        <w:t>Facility”</w:t>
      </w:r>
      <w:r>
        <w:rPr/>
        <w:t xml:space="preserve"> with respect to each of the LLCs, means the facility identified for such LLC in </w:t>
      </w:r>
      <w:r>
        <w:rPr>
          <w:u w:val="single"/>
        </w:rPr>
        <w:t>Exhibit A</w:t>
      </w:r>
      <w:r>
        <w:rPr/>
        <w:t>, and in each case all of the assets related thereto.</w:t>
      </w:r>
    </w:p>
    <w:p>
      <w:pPr>
        <w:pStyle w:val="BodyTextFirstIndent"/>
        <w:bidi w:val="0"/>
        <w:rPr>
          <w:rFonts w:ascii="Times New Roman" w:hAnsi="Times New Roman"/>
        </w:rPr>
      </w:pPr>
      <w:r>
        <w:rPr/>
        <w:t>“</w:t>
      </w:r>
      <w:r>
        <w:rPr>
          <w:i/>
        </w:rPr>
        <w:t>FERC</w:t>
      </w:r>
      <w:r>
        <w:rPr/>
        <w:t>” means the Federal Energy Regulatory Commission.</w:t>
      </w:r>
    </w:p>
    <w:p>
      <w:pPr>
        <w:pStyle w:val="BodyTextFirstIndent"/>
        <w:bidi w:val="0"/>
        <w:rPr>
          <w:rFonts w:ascii="Times New Roman" w:hAnsi="Times New Roman"/>
          <w:strike/>
        </w:rPr>
      </w:pPr>
      <w:r>
        <w:rPr>
          <w:strike/>
        </w:rPr>
        <w:t>“</w:t>
      </w:r>
      <w:r>
        <w:rPr>
          <w:strike/>
        </w:rPr>
        <w:t xml:space="preserve">Final Closing Statement” is defined in Section 3.4. </w:t>
      </w:r>
    </w:p>
    <w:p>
      <w:pPr>
        <w:pStyle w:val="BodyTextFirstIndent"/>
        <w:bidi w:val="0"/>
        <w:rPr>
          <w:rFonts w:ascii="Times New Roman" w:hAnsi="Times New Roman"/>
        </w:rPr>
      </w:pPr>
      <w:r>
        <w:rPr>
          <w:strike/>
        </w:rPr>
        <w:t>“</w:t>
      </w:r>
      <w:r>
        <w:rPr>
          <w:strike/>
        </w:rPr>
        <w:t xml:space="preserve">Final Settlement Date” is defined in Section 3.4. </w:t>
      </w:r>
    </w:p>
    <w:p>
      <w:pPr>
        <w:pStyle w:val="BodyTextFirstIndent"/>
        <w:bidi w:val="0"/>
        <w:rPr>
          <w:rFonts w:ascii="Times New Roman" w:hAnsi="Times New Roman"/>
        </w:rPr>
      </w:pPr>
      <w:r>
        <w:rPr/>
        <w:t xml:space="preserve"> “</w:t>
      </w:r>
      <w:r>
        <w:rPr>
          <w:i/>
        </w:rPr>
        <w:t>GAAP</w:t>
      </w:r>
      <w:r>
        <w:rPr/>
        <w:t>” means United States generally accepted accounting principles as in effect on the date of this Agreement.</w:t>
      </w:r>
    </w:p>
    <w:p>
      <w:pPr>
        <w:pStyle w:val="BodyTextFirstIndent"/>
        <w:bidi w:val="0"/>
        <w:rPr>
          <w:rFonts w:ascii="Times New Roman" w:hAnsi="Times New Roman"/>
        </w:rPr>
      </w:pPr>
      <w:r>
        <w:rPr/>
        <w:t>“</w:t>
      </w:r>
      <w:r>
        <w:rPr>
          <w:i/>
        </w:rPr>
        <w:t>Good Operating Practices</w:t>
      </w:r>
      <w:r>
        <w:rPr/>
        <w:t>” means, with respect to the Facilities, the practices, methods, and acts generally engaged in or approved by a significant portion of the independent electric power industry in the United States for similarly situated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the Project Documents, the Transferred Contracts, and the other contracts and agreements affecting the operation of the Facilities.  Good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BodyTextFirstIndent"/>
        <w:bidi w:val="0"/>
        <w:rPr>
          <w:rFonts w:ascii="Times New Roman" w:hAnsi="Times New Roman"/>
        </w:rPr>
      </w:pPr>
      <w:r>
        <w:rPr/>
        <w:t>“</w:t>
      </w:r>
      <w:r>
        <w:rPr>
          <w:i/>
        </w:rPr>
        <w:t>Governmental Approvals</w:t>
      </w:r>
      <w:r>
        <w:rPr/>
        <w:t>” means all consents and approvals of Governmental Authorities, including those required under the HSR Act or from the FERC and the Securities and Exchange Commission, that reasonably may be deemed necessary so that the consummation of the transactions contemplated hereby will be in compliance with applicable Laws.</w:t>
      </w:r>
    </w:p>
    <w:p>
      <w:pPr>
        <w:pStyle w:val="BodyTextFirstIndent"/>
        <w:bidi w:val="0"/>
        <w:rPr>
          <w:rFonts w:ascii="Times New Roman" w:hAnsi="Times New Roman"/>
        </w:rPr>
      </w:pPr>
      <w:r>
        <w:rPr/>
        <w:t>“</w:t>
      </w:r>
      <w:r>
        <w:rPr>
          <w:i/>
        </w:rPr>
        <w:t>Governmental Authority</w:t>
      </w:r>
      <w:r>
        <w:rPr/>
        <w:t>” means (i) the United States of America, (ii) any state, county, municipality, or other governmental subdivision within the United States of America, and (iii) any court or any governmental department, commission, board, bureau, agency, or other instrumentality of the United States of America or of any state, county, municipality, or other governmental subdivision within the United States of America.</w:t>
      </w:r>
    </w:p>
    <w:p>
      <w:pPr>
        <w:pStyle w:val="BodyTextFirstIndent"/>
        <w:bidi w:val="0"/>
        <w:rPr>
          <w:rFonts w:ascii="Times New Roman" w:hAnsi="Times New Roman"/>
        </w:rPr>
      </w:pPr>
      <w:r>
        <w:rPr/>
        <w:t>“</w:t>
      </w:r>
      <w:r>
        <w:rPr>
          <w:i/>
        </w:rPr>
        <w:t>Guarantees</w:t>
      </w:r>
      <w:r>
        <w:rPr/>
        <w:t xml:space="preserve">” means the guarantees, letters of credit, bonds, and other credit assurances of a comparable nature of Seller or any of its Affiliates (other than the LLCs) for the benefit of any LLC and listed or described on </w:t>
      </w:r>
      <w:r>
        <w:rPr>
          <w:u w:val="single"/>
        </w:rPr>
        <w:t>Schedule 7.11</w:t>
      </w:r>
      <w:r>
        <w:rPr/>
        <w:t>.</w:t>
      </w:r>
    </w:p>
    <w:p>
      <w:pPr>
        <w:pStyle w:val="BodyTextFirstIndent"/>
        <w:bidi w:val="0"/>
        <w:rPr>
          <w:rFonts w:ascii="Times New Roman" w:hAnsi="Times New Roman"/>
        </w:rPr>
      </w:pPr>
      <w:r>
        <w:rPr/>
        <w:t>“</w:t>
      </w:r>
      <w:r>
        <w:rPr>
          <w:i/>
        </w:rPr>
        <w:t>HSR Act</w:t>
      </w:r>
      <w:r>
        <w:rPr/>
        <w:t xml:space="preserve">” means the Hart-Scott-Rodino Antitrust Improvements Act of 1976 and the rules and regulations adopted pursuant thereto. </w:t>
      </w:r>
    </w:p>
    <w:p>
      <w:pPr>
        <w:pStyle w:val="BodyTextFirstIndent"/>
        <w:bidi w:val="0"/>
        <w:rPr>
          <w:rFonts w:ascii="Times New Roman" w:hAnsi="Times New Roman"/>
        </w:rPr>
      </w:pPr>
      <w:r>
        <w:rPr/>
        <w:t>“</w:t>
      </w:r>
      <w:r>
        <w:rPr>
          <w:i/>
        </w:rPr>
        <w:t>Indemnified Party</w:t>
      </w:r>
      <w:r>
        <w:rPr/>
        <w:t xml:space="preserve">” is defined in </w:t>
      </w:r>
      <w:r>
        <w:rPr>
          <w:u w:val="single"/>
        </w:rPr>
        <w:t xml:space="preserve">Section </w:t>
      </w:r>
      <w:r>
        <w:rPr>
          <w:strike/>
          <w:u w:val="single"/>
        </w:rPr>
        <w:t>11.5</w:t>
      </w:r>
      <w:r>
        <w:rPr>
          <w:u w:val="single"/>
        </w:rPr>
        <w:t xml:space="preserve"> </w:t>
      </w:r>
      <w:r>
        <w:rPr>
          <w:b/>
          <w:u w:val="double"/>
        </w:rPr>
        <w:t>11.3</w:t>
      </w:r>
      <w:r>
        <w:rPr/>
        <w:t>.</w:t>
      </w:r>
    </w:p>
    <w:p>
      <w:pPr>
        <w:pStyle w:val="BodyTextFirstIndent"/>
        <w:bidi w:val="0"/>
        <w:rPr>
          <w:rFonts w:ascii="Times New Roman" w:hAnsi="Times New Roman"/>
        </w:rPr>
      </w:pPr>
      <w:r>
        <w:rPr/>
        <w:t>“</w:t>
      </w:r>
      <w:r>
        <w:rPr>
          <w:i/>
        </w:rPr>
        <w:t>Indemnifying Party</w:t>
      </w:r>
      <w:r>
        <w:rPr/>
        <w:t xml:space="preserve">” is defined in </w:t>
      </w:r>
      <w:r>
        <w:rPr>
          <w:u w:val="single"/>
        </w:rPr>
        <w:t xml:space="preserve">Section </w:t>
      </w:r>
      <w:r>
        <w:rPr>
          <w:strike/>
          <w:u w:val="single"/>
        </w:rPr>
        <w:t>11.5</w:t>
      </w:r>
      <w:r>
        <w:rPr>
          <w:u w:val="single"/>
        </w:rPr>
        <w:t xml:space="preserve"> </w:t>
      </w:r>
      <w:r>
        <w:rPr>
          <w:b/>
          <w:u w:val="double"/>
        </w:rPr>
        <w:t>11.3</w:t>
      </w:r>
      <w:r>
        <w:rPr/>
        <w:t>.</w:t>
      </w:r>
    </w:p>
    <w:p>
      <w:pPr>
        <w:pStyle w:val="BodyTextFirstIndent"/>
        <w:bidi w:val="0"/>
        <w:rPr>
          <w:rFonts w:ascii="Times New Roman" w:hAnsi="Times New Roman"/>
        </w:rPr>
      </w:pPr>
      <w:r>
        <w:rPr>
          <w:strike/>
        </w:rPr>
        <w:t>“</w:t>
      </w:r>
      <w:r>
        <w:rPr>
          <w:strike/>
        </w:rPr>
        <w:t>Interconnection Agreement” is defined in Section 3.1.</w:t>
      </w:r>
    </w:p>
    <w:p>
      <w:pPr>
        <w:pStyle w:val="BodyTextFirstIndent"/>
        <w:bidi w:val="0"/>
        <w:rPr>
          <w:rFonts w:ascii="Times New Roman" w:hAnsi="Times New Roman"/>
        </w:rPr>
      </w:pPr>
      <w:r>
        <w:rPr/>
        <w:t xml:space="preserve"> “</w:t>
      </w:r>
      <w:r>
        <w:rPr>
          <w:i/>
        </w:rPr>
        <w:t>Interest Rate</w:t>
      </w:r>
      <w:r>
        <w:rPr/>
        <w:t xml:space="preserve">” means a rate of interest equal to the lesser of (i) the LIBOR Rate or (ii) the maximum rate of interest from time to time allowed by law. </w:t>
      </w:r>
    </w:p>
    <w:p>
      <w:pPr>
        <w:pStyle w:val="BodyTextFirstIndent"/>
        <w:bidi w:val="0"/>
        <w:rPr>
          <w:rFonts w:ascii="Times New Roman" w:hAnsi="Times New Roman"/>
        </w:rPr>
      </w:pPr>
      <w:r>
        <w:rPr/>
        <w:t>“</w:t>
      </w:r>
      <w:r>
        <w:rPr>
          <w:i/>
        </w:rPr>
        <w:t>Knowledge</w:t>
      </w:r>
      <w:r>
        <w:rPr/>
        <w:t xml:space="preserve">” means, with respect to Seller, the actual knowledge (or any knowledge that would have resulted from a reasonable investigation or inquiry) of </w:t>
      </w:r>
      <w:r>
        <w:rPr>
          <w:b/>
          <w:strike/>
        </w:rPr>
        <w:t>Seller or any of its Affiliates</w:t>
      </w:r>
      <w:r>
        <w:rPr>
          <w:b/>
          <w:u w:val="double"/>
        </w:rPr>
        <w:t>[listing of all plant developers, plant managers, asset managers, environmental, in-house legal, LLC officers and CSFB advisors involved in this transaction]</w:t>
      </w:r>
      <w:r>
        <w:rPr/>
        <w:t xml:space="preserve"> of any fact, circumstance, or condition.</w:t>
      </w:r>
    </w:p>
    <w:p>
      <w:pPr>
        <w:pStyle w:val="BodyTextFirstIndent"/>
        <w:bidi w:val="0"/>
        <w:rPr>
          <w:rFonts w:ascii="Times New Roman" w:hAnsi="Times New Roman"/>
        </w:rPr>
      </w:pPr>
      <w:r>
        <w:rPr/>
        <w:t>“</w:t>
      </w:r>
      <w:r>
        <w:rPr>
          <w:i/>
        </w:rPr>
        <w:t>Law</w:t>
      </w:r>
      <w:r>
        <w:rPr/>
        <w:t>” means any applicable statute, law (including common law), ordinance, regulation, rule, ruling, order, writ, injunction, decree, or other official act of or by any Governmental Authority.</w:t>
      </w:r>
    </w:p>
    <w:p>
      <w:pPr>
        <w:pStyle w:val="BodyTextFirstIndent"/>
        <w:bidi w:val="0"/>
        <w:rPr>
          <w:rFonts w:ascii="Times New Roman" w:hAnsi="Times New Roman"/>
        </w:rPr>
      </w:pPr>
      <w:r>
        <w:rPr/>
        <w:t>“</w:t>
      </w:r>
      <w:r>
        <w:rPr>
          <w:i/>
        </w:rPr>
        <w:t>Leases</w:t>
      </w:r>
      <w:r>
        <w:rPr/>
        <w:t xml:space="preserve">” is defined in </w:t>
      </w:r>
      <w:r>
        <w:rPr>
          <w:u w:val="single"/>
        </w:rPr>
        <w:t>Section 4.1(t)</w:t>
      </w:r>
      <w:r>
        <w:rPr/>
        <w:t>.</w:t>
      </w:r>
    </w:p>
    <w:p>
      <w:pPr>
        <w:pStyle w:val="BodyTextFirstIndent"/>
        <w:bidi w:val="0"/>
        <w:rPr>
          <w:rFonts w:ascii="Times New Roman" w:hAnsi="Times New Roman"/>
        </w:rPr>
      </w:pPr>
      <w:r>
        <w:rPr/>
        <w:t>“</w:t>
      </w:r>
      <w:r>
        <w:rPr>
          <w:i/>
        </w:rPr>
        <w:t>LIBOR Rate</w:t>
      </w:r>
      <w:r>
        <w:rPr/>
        <w:t>” means, for each calendar month, (i) the rate per annum (rounded upward, if not an integral multiple of 1/100 of 1%, to the nearest 1/100 of 1% per annum) appearing on Telerate Page 3750 (or any successor page) as the London interbank offered rate for deposits in United States dollars at approximately 11:00 a.m. (London time) two Business Days before the first day of such calendar month for a term comparable thereto; (ii) if for any reason the rate specified in clause (i) of this definition does not so appear on Telerate Page 3750 (or any successor page), the rate per annum (rounded upward, if not an integral multiple of 1/100 of 1%, to the nearest 1/100 of 1% per annum) appearing on Reuters Screen LIBO page (or any successor page) as the London interbank offered rate for deposits in United States dollars at approximately 11:00 a.m. (London time) two Business Days before the first day of such calendar month for a term comparable thereto; provided, however, if more than one rate is specified on Reuters Screen LIBO page (or any successor page), the applicable rate shall be the arithmetic mean of all such rates; and (iii) if the rate specified in clause (i) of this definition does not so appear on Telerate Page 3750 (or any successor page) and if no rate specified in clause (ii) of this definition so appears on Reuters Screen LIBO page (or any successor page), the interest rate per annum (rounded upward to the nearest whole multiple of 1/16 of 1% per annum if such rate is not such a multiple) equal to the rate per annum at which deposits in United States dollars are offered by the principal office of Citibank, N.A. in London, England to prime banks in the London interbank market at 11:00 A.M. (London time) two Business Days before the first day of such calendar month.</w:t>
      </w:r>
    </w:p>
    <w:p>
      <w:pPr>
        <w:pStyle w:val="BodyTextFirstIndent"/>
        <w:bidi w:val="0"/>
        <w:rPr>
          <w:rFonts w:ascii="Times New Roman" w:hAnsi="Times New Roman"/>
        </w:rPr>
      </w:pPr>
      <w:r>
        <w:rPr/>
        <w:t>“</w:t>
      </w:r>
      <w:r>
        <w:rPr>
          <w:i/>
        </w:rPr>
        <w:t>Lien</w:t>
      </w:r>
      <w:r>
        <w:rPr/>
        <w:t>” means any lien, security interest, charge, claim, mortgage, deed of trust, option, warrant, purchase right, lease, or other encumbrance.</w:t>
      </w:r>
    </w:p>
    <w:p>
      <w:pPr>
        <w:pStyle w:val="BodyTextFirstIndent"/>
        <w:bidi w:val="0"/>
        <w:rPr>
          <w:rFonts w:ascii="Times New Roman" w:hAnsi="Times New Roman"/>
        </w:rPr>
      </w:pPr>
      <w:r>
        <w:rPr/>
        <w:t>“</w:t>
      </w:r>
      <w:r>
        <w:rPr>
          <w:i/>
        </w:rPr>
        <w:t>LLC Interests</w:t>
      </w:r>
      <w:r>
        <w:rPr/>
        <w:t>” is defined in the Recital.</w:t>
      </w:r>
    </w:p>
    <w:p>
      <w:pPr>
        <w:pStyle w:val="BodyTextFirstIndent"/>
        <w:bidi w:val="0"/>
        <w:rPr>
          <w:rFonts w:ascii="Times New Roman" w:hAnsi="Times New Roman"/>
        </w:rPr>
      </w:pPr>
      <w:r>
        <w:rPr/>
        <w:t>“</w:t>
      </w:r>
      <w:r>
        <w:rPr>
          <w:i/>
        </w:rPr>
        <w:t>LLCs</w:t>
      </w:r>
      <w:r>
        <w:rPr/>
        <w:t>” is defined in the Recital.</w:t>
      </w:r>
    </w:p>
    <w:p>
      <w:pPr>
        <w:pStyle w:val="BodyTextFirstIndent"/>
        <w:bidi w:val="0"/>
        <w:rPr>
          <w:rFonts w:ascii="Times New Roman" w:hAnsi="Times New Roman"/>
        </w:rPr>
      </w:pPr>
      <w:r>
        <w:rPr/>
        <w:t>“</w:t>
      </w:r>
      <w:r>
        <w:rPr>
          <w:i/>
        </w:rPr>
        <w:t>Losses</w:t>
      </w:r>
      <w:r>
        <w:rPr/>
        <w:t xml:space="preserve">” means any and all claims, liabilities, losses, causes of action, fines, penalties, litigation, lawsuits, administrative proceedings, administrative investigations, costs, and expenses, including reasonable attorneys’ fees, court costs, and other costs of suit. </w:t>
      </w:r>
    </w:p>
    <w:p>
      <w:pPr>
        <w:pStyle w:val="BodyTextFirstIndent"/>
        <w:bidi w:val="0"/>
        <w:rPr>
          <w:rFonts w:ascii="Times New Roman" w:hAnsi="Times New Roman"/>
        </w:rPr>
      </w:pPr>
      <w:r>
        <w:rPr/>
        <w:t>“</w:t>
      </w:r>
      <w:r>
        <w:rPr>
          <w:i/>
        </w:rPr>
        <w:t>Material Casualty Loss</w:t>
      </w:r>
      <w:r>
        <w:rPr/>
        <w:t xml:space="preserve">” is defined in </w:t>
      </w:r>
      <w:r>
        <w:rPr>
          <w:u w:val="single"/>
        </w:rPr>
        <w:t>Section 7.9</w:t>
      </w:r>
      <w:r>
        <w:rPr/>
        <w:t>.</w:t>
      </w:r>
    </w:p>
    <w:p>
      <w:pPr>
        <w:pStyle w:val="BodyTextFirstIndent"/>
        <w:bidi w:val="0"/>
        <w:rPr>
          <w:rFonts w:ascii="Times New Roman" w:hAnsi="Times New Roman"/>
        </w:rPr>
      </w:pPr>
      <w:r>
        <w:rPr/>
        <w:t>“</w:t>
      </w:r>
      <w:r>
        <w:rPr>
          <w:i/>
        </w:rPr>
        <w:t>Non-Material Casualty Loss</w:t>
      </w:r>
      <w:r>
        <w:rPr/>
        <w:t xml:space="preserve">” is defined in </w:t>
      </w:r>
      <w:r>
        <w:rPr>
          <w:u w:val="single"/>
        </w:rPr>
        <w:t>Section 7.9</w:t>
      </w:r>
      <w:r>
        <w:rPr/>
        <w:t>.</w:t>
      </w:r>
    </w:p>
    <w:p>
      <w:pPr>
        <w:pStyle w:val="BodyTextFirstIndent"/>
        <w:bidi w:val="0"/>
        <w:rPr>
          <w:rFonts w:ascii="Times New Roman" w:hAnsi="Times New Roman"/>
        </w:rPr>
      </w:pPr>
      <w:r>
        <w:rPr>
          <w:strike/>
        </w:rPr>
        <w:t>“</w:t>
      </w:r>
      <w:r>
        <w:rPr>
          <w:strike/>
        </w:rPr>
        <w:t xml:space="preserve">Notice of Disagreement” is defined in Section 3.4. </w:t>
      </w:r>
    </w:p>
    <w:p>
      <w:pPr>
        <w:pStyle w:val="BodyTextFirstIndent"/>
        <w:bidi w:val="0"/>
        <w:rPr>
          <w:rFonts w:ascii="Times New Roman" w:hAnsi="Times New Roman"/>
        </w:rPr>
      </w:pPr>
      <w:r>
        <w:rPr/>
        <w:t xml:space="preserve"> “</w:t>
      </w:r>
      <w:r>
        <w:rPr>
          <w:i/>
        </w:rPr>
        <w:t>Other Contracts</w:t>
      </w:r>
      <w:r>
        <w:rPr/>
        <w:t xml:space="preserve">” means the contracts and agreements to which any of the LLCs is a party or by which any of the LLCs or its Facility is bound, other than the Project Documents, that have been made available to Buyer on DealBench, the online data room operated by an Affiliate of Seller for the transactions contemplated under this Agreement.  </w:t>
      </w:r>
    </w:p>
    <w:p>
      <w:pPr>
        <w:pStyle w:val="BodyTextFirstIndent"/>
        <w:bidi w:val="0"/>
        <w:rPr>
          <w:rFonts w:ascii="Times New Roman" w:hAnsi="Times New Roman"/>
          <w:u w:val="single"/>
        </w:rPr>
      </w:pPr>
      <w:r>
        <w:rPr/>
        <w:t>“</w:t>
      </w:r>
      <w:r>
        <w:rPr>
          <w:i/>
        </w:rPr>
        <w:t>Permits</w:t>
      </w:r>
      <w:r>
        <w:rPr/>
        <w:t xml:space="preserve">” is defined in </w:t>
      </w:r>
      <w:r>
        <w:rPr>
          <w:u w:val="single"/>
        </w:rPr>
        <w:t>Section 4.1(u).</w:t>
      </w:r>
    </w:p>
    <w:p>
      <w:pPr>
        <w:pStyle w:val="BodyTextFirstIndent"/>
        <w:bidi w:val="0"/>
        <w:rPr>
          <w:rFonts w:ascii="Times New Roman" w:hAnsi="Times New Roman"/>
        </w:rPr>
      </w:pPr>
      <w:r>
        <w:rPr/>
        <w:t>“</w:t>
      </w:r>
      <w:r>
        <w:rPr>
          <w:i/>
        </w:rPr>
        <w:t>Person</w:t>
      </w:r>
      <w:r>
        <w:rPr/>
        <w:t>” means any Governmental Authority or any individual, firm, partnership, corporation, limited liability company, joint venture, trust, unincorporated organization or other entity or organization.</w:t>
      </w:r>
    </w:p>
    <w:p>
      <w:pPr>
        <w:pStyle w:val="BodyTextFirstIndent"/>
        <w:bidi w:val="0"/>
        <w:rPr>
          <w:rFonts w:ascii="Times New Roman" w:hAnsi="Times New Roman"/>
        </w:rPr>
      </w:pPr>
      <w:r>
        <w:rPr/>
        <w:t>“</w:t>
      </w:r>
      <w:r>
        <w:rPr>
          <w:i/>
        </w:rPr>
        <w:t>Personal Property</w:t>
      </w:r>
      <w:r>
        <w:rPr/>
        <w:t xml:space="preserve">” is defined in </w:t>
      </w:r>
      <w:r>
        <w:rPr>
          <w:u w:val="single"/>
        </w:rPr>
        <w:t>Section 4.1(r)</w:t>
      </w:r>
      <w:r>
        <w:rPr/>
        <w:t xml:space="preserve">.  </w:t>
      </w:r>
    </w:p>
    <w:p>
      <w:pPr>
        <w:pStyle w:val="BodyTextFirstIndent"/>
        <w:bidi w:val="0"/>
        <w:rPr>
          <w:rFonts w:ascii="Times New Roman" w:hAnsi="Times New Roman"/>
        </w:rPr>
      </w:pPr>
      <w:r>
        <w:rPr/>
        <w:t>“</w:t>
      </w:r>
      <w:r>
        <w:rPr>
          <w:i/>
        </w:rPr>
        <w:t>Project Documents</w:t>
      </w:r>
      <w:r>
        <w:rPr/>
        <w:t xml:space="preserve">” is defined in </w:t>
      </w:r>
      <w:r>
        <w:rPr>
          <w:u w:val="single"/>
        </w:rPr>
        <w:t>Section 4.1(m)</w:t>
      </w:r>
      <w:r>
        <w:rPr/>
        <w:t>.</w:t>
      </w:r>
    </w:p>
    <w:p>
      <w:pPr>
        <w:pStyle w:val="BodyTextFirstIndent"/>
        <w:bidi w:val="0"/>
        <w:rPr>
          <w:rFonts w:ascii="Times New Roman" w:hAnsi="Times New Roman"/>
        </w:rPr>
      </w:pPr>
      <w:r>
        <w:rPr/>
        <w:t>“</w:t>
      </w:r>
      <w:r>
        <w:rPr>
          <w:i/>
        </w:rPr>
        <w:t>Purchase Price</w:t>
      </w:r>
      <w:r>
        <w:rPr/>
        <w:t xml:space="preserve">” is defined in </w:t>
      </w:r>
      <w:r>
        <w:rPr>
          <w:u w:val="single"/>
        </w:rPr>
        <w:t>Section 3.1</w:t>
      </w:r>
      <w:r>
        <w:rPr/>
        <w:t>.</w:t>
      </w:r>
    </w:p>
    <w:p>
      <w:pPr>
        <w:pStyle w:val="BodyTextFirstIndent"/>
        <w:bidi w:val="0"/>
        <w:rPr>
          <w:rFonts w:ascii="Times New Roman" w:hAnsi="Times New Roman"/>
        </w:rPr>
      </w:pPr>
      <w:r>
        <w:rPr/>
        <w:t>“</w:t>
      </w:r>
      <w:r>
        <w:rPr>
          <w:i/>
        </w:rPr>
        <w:t>Real Property</w:t>
      </w:r>
      <w:r>
        <w:rPr/>
        <w:t xml:space="preserve">” is defined in </w:t>
      </w:r>
      <w:r>
        <w:rPr>
          <w:u w:val="single"/>
        </w:rPr>
        <w:t>Section 4.1(s)</w:t>
      </w:r>
      <w:r>
        <w:rPr/>
        <w:t>.</w:t>
      </w:r>
    </w:p>
    <w:p>
      <w:pPr>
        <w:pStyle w:val="BodyTextFirstIndent"/>
        <w:bidi w:val="0"/>
        <w:rPr>
          <w:rFonts w:ascii="Times New Roman" w:hAnsi="Times New Roman"/>
        </w:rPr>
      </w:pPr>
      <w:r>
        <w:rPr/>
        <w:t>“</w:t>
      </w:r>
      <w:r>
        <w:rPr>
          <w:i/>
        </w:rPr>
        <w:t>Records</w:t>
      </w:r>
      <w:r>
        <w:rPr/>
        <w:t xml:space="preserve">” means any and all of the books, records, contracts, agreements and files relating to the LLCs existing on the Closing Date, including computer records and electronic copies of such information (but excluding electronic mail and other computer based communications), whether maintained by Seller, the LLCs, or Buyer or, in each case, its Affiliate. </w:t>
      </w:r>
    </w:p>
    <w:p>
      <w:pPr>
        <w:pStyle w:val="BodyTextFirstIndent"/>
        <w:bidi w:val="0"/>
        <w:rPr>
          <w:rFonts w:ascii="Times New Roman" w:hAnsi="Times New Roman"/>
        </w:rPr>
      </w:pPr>
      <w:r>
        <w:rPr>
          <w:i/>
        </w:rPr>
        <w:t>“</w:t>
      </w:r>
      <w:r>
        <w:rPr>
          <w:i/>
        </w:rPr>
        <w:t>Schedules”</w:t>
      </w:r>
      <w:r>
        <w:rPr/>
        <w:t xml:space="preserve"> means Seller’s disclosure schedules attached to this Agreement.</w:t>
      </w:r>
    </w:p>
    <w:p>
      <w:pPr>
        <w:pStyle w:val="BodyTextFirstIndent"/>
        <w:bidi w:val="0"/>
        <w:rPr>
          <w:rFonts w:ascii="Times New Roman" w:hAnsi="Times New Roman"/>
        </w:rPr>
      </w:pPr>
      <w:r>
        <w:rPr/>
        <w:t>“</w:t>
      </w:r>
      <w:r>
        <w:rPr>
          <w:i/>
        </w:rPr>
        <w:t>Securities Act</w:t>
      </w:r>
      <w:r>
        <w:rPr/>
        <w:t xml:space="preserve">” is defined in </w:t>
      </w:r>
      <w:r>
        <w:rPr>
          <w:u w:val="single"/>
        </w:rPr>
        <w:t xml:space="preserve">Section </w:t>
      </w:r>
      <w:r>
        <w:rPr>
          <w:strike/>
          <w:u w:val="single"/>
        </w:rPr>
        <w:t>4.2(h)</w:t>
      </w:r>
      <w:r>
        <w:rPr>
          <w:u w:val="single"/>
        </w:rPr>
        <w:t xml:space="preserve"> </w:t>
      </w:r>
      <w:r>
        <w:rPr>
          <w:b/>
          <w:u w:val="double"/>
        </w:rPr>
        <w:t>4.2(i)</w:t>
      </w:r>
      <w:r>
        <w:rPr/>
        <w:t>.</w:t>
      </w:r>
    </w:p>
    <w:p>
      <w:pPr>
        <w:pStyle w:val="BodyTextFirstIndent"/>
        <w:bidi w:val="0"/>
        <w:rPr>
          <w:rFonts w:ascii="Times New Roman" w:hAnsi="Times New Roman"/>
        </w:rPr>
      </w:pPr>
      <w:r>
        <w:rPr/>
        <w:t>“</w:t>
      </w:r>
      <w:r>
        <w:rPr>
          <w:i/>
        </w:rPr>
        <w:t>Seller</w:t>
      </w:r>
      <w:r>
        <w:rPr/>
        <w:t>” is defined in the preamble.</w:t>
      </w:r>
    </w:p>
    <w:p>
      <w:pPr>
        <w:pStyle w:val="BodyTextFirstIndent"/>
        <w:bidi w:val="0"/>
        <w:rPr>
          <w:rFonts w:ascii="Times New Roman" w:hAnsi="Times New Roman"/>
        </w:rPr>
      </w:pPr>
      <w:r>
        <w:rPr/>
        <w:t>“</w:t>
      </w:r>
      <w:r>
        <w:rPr>
          <w:i/>
        </w:rPr>
        <w:t>Seller Indemnified Parties</w:t>
      </w:r>
      <w:r>
        <w:rPr/>
        <w:t xml:space="preserve">” is defined in </w:t>
      </w:r>
      <w:r>
        <w:rPr>
          <w:u w:val="single"/>
        </w:rPr>
        <w:t>Section 11.1</w:t>
      </w:r>
      <w:r>
        <w:rPr/>
        <w:t>.</w:t>
      </w:r>
    </w:p>
    <w:p>
      <w:pPr>
        <w:pStyle w:val="BodyTextFirstIndent"/>
        <w:bidi w:val="0"/>
        <w:rPr>
          <w:rFonts w:ascii="Times New Roman" w:hAnsi="Times New Roman"/>
        </w:rPr>
      </w:pPr>
      <w:r>
        <w:rPr/>
        <w:t>“</w:t>
      </w:r>
      <w:r>
        <w:rPr>
          <w:i/>
        </w:rPr>
        <w:t>Tax</w:t>
      </w:r>
      <w:r>
        <w:rPr/>
        <w:t>” or “</w:t>
      </w:r>
      <w:r>
        <w:rPr>
          <w:i/>
        </w:rPr>
        <w:t>Taxes</w:t>
      </w:r>
      <w:r>
        <w:rPr/>
        <w:t>” means any and all taxes, including any interest, penalties, or other additions to tax that may become payable in respect thereof, imposed by any federal, state, local, or foreign government or any agency or political subdivision of any such government, which taxes shall include, without limiting the generality of the foregoing, all income or profits taxes, payroll and employee withholding taxes, unemployment insurance taxes, social security taxes, severance taxes, license charges, taxes on stock, sales and use taxes, ad valorem taxes, excise taxes, franchise taxes, gross receipts taxes, business license taxes, occupation taxes, real and personal property taxes, stamp taxes, environmental taxes, transfer taxes, workers’ compensation, and other obligations of the same or of a similar nature to any of the foregoing.</w:t>
      </w:r>
    </w:p>
    <w:p>
      <w:pPr>
        <w:pStyle w:val="BodyTextFirstIndent"/>
        <w:bidi w:val="0"/>
        <w:rPr>
          <w:rFonts w:ascii="Times New Roman" w:hAnsi="Times New Roman"/>
        </w:rPr>
      </w:pPr>
      <w:r>
        <w:rPr/>
        <w:t>“</w:t>
      </w:r>
      <w:r>
        <w:rPr>
          <w:i/>
        </w:rPr>
        <w:t>Tax Proceeding</w:t>
      </w:r>
      <w:r>
        <w:rPr/>
        <w:t xml:space="preserve">” is defined in </w:t>
      </w:r>
      <w:r>
        <w:rPr>
          <w:u w:val="single"/>
        </w:rPr>
        <w:t>Section 6.5</w:t>
      </w:r>
      <w:r>
        <w:rPr/>
        <w:t>.</w:t>
      </w:r>
    </w:p>
    <w:p>
      <w:pPr>
        <w:pStyle w:val="BodyTextFirstIndent"/>
        <w:bidi w:val="0"/>
        <w:rPr>
          <w:rFonts w:ascii="Times New Roman" w:hAnsi="Times New Roman"/>
        </w:rPr>
      </w:pPr>
      <w:r>
        <w:rPr/>
        <w:t>“</w:t>
      </w:r>
      <w:r>
        <w:rPr>
          <w:i/>
        </w:rPr>
        <w:t>Tax Return</w:t>
      </w:r>
      <w:r>
        <w:rPr/>
        <w:t>” means any and all returns, reports, declarations, statements, bills, schedules, claims for refund, or written information of or with respect to any Tax which is required to be supplied to any taxing authority, including any schedule or attachment thereto, and including any amendment thereof.</w:t>
      </w:r>
    </w:p>
    <w:p>
      <w:pPr>
        <w:pStyle w:val="BodyTextFirstIndent"/>
        <w:bidi w:val="0"/>
        <w:rPr>
          <w:rFonts w:ascii="Times New Roman" w:hAnsi="Times New Roman"/>
        </w:rPr>
      </w:pPr>
      <w:r>
        <w:rPr/>
        <w:t>“</w:t>
      </w:r>
      <w:r>
        <w:rPr>
          <w:i/>
        </w:rPr>
        <w:t>Transfer Taxes</w:t>
      </w:r>
      <w:r>
        <w:rPr/>
        <w:t>” means all transfer Taxes (excluding Taxes measured by net income), including without limitation sales, use, excise (including excise Taxes on petroleum, products of petroleum, petrochemicals and other taxable substances), stock, stamp, documentary, filing, recording, permit, license, authorization and similar Taxes, filing fees and similar charges.</w:t>
      </w:r>
    </w:p>
    <w:p>
      <w:pPr>
        <w:pStyle w:val="BodyTextFirstIndent"/>
        <w:bidi w:val="0"/>
        <w:rPr>
          <w:rFonts w:ascii="Times New Roman" w:hAnsi="Times New Roman"/>
        </w:rPr>
      </w:pPr>
      <w:r>
        <w:rPr/>
        <w:t>“</w:t>
      </w:r>
      <w:r>
        <w:rPr>
          <w:i/>
        </w:rPr>
        <w:t>Transferred Contracts</w:t>
      </w:r>
      <w:r>
        <w:rPr/>
        <w:t xml:space="preserve">” is defined in </w:t>
      </w:r>
      <w:r>
        <w:rPr>
          <w:u w:val="single"/>
        </w:rPr>
        <w:t>Section 7.1(d)</w:t>
      </w:r>
      <w:r>
        <w:rPr/>
        <w:t>.</w:t>
      </w:r>
    </w:p>
    <w:p>
      <w:pPr>
        <w:pStyle w:val="Heading2"/>
        <w:numPr>
          <w:ilvl w:val="1"/>
          <w:numId w:val="16"/>
        </w:numPr>
        <w:bidi w:val="0"/>
        <w:ind w:firstLine="720" w:start="0" w:end="0"/>
        <w:outlineLvl w:val="1"/>
        <w:rPr>
          <w:rFonts w:ascii="Times New Roman" w:hAnsi="Times New Roman"/>
        </w:rPr>
      </w:pPr>
      <w:r>
        <w:rPr>
          <w:u w:val="single"/>
        </w:rPr>
        <w:t>References, Gender, Number</w:t>
      </w:r>
      <w:r>
        <w:rPr/>
        <w:t>.  All references in this Agreement to an “</w:t>
      </w:r>
      <w:r>
        <w:rPr>
          <w:rStyle w:val="Emphasis"/>
          <w:lang w:val="en-US" w:eastAsia="en-US"/>
        </w:rPr>
        <w:t>Article</w:t>
      </w:r>
      <w:r>
        <w:rPr/>
        <w:t>,” “</w:t>
      </w:r>
      <w:r>
        <w:rPr>
          <w:rStyle w:val="Emphasis"/>
          <w:lang w:val="en-US" w:eastAsia="en-US"/>
        </w:rPr>
        <w:t>Section</w:t>
      </w:r>
      <w:r>
        <w:rPr/>
        <w:t>” or “</w:t>
      </w:r>
      <w:r>
        <w:rPr>
          <w:rStyle w:val="Emphasis"/>
          <w:lang w:val="en-US" w:eastAsia="en-US"/>
        </w:rPr>
        <w:t>subsection</w:t>
      </w:r>
      <w:r>
        <w:rPr/>
        <w:t>” shall be to an Article, Section, or subsection of this Agreement, unless the context requires otherwise.  Unless the context otherwise requires, the words “</w:t>
      </w:r>
      <w:r>
        <w:rPr>
          <w:rStyle w:val="Emphasis"/>
          <w:lang w:val="en-US" w:eastAsia="en-US"/>
        </w:rPr>
        <w:t>this Agreement</w:t>
      </w:r>
      <w:r>
        <w:rPr/>
        <w:t>,” “</w:t>
      </w:r>
      <w:r>
        <w:rPr>
          <w:rStyle w:val="Emphasis"/>
          <w:lang w:val="en-US" w:eastAsia="en-US"/>
        </w:rPr>
        <w:t>hereof</w:t>
      </w:r>
      <w:r>
        <w:rPr/>
        <w:t>,” “</w:t>
      </w:r>
      <w:r>
        <w:rPr>
          <w:rStyle w:val="Emphasis"/>
          <w:lang w:val="en-US" w:eastAsia="en-US"/>
        </w:rPr>
        <w:t>hereunder</w:t>
      </w:r>
      <w:r>
        <w:rPr/>
        <w:t>,” “</w:t>
      </w:r>
      <w:r>
        <w:rPr>
          <w:rStyle w:val="Emphasis"/>
          <w:lang w:val="en-US" w:eastAsia="en-US"/>
        </w:rPr>
        <w:t>herein</w:t>
      </w:r>
      <w:r>
        <w:rPr/>
        <w:t>,” “</w:t>
      </w:r>
      <w:r>
        <w:rPr>
          <w:rStyle w:val="Emphasis"/>
          <w:lang w:val="en-US" w:eastAsia="en-US"/>
        </w:rPr>
        <w:t>hereby</w:t>
      </w:r>
      <w:r>
        <w:rPr/>
        <w:t>” or words of similar import shall refer to this Agreement as a whole and not to a particular Article, Section, subsection, clause or other subdivision hereof.  Whenever the context requires, the words used herein shall include the masculine, feminine and neuter gender, and the singular and the plural.</w:t>
      </w:r>
    </w:p>
    <w:p>
      <w:pPr>
        <w:pStyle w:val="Heading1"/>
        <w:numPr>
          <w:ilvl w:val="0"/>
          <w:numId w:val="16"/>
        </w:numPr>
        <w:bidi w:val="0"/>
        <w:ind w:hanging="0" w:start="0" w:end="0"/>
        <w:outlineLvl w:val="0"/>
        <w:rPr>
          <w:rFonts w:ascii="Times New Roman" w:hAnsi="Times New Roman"/>
        </w:rPr>
      </w:pPr>
      <w:r>
        <w:rPr/>
        <w:br/>
        <w:t>Purchase and Sale</w:t>
      </w:r>
    </w:p>
    <w:p>
      <w:pPr>
        <w:pStyle w:val="BodyTextFirstIndent"/>
        <w:bidi w:val="0"/>
        <w:rPr>
          <w:rFonts w:ascii="Times New Roman" w:hAnsi="Times New Roman"/>
        </w:rPr>
      </w:pPr>
      <w:r>
        <w:rPr/>
        <w:t>On and subject to the terms and conditions of this Agreement, Seller agrees to sell and convey to Buyer, and Buyer agrees to purchase and receive from Seller, all of the LLC Interests.</w:t>
      </w:r>
    </w:p>
    <w:p>
      <w:pPr>
        <w:pStyle w:val="Heading1"/>
        <w:numPr>
          <w:ilvl w:val="0"/>
          <w:numId w:val="16"/>
        </w:numPr>
        <w:bidi w:val="0"/>
        <w:ind w:hanging="0" w:start="0" w:end="0"/>
        <w:outlineLvl w:val="0"/>
        <w:rPr>
          <w:rFonts w:ascii="Times New Roman" w:hAnsi="Times New Roman"/>
        </w:rPr>
      </w:pPr>
      <w:r>
        <w:rPr/>
        <w:br/>
        <w:t>Purchase Price and Payment</w:t>
      </w:r>
    </w:p>
    <w:p>
      <w:pPr>
        <w:pStyle w:val="Heading2"/>
        <w:numPr>
          <w:ilvl w:val="1"/>
          <w:numId w:val="21"/>
        </w:numPr>
        <w:bidi w:val="0"/>
        <w:ind w:firstLine="720" w:start="0" w:end="0"/>
        <w:outlineLvl w:val="1"/>
        <w:rPr>
          <w:rFonts w:ascii="Times New Roman" w:hAnsi="Times New Roman"/>
        </w:rPr>
      </w:pPr>
      <w:r>
        <w:rPr>
          <w:u w:val="single"/>
        </w:rPr>
        <w:t>Purchase Price</w:t>
      </w:r>
      <w:r>
        <w:rPr/>
        <w:t>.  The purchase price for the sale and conveyance of the LLC Interests to Buyer is $____________ (the “</w:t>
      </w:r>
      <w:r>
        <w:rPr>
          <w:i/>
        </w:rPr>
        <w:t>Purchase Price</w:t>
      </w:r>
      <w:r>
        <w:rPr/>
        <w:t>”).</w:t>
      </w:r>
      <w:r>
        <w:rPr>
          <w:strike/>
        </w:rPr>
        <w:t>, subject to adjustment in accordance with the terms of this Agreement. The “Adjusted Purchase Price” shall be the Purchase Price plus the amount, as of the Closing Date, of transmission credits available to Gleason Power I, L.L.C. pursuant to the Interconnection Agreement (the “Interconnection Agreement”) between the Tennessee Valley Authority and Gleason Power I, L.L.C. dated March 14, 2000 as a result of costs paid prior to the Closing Date in connection with the Shelby Upgrade (as defined in the Interconnection Agreement) (as such transmission credits are set forth in the certificate or letter delivered pursuant to Section 8.2(i), if available)</w:t>
      </w:r>
    </w:p>
    <w:p>
      <w:pPr>
        <w:pStyle w:val="Heading2"/>
        <w:numPr>
          <w:ilvl w:val="1"/>
          <w:numId w:val="16"/>
        </w:numPr>
        <w:bidi w:val="0"/>
        <w:ind w:firstLine="720" w:start="0" w:end="0"/>
        <w:outlineLvl w:val="1"/>
        <w:rPr>
          <w:rFonts w:ascii="Times New Roman" w:hAnsi="Times New Roman"/>
        </w:rPr>
      </w:pPr>
      <w:r>
        <w:rPr>
          <w:u w:val="single"/>
        </w:rPr>
        <w:t>Payment</w:t>
      </w:r>
      <w:r>
        <w:rPr/>
        <w:t>.  The “</w:t>
      </w:r>
      <w:r>
        <w:rPr>
          <w:i/>
        </w:rPr>
        <w:t>Closing Payment</w:t>
      </w:r>
      <w:r>
        <w:rPr/>
        <w:t xml:space="preserve">” shall be the </w:t>
      </w:r>
      <w:r>
        <w:rPr>
          <w:strike/>
        </w:rPr>
        <w:t>Estimated Adjusted</w:t>
      </w:r>
      <w:r>
        <w:rPr/>
        <w:t xml:space="preserve"> Purchase Price.  At the Closing, Buyer shall wire transfer the Closing Payment in immediately available funds to the account or accounts specified by Seller to Buyer on or prior to the Business Day immediately preceding the Closing Date.</w:t>
      </w:r>
    </w:p>
    <w:p>
      <w:pPr>
        <w:pStyle w:val="Heading2"/>
        <w:numPr>
          <w:ilvl w:val="1"/>
          <w:numId w:val="16"/>
        </w:numPr>
        <w:bidi w:val="0"/>
        <w:ind w:firstLine="720" w:start="0" w:end="0"/>
        <w:outlineLvl w:val="1"/>
        <w:rPr>
          <w:rFonts w:ascii="Times New Roman" w:hAnsi="Times New Roman"/>
          <w:strike/>
          <w:u w:val="single"/>
        </w:rPr>
      </w:pPr>
      <w:r>
        <w:rPr>
          <w:strike/>
          <w:u w:val="single"/>
        </w:rPr>
        <w:t xml:space="preserve"> </w:t>
      </w:r>
      <w:r>
        <w:rPr>
          <w:strike/>
          <w:u w:val="single"/>
        </w:rPr>
        <w:t>Closing Statement. Not later than three (3) Business Days prior to the Closing Date, Seller shall prepare and deliver to Buyer a statement (the “Closing Statement”) of the estimated purchase price adjustments and the estimated Adjusted Purchase Price (the “Estimated Adjusted Purchase Price”). As set forth in Section 3.2, the Closing Payment payable by Buyer at Closing shall be based upon the Estimated Adjusted Purchase Price.</w:t>
      </w:r>
    </w:p>
    <w:p>
      <w:pPr>
        <w:pStyle w:val="Heading2"/>
        <w:numPr>
          <w:ilvl w:val="1"/>
          <w:numId w:val="16"/>
        </w:numPr>
        <w:bidi w:val="0"/>
        <w:ind w:firstLine="720" w:start="0" w:end="0"/>
        <w:outlineLvl w:val="1"/>
        <w:rPr>
          <w:rFonts w:ascii="Times New Roman" w:hAnsi="Times New Roman"/>
          <w:strike/>
          <w:u w:val="single"/>
        </w:rPr>
      </w:pPr>
      <w:r>
        <w:rPr>
          <w:strike/>
          <w:u w:val="single"/>
        </w:rPr>
        <w:t>3.4 Post-Closing Adjustment to the Purchase Price.</w:t>
      </w:r>
    </w:p>
    <w:p>
      <w:pPr>
        <w:pStyle w:val="Heading2"/>
        <w:numPr>
          <w:ilvl w:val="1"/>
          <w:numId w:val="16"/>
        </w:numPr>
        <w:bidi w:val="0"/>
        <w:ind w:firstLine="720" w:start="0" w:end="0"/>
        <w:outlineLvl w:val="1"/>
        <w:rPr>
          <w:rFonts w:ascii="Times New Roman" w:hAnsi="Times New Roman"/>
          <w:strike/>
          <w:u w:val="single"/>
        </w:rPr>
      </w:pPr>
      <w:r>
        <w:rPr>
          <w:strike/>
          <w:u w:val="single"/>
        </w:rPr>
        <w:t>(a) Revised Closing Statement. On or before the date that is sixty (60) days after the Closing Date, Seller shall prepare and deliver to Buyer a revised Closing Statement setting forth the actual purchase price adjustments. To the extent reasonably required by Seller, Buyer shall assist in the preparation of the revised Closing Statement. Seller shall provide to Buyer such data and information as Buyer may reasonably request supporting the amounts reflected on the revised Closing Statement. The revised Closing Statement shall become final and binding upon the Parties on the date (the “Final Settlement Date”) that is thirty (30) days following receipt thereof by Buyer unless Buyer gives written notice of its disagreement (“Notice of Disagreement”) to Seller prior to such date. Any Notice of Disagreement shall specify in detail the dollar amount, nature, and basis of any disagreement so asserted. If a Notice of Disagreement is received by Seller in a timely manner, then the Closing Statement (as revised in accordance with paragraph (b) or (c) below) shall become final and binding on the Parties on, and the Final Settlement Date shall be, the earlier of (i) the date upon which Seller and Buyer agree in writing with respect to all matters specified in the Notice of Disagreement or (ii) the date upon which the Final Closing Statement is issued by the Closing Statement Arbitrator.</w:t>
      </w:r>
    </w:p>
    <w:p>
      <w:pPr>
        <w:pStyle w:val="Heading2"/>
        <w:numPr>
          <w:ilvl w:val="1"/>
          <w:numId w:val="16"/>
        </w:numPr>
        <w:bidi w:val="0"/>
        <w:ind w:firstLine="720" w:start="0" w:end="0"/>
        <w:outlineLvl w:val="1"/>
        <w:rPr>
          <w:rFonts w:ascii="Times New Roman" w:hAnsi="Times New Roman"/>
          <w:strike/>
          <w:u w:val="single"/>
        </w:rPr>
      </w:pPr>
      <w:r>
        <w:rPr>
          <w:strike/>
          <w:u w:val="single"/>
        </w:rPr>
        <w:t>(b) Final Closing Statement. During the thirty (30) days following the date upon which Seller received the Notice of Disagreement, Seller and Buyer shall attempt in good faith to resolve in writing any differences that they may have with respect to all matters specified in the Notice of Disagreement. If at the end of such thirty (30) day period (or earlier by mutual agreement to arbitrate), Buyer and Seller have not reached agreement on such matters, the matters that remain in dispute may be submitted to an arbitrator (the “Closing Statement Arbitrator”) by either Party for review and resolution. The Closing Statement Arbitrator shall be a nationally recognized independent public accounting firm as shall be agreed upon by Buyer and Seller in writing. The hearing date will be scheduled by the Closing Statement Arbitrator as soon as reasonably practicable, and shall be conducted on a confidential basis. Each Party shall, not later than seven days prior to the hearing date set by the Closing Statement Arbitrator, submit a brief with dollar figures for settlement of the disputes as to the amount of the Adjusted Purchase Price (together with a proposed Closing Statement that reflects such figures). The figures submitted need not be the figures discussed during prior conversations. The Closing Statement Arbitrator shall render a decision resolving the matters in dispute (which decision shall include a written statement of findings and conclusions) within three Business Days after the conclusion of the hearing, unless the Parties reach agreement prior thereto and withdraw the dispute from arbitration. The Closing Statement Arbitrator shall provide to the Parties explanations in writing of the reasons for its decisions regarding the Adjusted Purchase Price and shall issue the Final Closing Statement reflecting such decisions. The decision of the Closing Statement Arbitrator shall be final and binding on the Parties. The cost of any arbitration (including the fees and expenses of the Closing Statement Arbitrator) pursuant to this Section 3.4(b) shall be borne equally by Buyer and Seller. The fees and disbursements of Seller's independent auditors incurred in connection with the procedures performed with respect to the Closing Statement shall be borne by Seller and the fees and disbursements of Buyer's independent auditors incurred in connection with their preparation of the Notice of Disagreement shall be borne by Buyer. As used in this Agreement, the term “Final Closing Statement” shall mean the revised Closing Statement described in Section 3.4(a), as prepared by Seller and as may be subsequently adjusted to reflect any subsequent written agreement between the Parties with respect thereto, or if submitted to the Closing Statement Arbitrator, the Closing Statement issued by the Closing Statement Arbitrator.</w:t>
      </w:r>
    </w:p>
    <w:p>
      <w:pPr>
        <w:pStyle w:val="Heading2"/>
        <w:numPr>
          <w:ilvl w:val="1"/>
          <w:numId w:val="16"/>
        </w:numPr>
        <w:bidi w:val="0"/>
        <w:ind w:firstLine="720" w:start="0" w:end="0"/>
        <w:outlineLvl w:val="1"/>
        <w:rPr>
          <w:rFonts w:ascii="Times New Roman" w:hAnsi="Times New Roman"/>
          <w:strike/>
          <w:u w:val="single"/>
        </w:rPr>
      </w:pPr>
      <w:r>
        <w:rPr>
          <w:strike/>
          <w:u w:val="single"/>
        </w:rPr>
        <w:t>(c) Final Settlement. If the amount of the Adjusted Purchase Price as set forth on the Final Closing Statement exceeds the amount of the Estimated Adjusted Purchase Price, then Buyer shall pay to Seller, within five Business Days after the Final Settlement Date, the amount by which the Adjusted Purchase Price as set forth on the Final Closing Statement exceeds the amount of the Estimated Adjusted Purchase Price, together with interest on such excess amount from the Closing Date until paid at the Interest Rate. If the amount of the Adjusted Purchase Price as set forth on the Final Closing Statement is less than the amount of the Estimated Adjusted Purchase Price, then Seller shall pay to Buyer, within five (5) Business Days after the Final Settlement Date, the amount by which the Adjusted Purchase Price as set forth on the Final Closing Statement is less than the amount of the Estimated Adjusted Purchase Price, together with interest on such deficiency amount from the Closing Date until paid at the Interest Rate. Any post-Closing payment made pursuant to this Section 3.4(c) shall be made by means of a wire transfer of immediately available funds to a bank account designated by the Party receiving the funds.</w:t>
      </w:r>
    </w:p>
    <w:p>
      <w:pPr>
        <w:pStyle w:val="Heading2"/>
        <w:numPr>
          <w:ilvl w:val="1"/>
          <w:numId w:val="16"/>
        </w:numPr>
        <w:bidi w:val="0"/>
        <w:ind w:firstLine="720" w:start="0" w:end="0"/>
        <w:outlineLvl w:val="1"/>
        <w:rPr>
          <w:rFonts w:ascii="Times New Roman" w:hAnsi="Times New Roman"/>
        </w:rPr>
      </w:pPr>
      <w:r>
        <w:rPr>
          <w:strike/>
          <w:u w:val="single"/>
        </w:rPr>
        <w:t>3.5</w:t>
      </w:r>
      <w:r>
        <w:rPr>
          <w:u w:val="single"/>
        </w:rPr>
        <w:t xml:space="preserve"> Allocation of Purchase Price</w:t>
      </w:r>
      <w:r>
        <w:rPr/>
        <w:t xml:space="preserve">.  The Parties shall use their reasonable efforts to agree in good faith upon an allocation of the </w:t>
      </w:r>
      <w:r>
        <w:rPr>
          <w:strike/>
        </w:rPr>
        <w:t>Adjusted</w:t>
      </w:r>
      <w:r>
        <w:rPr/>
        <w:t xml:space="preserve"> Purchase Price consistent with Section 1060 of the Code and the Treasury regulations thereunder within sixty (60) days after the Closing Date.  If the Parties agree on a mutually satisfactory allocation by the Closing Date, the Parties shall report this transaction for federal income tax purposes in accordance with the allocation so agreed upon.</w:t>
      </w:r>
    </w:p>
    <w:p>
      <w:pPr>
        <w:pStyle w:val="Heading1"/>
        <w:numPr>
          <w:ilvl w:val="0"/>
          <w:numId w:val="16"/>
        </w:numPr>
        <w:bidi w:val="0"/>
        <w:ind w:hanging="0" w:start="0" w:end="0"/>
        <w:outlineLvl w:val="0"/>
        <w:rPr>
          <w:rFonts w:ascii="Times New Roman" w:hAnsi="Times New Roman"/>
        </w:rPr>
      </w:pPr>
      <w:r>
        <w:rPr/>
        <w:br/>
        <w:t>Representations and Warranties</w:t>
      </w:r>
    </w:p>
    <w:p>
      <w:pPr>
        <w:pStyle w:val="Heading2"/>
        <w:numPr>
          <w:ilvl w:val="1"/>
          <w:numId w:val="16"/>
        </w:numPr>
        <w:bidi w:val="0"/>
        <w:ind w:firstLine="720" w:start="0" w:end="0"/>
        <w:outlineLvl w:val="1"/>
        <w:rPr>
          <w:rFonts w:ascii="Times New Roman" w:hAnsi="Times New Roman"/>
        </w:rPr>
      </w:pPr>
      <w:r>
        <w:rPr>
          <w:u w:val="single"/>
        </w:rPr>
        <w:t>Representations and Warranties of Seller</w:t>
      </w:r>
      <w:r>
        <w:rPr/>
        <w:t>.  Seller represents and warrants to Buyer as follows: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Organization and Good Standing</w:t>
      </w:r>
      <w:r>
        <w:rPr/>
        <w:t xml:space="preserve">.  Seller is a corporation duly organized, validly existing, and in good standing under the laws of the State of Delaware.  Each of the LLCs is a limited liability company duly organized, validly existing, and in good standing under the laws of the State of Delaware.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Qualification of the LLCs</w:t>
      </w:r>
      <w:r>
        <w:rPr/>
        <w:t xml:space="preserve">.  Each of the LLCs has the requisite limited liability company power to carry on its business as now being conducted.  Each of the LLCs is duly qualified to do business, and is in good standing, in each jurisdiction in which the property owned, leased, or operated by it or the nature of its business make such qualification necessary.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Authority</w:t>
      </w:r>
      <w:r>
        <w:rPr/>
        <w:t xml:space="preserve">.  Seller has all requisite corporate power and authority to execute and deliver this Agreement and to perform its obligations hereunder.  The execution, delivery, and performance of this Agreement and the transactions contemplated hereby have been duly and validly authorized by all requisite corporate action on the part of Seller.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Enforceability</w:t>
      </w:r>
      <w:r>
        <w:rPr/>
        <w:t>.  This Agreement has been duly and validly executed and delivered by Seller and constitutes a valid and binding agreement of Seller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LLC Interests</w:t>
      </w:r>
      <w:r>
        <w:rPr/>
        <w:t>.  Seller holds of record and owns beneficially the LLC Interests free and clear of any Liens (except as may be created by this Agreement and except for any restrictions on sales of securities under applicable securities laws).  Seller is not a party to any option, warrant, purchase right, or other contract or commitment (other than this Agreement) that would require Seller to sell, transfer, or otherwise dispose of any LLC Interests.  Seller is not a party to any voting trust, proxy, or other agreement or understanding with respect to the voting of any LLC Interests.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Capitalization</w:t>
      </w:r>
      <w:r>
        <w:rPr/>
        <w:t xml:space="preserve">.  The LLC Interests constitute all of the issued and outstanding membership interests of the LLCs.  All LLC Interests have been duly authorized and are validly issued, fully paid, and nonassessable and were not issued in violation of the preemptive rights of any Person.  None of the LLCs has outstanding any convertible security, call, preemptive right, option, warrant, purchase right, or other contract or commitment that would, directly or indirectly, require such LLC to sell, issue, or otherwise dispose of any equity or debt interest in any of the LLCs.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Violation or Breach</w:t>
      </w:r>
      <w:r>
        <w:rPr/>
        <w:t>.  Neither the execution and delivery of this Agreement nor the consummation of the transactions and performance of the terms and conditions hereof by Seller will (i) result in a violation or breach of any provision of the certificate of incorporation, by-laws, or other similar governing documents of Seller or the limited liability company agreement or other similar governing document of the LLCs or any agreement, indenture or other instrument under which either Seller or any of the LLCs is bound, or (ii) violate any Law applicable to Seller or the LLCs or the Facilities.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Consents</w:t>
      </w:r>
      <w:r>
        <w:rPr/>
        <w:t xml:space="preserve">.  No consent, approval, authorization or permit of, or filing with or notification to, any Person is required for or in connection with the execution and delivery of this Agreement by Seller or for or in connection with the consummation of the transactions and performance of the terms and conditions contemplated hereby by Seller, except for (i)  requirements of the FERC under section 203 of the Federal Power Act, (ii) requirements under the HSR Act, and (iii) the consents, filings, and notices set forth on </w:t>
      </w:r>
      <w:r>
        <w:rPr>
          <w:u w:val="single"/>
        </w:rPr>
        <w:t>Schedule 4.1(h)</w:t>
      </w:r>
      <w:r>
        <w:rPr/>
        <w:t xml:space="preserv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Actions</w:t>
      </w:r>
      <w:r>
        <w:rPr/>
        <w:t xml:space="preserve">.  Except as set forth on </w:t>
      </w:r>
      <w:r>
        <w:rPr>
          <w:u w:val="single"/>
        </w:rPr>
        <w:t>Schedule 4.1(i)</w:t>
      </w:r>
      <w:r>
        <w:rPr/>
        <w:t>, there is no Action pending or, to Seller’s Knowledge, threatened against any of the LLCs or the Facilities.</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Compliance With Laws</w:t>
      </w:r>
      <w:r>
        <w:rPr/>
        <w:t xml:space="preserve">.  [Except as set forth on </w:t>
      </w:r>
      <w:r>
        <w:rPr>
          <w:u w:val="single"/>
        </w:rPr>
        <w:t>Schedule 4.1(j)</w:t>
      </w:r>
      <w:r>
        <w:rPr/>
        <w:t xml:space="preserve">,] no uncured violation of any Law by the LLCs or by Seller or its Affiliates (which could reasonably be expected to relate to any of the Facilities or any of the LLCs) exists.  Seller is not making any representation or warranty in the preceding sentence with respect to any Environmental Law, any Tax Law, or any employee benefit plans or arrangements, </w:t>
      </w:r>
      <w:r>
        <w:rPr>
          <w:strike/>
        </w:rPr>
        <w:t>and</w:t>
      </w:r>
      <w:r>
        <w:rPr/>
        <w:t xml:space="preserve"> </w:t>
      </w:r>
      <w:r>
        <w:rPr>
          <w:b/>
          <w:u w:val="double"/>
        </w:rPr>
        <w:t>due to</w:t>
      </w:r>
      <w:r>
        <w:rPr/>
        <w:t xml:space="preserve"> such matters </w:t>
      </w:r>
      <w:r>
        <w:rPr>
          <w:strike/>
        </w:rPr>
        <w:t>are</w:t>
      </w:r>
      <w:r>
        <w:rPr/>
        <w:t xml:space="preserve"> </w:t>
      </w:r>
      <w:r>
        <w:rPr>
          <w:b/>
          <w:u w:val="double"/>
        </w:rPr>
        <w:t>being</w:t>
      </w:r>
      <w:r>
        <w:rPr/>
        <w:t xml:space="preserve"> addressed in </w:t>
      </w:r>
      <w:r>
        <w:rPr>
          <w:u w:val="single"/>
        </w:rPr>
        <w:t>Sections 4.1(n)</w:t>
      </w:r>
      <w:r>
        <w:rPr/>
        <w:t xml:space="preserve">, </w:t>
      </w:r>
      <w:r>
        <w:rPr>
          <w:u w:val="single"/>
        </w:rPr>
        <w:t>(o)</w:t>
      </w:r>
      <w:r>
        <w:rPr/>
        <w:t xml:space="preserve">, and </w:t>
      </w:r>
      <w:r>
        <w:rPr>
          <w:u w:val="single"/>
        </w:rPr>
        <w:t>(p)</w:t>
      </w:r>
      <w:r>
        <w:rPr/>
        <w:t>.</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Brokerage Fees and Commissions</w:t>
      </w:r>
      <w:r>
        <w:rPr/>
        <w:t xml:space="preserve">.  Neither Seller nor any Affiliate of Seller has incurred any obligation or entered into any agreement for any investment banking, brokerage, or finder’s fee or commission in respect of the transactions contemplated by this Agreement for which Buyer or any of the LLCs shall incur any liability.  Seller has engaged Credit Suisse First Boston in connection with the transactions contemplated by this Agreement and agrees to be responsible for any and all fees which are due and payable pursuant to the terms of such engagement.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Bankruptcy</w:t>
      </w:r>
      <w:r>
        <w:rPr/>
        <w:t>.  There are no bankruptcy, reorganization, or arrangement proceedings pending against, being contemplated by, or, to the Knowledge of Seller, threatened against Seller or any of the LLCs.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Project Documents</w:t>
      </w:r>
      <w:r>
        <w:rPr/>
        <w:t xml:space="preserve">.  </w:t>
      </w:r>
    </w:p>
    <w:p>
      <w:pPr>
        <w:pStyle w:val="Heading4"/>
        <w:numPr>
          <w:ilvl w:val="3"/>
          <w:numId w:val="16"/>
        </w:numPr>
        <w:bidi w:val="0"/>
        <w:ind w:firstLine="720" w:start="1440" w:end="0"/>
        <w:outlineLvl w:val="3"/>
        <w:rPr>
          <w:rFonts w:ascii="Times New Roman" w:hAnsi="Times New Roman"/>
        </w:rPr>
      </w:pPr>
      <w:r>
        <w:rPr/>
        <w:t xml:space="preserve">Set forth in </w:t>
      </w:r>
      <w:r>
        <w:rPr>
          <w:u w:val="single"/>
        </w:rPr>
        <w:t>Part I</w:t>
      </w:r>
      <w:r>
        <w:rPr/>
        <w:t xml:space="preserve"> of </w:t>
      </w:r>
      <w:r>
        <w:rPr>
          <w:u w:val="single"/>
        </w:rPr>
        <w:t>Schedule 4.1(m)</w:t>
      </w:r>
      <w:r>
        <w:rPr/>
        <w:t xml:space="preserve"> is a list of the following agreements and contracts to which any of the LLCs is a party or by which any of the LLCs or its Facility is bound (the “</w:t>
      </w:r>
      <w:r>
        <w:rPr>
          <w:i/>
        </w:rPr>
        <w:t>Project Documents</w:t>
      </w:r>
      <w:r>
        <w:rPr/>
        <w:t>”):</w:t>
      </w:r>
    </w:p>
    <w:p>
      <w:pPr>
        <w:pStyle w:val="Heading5"/>
        <w:numPr>
          <w:ilvl w:val="4"/>
          <w:numId w:val="16"/>
        </w:numPr>
        <w:bidi w:val="0"/>
        <w:ind w:firstLine="720" w:start="2160" w:end="0"/>
        <w:outlineLvl w:val="4"/>
        <w:rPr>
          <w:rFonts w:ascii="Times New Roman" w:hAnsi="Times New Roman"/>
        </w:rPr>
      </w:pPr>
      <w:r>
        <w:rPr/>
        <w:t>gas pipeline interconnection agreements, gas supply agreements, gas purchase and sale agreements, and gas transportation agreements;</w:t>
      </w:r>
    </w:p>
    <w:p>
      <w:pPr>
        <w:pStyle w:val="Heading5"/>
        <w:numPr>
          <w:ilvl w:val="4"/>
          <w:numId w:val="16"/>
        </w:numPr>
        <w:bidi w:val="0"/>
        <w:ind w:firstLine="720" w:start="2160" w:end="0"/>
        <w:outlineLvl w:val="4"/>
        <w:rPr>
          <w:rFonts w:ascii="Times New Roman" w:hAnsi="Times New Roman"/>
        </w:rPr>
      </w:pPr>
      <w:r>
        <w:rPr/>
        <w:t>power purchase agreements, electricity transmission agreements, and electricity interconnection agreements;</w:t>
      </w:r>
    </w:p>
    <w:p>
      <w:pPr>
        <w:pStyle w:val="Heading5"/>
        <w:numPr>
          <w:ilvl w:val="4"/>
          <w:numId w:val="16"/>
        </w:numPr>
        <w:bidi w:val="0"/>
        <w:ind w:firstLine="720" w:start="2160" w:end="0"/>
        <w:outlineLvl w:val="4"/>
        <w:rPr>
          <w:rFonts w:ascii="Times New Roman" w:hAnsi="Times New Roman"/>
        </w:rPr>
      </w:pPr>
      <w:r>
        <w:rPr/>
        <w:t>swap, exchange, commodity option or hedging agreements;</w:t>
      </w:r>
    </w:p>
    <w:p>
      <w:pPr>
        <w:pStyle w:val="Heading5"/>
        <w:numPr>
          <w:ilvl w:val="4"/>
          <w:numId w:val="16"/>
        </w:numPr>
        <w:bidi w:val="0"/>
        <w:ind w:firstLine="720" w:start="2160" w:end="0"/>
        <w:outlineLvl w:val="4"/>
        <w:rPr>
          <w:rFonts w:ascii="Times New Roman" w:hAnsi="Times New Roman"/>
        </w:rPr>
      </w:pPr>
      <w:r>
        <w:rPr/>
        <w:t>operating and maintenance agreements;</w:t>
      </w:r>
    </w:p>
    <w:p>
      <w:pPr>
        <w:pStyle w:val="Heading5"/>
        <w:numPr>
          <w:ilvl w:val="4"/>
          <w:numId w:val="16"/>
        </w:numPr>
        <w:bidi w:val="0"/>
        <w:ind w:firstLine="720" w:start="2160" w:end="0"/>
        <w:outlineLvl w:val="4"/>
        <w:rPr>
          <w:rFonts w:ascii="Times New Roman" w:hAnsi="Times New Roman"/>
        </w:rPr>
      </w:pPr>
      <w:r>
        <w:rPr/>
        <w:t>equipment purchase and sale contracts and construction contracts;</w:t>
      </w:r>
    </w:p>
    <w:p>
      <w:pPr>
        <w:pStyle w:val="Heading5"/>
        <w:numPr>
          <w:ilvl w:val="4"/>
          <w:numId w:val="16"/>
        </w:numPr>
        <w:bidi w:val="0"/>
        <w:ind w:firstLine="720" w:start="2160" w:end="0"/>
        <w:outlineLvl w:val="4"/>
        <w:rPr>
          <w:rFonts w:ascii="Times New Roman" w:hAnsi="Times New Roman"/>
        </w:rPr>
      </w:pPr>
      <w:r>
        <w:rPr/>
        <w:t xml:space="preserve">any contract (i) requiring known or liquidated expenditures or payments by any of the LLCs in excess of $100,000 in any calendar year or (ii) that cannot be terminated at any time without notice or penalty by the LLC that is a party to such contract; </w:t>
      </w:r>
    </w:p>
    <w:p>
      <w:pPr>
        <w:pStyle w:val="Heading5"/>
        <w:numPr>
          <w:ilvl w:val="4"/>
          <w:numId w:val="16"/>
        </w:numPr>
        <w:bidi w:val="0"/>
        <w:ind w:firstLine="720" w:start="2160" w:end="0"/>
        <w:outlineLvl w:val="4"/>
        <w:rPr>
          <w:rFonts w:ascii="Times New Roman" w:hAnsi="Times New Roman"/>
        </w:rPr>
      </w:pPr>
      <w:r>
        <w:rPr/>
        <w:t>any pending sale or lease of real or personal property of any of the LLCs (other than sales of electric energy in the ordinary course of business) in excess of $100,000;</w:t>
      </w:r>
    </w:p>
    <w:p>
      <w:pPr>
        <w:pStyle w:val="Heading5"/>
        <w:numPr>
          <w:ilvl w:val="4"/>
          <w:numId w:val="16"/>
        </w:numPr>
        <w:bidi w:val="0"/>
        <w:ind w:firstLine="720" w:start="2160" w:end="0"/>
        <w:outlineLvl w:val="4"/>
        <w:rPr>
          <w:rFonts w:ascii="Times New Roman" w:hAnsi="Times New Roman"/>
        </w:rPr>
      </w:pPr>
      <w:r>
        <w:rPr/>
        <w:t xml:space="preserve">any contract under which debt has or may be incurred or under which a Lien on any asset, tangible or intangible, has been imposed; </w:t>
      </w:r>
    </w:p>
    <w:p>
      <w:pPr>
        <w:pStyle w:val="Heading5"/>
        <w:numPr>
          <w:ilvl w:val="4"/>
          <w:numId w:val="16"/>
        </w:numPr>
        <w:bidi w:val="0"/>
        <w:ind w:firstLine="720" w:start="2160" w:end="0"/>
        <w:outlineLvl w:val="4"/>
        <w:rPr>
          <w:rFonts w:ascii="Times New Roman" w:hAnsi="Times New Roman"/>
        </w:rPr>
      </w:pPr>
      <w:r>
        <w:rPr/>
        <w:t>any contract that contains a covenant not to compete, in whole or in part, applicable to any LLC in any line of business or with any Person in any geographical area; and</w:t>
      </w:r>
    </w:p>
    <w:p>
      <w:pPr>
        <w:pStyle w:val="Heading5"/>
        <w:numPr>
          <w:ilvl w:val="4"/>
          <w:numId w:val="16"/>
        </w:numPr>
        <w:bidi w:val="0"/>
        <w:ind w:firstLine="720" w:start="2160" w:end="0"/>
        <w:outlineLvl w:val="4"/>
        <w:rPr>
          <w:rFonts w:ascii="Times New Roman" w:hAnsi="Times New Roman"/>
        </w:rPr>
      </w:pPr>
      <w:r>
        <w:rPr/>
        <w:t>any amendment relating to any of the foregoing.</w:t>
      </w:r>
    </w:p>
    <w:p>
      <w:pPr>
        <w:pStyle w:val="Heading4"/>
        <w:numPr>
          <w:ilvl w:val="3"/>
          <w:numId w:val="16"/>
        </w:numPr>
        <w:bidi w:val="0"/>
        <w:ind w:firstLine="720" w:start="1440" w:end="0"/>
        <w:outlineLvl w:val="3"/>
        <w:rPr>
          <w:rFonts w:ascii="Times New Roman" w:hAnsi="Times New Roman"/>
        </w:rPr>
      </w:pPr>
      <w:r>
        <w:rPr/>
        <w:t xml:space="preserve">Except as set forth in </w:t>
      </w:r>
      <w:r>
        <w:rPr>
          <w:u w:val="single"/>
        </w:rPr>
        <w:t>Part II</w:t>
      </w:r>
      <w:r>
        <w:rPr/>
        <w:t xml:space="preserve"> of </w:t>
      </w:r>
      <w:r>
        <w:rPr>
          <w:u w:val="single"/>
        </w:rPr>
        <w:t>Schedule 4.1(m)</w:t>
      </w:r>
      <w:r>
        <w:rPr/>
        <w:t>,</w:t>
      </w:r>
      <w:r>
        <w:rPr>
          <w:b/>
          <w:u w:val="double"/>
        </w:rPr>
        <w:t xml:space="preserve"> to Seller’s Knowledge,</w:t>
      </w:r>
      <w:r>
        <w:rPr/>
        <w:t xml:space="preserve"> none of the LLCs is in breach of or in default under, and no event has occurred and is continuing which would constitute a default by any of the LLCs under, any provision of any Project Document, and none of the LLCs has received written notice from any other party to any Project Document that such LLC is in breach of any Project Document which has not been remedied, and, to Seller’s Knowledge, no such other party is in breach of or default under any Project Document.</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 xml:space="preserve">True, correct, and complete copies of the Project Documents and the Other Contracts have been made available to Buyer.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Environmental Matters</w:t>
      </w:r>
      <w:r>
        <w:rPr/>
        <w:t xml:space="preserve">.  Except as set forth in </w:t>
      </w:r>
      <w:r>
        <w:rPr>
          <w:u w:val="single"/>
        </w:rPr>
        <w:t>Schedule 4.1(n)</w:t>
      </w:r>
      <w:r>
        <w:rPr/>
        <w:t xml:space="preserve">: (i) </w:t>
      </w:r>
      <w:r>
        <w:rPr>
          <w:b/>
          <w:u w:val="double"/>
        </w:rPr>
        <w:t>to Seller’s Knowledge,</w:t>
      </w:r>
      <w:r>
        <w:rPr/>
        <w:t xml:space="preserve"> there is no uncured violation of any Environmental Law by any of the LLCs or related to any Facility; (ii) Seller has no Knowledge of any violation of an Environmental Law by any of the LLCs or related to any Facility during the last two (2) years; (iii) none of the LLCs or Facilities is subject to any unperformed remedial obligation pursuant to any Environmental Law; (iv) there has been no exposure of any Person or property to any pollutant, waste, or hazardous or toxic substance at any Facility or in connection with the Business or operations of the LLCs that could reasonably be expected to result in any Environmental Liabilities, (v) Seller and the LLCs have all permits, licenses, and other authorizations required to own and operate each Facility in compliance with Environmental Laws, (vi) no Lien has been imposed on any Facility by any Governmental Authority in connection with any violation of or noncompliance with Environmental Laws, and (vii) none of the LLCs or the Facilities is (A) subject to any outstanding consent decree, compliance order, or administrative order, (B) in receipt of written notice under the citizen suit provision of any Environmental Law, (C) in receipt of any written request for information, notice, complaint, or claim with respect to any violation of any Environmental Law relating to any Facility, and (D) subject to, or to Seller’s Knowledge, threatened with any governmental or citizen enforcement action under any Environmental Law with respect to any Facility.</w:t>
      </w:r>
    </w:p>
    <w:p>
      <w:pPr>
        <w:pStyle w:val="Heading3"/>
        <w:keepNext w:val="true"/>
        <w:keepLines/>
        <w:numPr>
          <w:ilvl w:val="2"/>
          <w:numId w:val="16"/>
        </w:numPr>
        <w:bidi w:val="0"/>
        <w:ind w:firstLine="720" w:start="0" w:end="0"/>
        <w:outlineLvl w:val="2"/>
        <w:rPr>
          <w:rFonts w:ascii="Times New Roman" w:hAnsi="Times New Roman"/>
        </w:rPr>
      </w:pPr>
      <w:r>
        <w:rPr>
          <w:rStyle w:val="Emphasis"/>
          <w:i w:val="false"/>
          <w:u w:val="single"/>
          <w:lang w:val="en-US" w:eastAsia="en-US"/>
        </w:rPr>
        <w:t>Tax Matters</w:t>
      </w:r>
      <w:r>
        <w:rPr/>
        <w:t xml:space="preserve">.  With respect to each of the LLCs, except as set forth in </w:t>
      </w:r>
      <w:r>
        <w:rPr>
          <w:u w:val="single"/>
        </w:rPr>
        <w:t>Schedule 4.1(o)</w:t>
      </w:r>
      <w:r>
        <w:rPr/>
        <w:t>:</w:t>
      </w:r>
    </w:p>
    <w:p>
      <w:pPr>
        <w:pStyle w:val="Heading4"/>
        <w:keepNext w:val="true"/>
        <w:keepLines/>
        <w:numPr>
          <w:ilvl w:val="3"/>
          <w:numId w:val="16"/>
        </w:numPr>
        <w:bidi w:val="0"/>
        <w:ind w:firstLine="720" w:start="1440" w:end="0"/>
        <w:outlineLvl w:val="3"/>
        <w:rPr>
          <w:rFonts w:ascii="Times New Roman" w:hAnsi="Times New Roman"/>
        </w:rPr>
      </w:pPr>
      <w:r>
        <w:rPr/>
        <w:t>all Tax Returns required to be filed by or with respect to such LLC have been timely filed with the appropriate taxing authorities in all jurisdictions in which such Tax Returns are required to be filed;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such Tax Returns are correct, and all Taxes reported on such Tax Returns have been paid;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such LLC has not extended or waived the application of any statute of limitations of any jurisdiction regarding the assessment or collection of any Tax;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there are no audits, claims, assessments, levies, administrative proceedings, or lawsuits pending or, to the Knowledge of Seller, threatened against such LLC by any taxing authority;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election has been made by such LLC to be classified as an association taxable as a corporation for federal or state income tax purposes;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there are no Liens for Taxes (other than for current Taxes not yet due or payable) upon the assets of any LLC;</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none of the assets of any of the LLCs directly or indirectly secures any debt the interest on which is tax exempt under Section 103(a) of the Code; and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Seller is not a person other than a United States person within the meaning of the Code and the transactions contemplated herein are not subject to the tax withholding provisions of Chapter 3 of the Code.</w:t>
      </w:r>
    </w:p>
    <w:p>
      <w:pPr>
        <w:pStyle w:val="BodyText"/>
        <w:bidi w:val="0"/>
        <w:jc w:val="both"/>
        <w:rPr>
          <w:rFonts w:ascii="Times New Roman" w:hAnsi="Times New Roman"/>
        </w:rPr>
      </w:pPr>
      <w:r>
        <w:rPr/>
        <w:t xml:space="preserve">Notwithstanding anything in this </w:t>
      </w:r>
      <w:r>
        <w:rPr>
          <w:u w:val="single"/>
        </w:rPr>
        <w:t>Section 4.1(o</w:t>
      </w:r>
      <w:r>
        <w:rPr/>
        <w:t>) to the contrary, no representation or warranty is made with respect to the amount, availability, expiration, limitation, or reduction of any net operating losses of any of the LLCs.</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Employee Matters</w:t>
      </w:r>
      <w:r>
        <w:rPr/>
        <w:t xml:space="preserve">.  [Except as set forth in </w:t>
      </w:r>
      <w:r>
        <w:rPr>
          <w:u w:val="single"/>
        </w:rPr>
        <w:t>Schedule 4.1(p)</w:t>
      </w:r>
      <w:r>
        <w:rPr/>
        <w:t xml:space="preserve">,] none of the LLCs has, or on the Closing Date will have, any employees or consultants.  The employees of one of Seller’s Affiliates are employed in the Business of the LLCs.  None of Seller, its Affiliates, or any of the LLCs is a party to or is bound by any collective bargaining agreement with respect to any employees assigned to the Business of the LLCs, and to the Knowledge of Seller, no present union organizing efforts are underway with respect to any such employees and no claim has been made by any union as to the representation of such employees.  None of the LLCs has ever maintained, sponsored, or been a party to, or otherwise has any obligations or liability relating to, any employee benefit plan as defined in </w:t>
      </w:r>
      <w:r>
        <w:rPr>
          <w:u w:val="single"/>
        </w:rPr>
        <w:t>Section 3(3)</w:t>
      </w:r>
      <w:r>
        <w:rPr/>
        <w:t xml:space="preserve"> of ERISA.  No employee assigned to the Businesses of the LLCs is a leased employee within </w:t>
      </w:r>
      <w:r>
        <w:rPr>
          <w:u w:val="single"/>
        </w:rPr>
        <w:t>Section 414(n)</w:t>
      </w:r>
      <w:r>
        <w:rPr/>
        <w:t xml:space="preserve"> of the Code.</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Subsidiaries</w:t>
      </w:r>
      <w:r>
        <w:rPr/>
        <w:t>.  None of the LLCs owns or holds, directly or indirectly, any equity or other ownership interest in any corporations, limited liability companies, partnerships, joint ventures, or other entities.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Personal Property</w:t>
      </w:r>
      <w:r>
        <w:rPr/>
        <w:t xml:space="preserve">.  To Seller’s Knowledge, </w:t>
      </w:r>
      <w:r>
        <w:rPr>
          <w:u w:val="single"/>
        </w:rPr>
        <w:t>Schedule 4.1(r)</w:t>
      </w:r>
      <w:r>
        <w:rPr/>
        <w:t xml:space="preserve"> lists each item of personal property with a value of $5,000 or greater and owned in whole or in part by any of the LLCs (the “</w:t>
      </w:r>
      <w:r>
        <w:rPr>
          <w:i/>
        </w:rPr>
        <w:t>Personal Property</w:t>
      </w:r>
      <w:r>
        <w:rPr/>
        <w:t xml:space="preserve">”).  Each of the LLCs has good and marketable title to its Personal Property, free and clear of all Liens, except: (i) Liens arising by operation of Law for amounts not yet due and payable; and (ii)  as described in </w:t>
      </w:r>
      <w:r>
        <w:rPr>
          <w:u w:val="single"/>
        </w:rPr>
        <w:t>Schedule 4.1(r</w:t>
      </w:r>
      <w:r>
        <w:rPr/>
        <w:t xml:space="preserv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Real Property</w:t>
      </w:r>
      <w:r>
        <w:rPr/>
        <w:t>.</w:t>
      </w:r>
      <w:r>
        <w:rPr>
          <w:b/>
          <w:u w:val="double"/>
        </w:rPr>
        <w:t xml:space="preserve"> To Seller’s Knowledge,</w:t>
      </w:r>
      <w:r>
        <w:rPr/>
        <w:t xml:space="preserve"> </w:t>
      </w:r>
      <w:r>
        <w:rPr>
          <w:u w:val="single"/>
        </w:rPr>
        <w:t>Schedule 4.1(s)</w:t>
      </w:r>
      <w:r>
        <w:rPr/>
        <w:t xml:space="preserve"> lists each item of real property owned in whole or in part by each of the LLCs (the “</w:t>
      </w:r>
      <w:r>
        <w:rPr>
          <w:rStyle w:val="Emphasis"/>
          <w:lang w:val="en-US" w:eastAsia="en-US"/>
        </w:rPr>
        <w:t>Real Property</w:t>
      </w:r>
      <w:r>
        <w:rPr/>
        <w:t xml:space="preserve">”).  The Real Property is owned of record free and clear of all Liens, except: (i) as set forth on </w:t>
      </w:r>
      <w:r>
        <w:rPr>
          <w:u w:val="single"/>
        </w:rPr>
        <w:t>Schedule 4.1(s</w:t>
      </w:r>
      <w:r>
        <w:rPr/>
        <w:t xml:space="preserve">); (ii) all matters that are disclosed in the title policies (or a title commitment to the extent that a title policy has not yet been issued) and surveys for the burdened Real Property (which title policies, commitments and surveys are identified on </w:t>
      </w:r>
      <w:r>
        <w:rPr>
          <w:u w:val="single"/>
        </w:rPr>
        <w:t>Schedule 4.1(s)</w:t>
      </w:r>
      <w:r>
        <w:rPr/>
        <w:t xml:space="preserve"> and copies of which have been made available to Buyer), (iii) Liens arising by operation of Law for Taxes not yet due and payable; and (iv) statutory Liens (including materialmens’, mechanic’s, repairman’s, landlord’s and other similar Liens) arising in the ordinary course of business and relating to amounts not yet due and payable.  True and correct copies of each deed and lease pursuant to which Seller acquired or leased the Real Property, together with the title insurance policies (or the title commitment to the extent that a title policy has not yet been issued) and surveys related thereto, have been made available to Buyer.</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Leases</w:t>
      </w:r>
      <w:r>
        <w:rPr/>
        <w:t xml:space="preserve">.  </w:t>
      </w:r>
      <w:r>
        <w:rPr>
          <w:u w:val="single"/>
        </w:rPr>
        <w:t>Schedule 4.1(t)</w:t>
      </w:r>
      <w:r>
        <w:rPr/>
        <w:t xml:space="preserve"> lists: (i) all real property leases (the “</w:t>
      </w:r>
      <w:r>
        <w:rPr>
          <w:i/>
        </w:rPr>
        <w:t>Leases</w:t>
      </w:r>
      <w:r>
        <w:rPr/>
        <w:t xml:space="preserve">”) to which any of the LLCs is a party or of which any real property leased by any such LLC is the subject other than real property leases (aa) for which the aggregate annual rent is less than $50,000 and (bb) which could be replaced for rent no greater than that currently being paid, and (ii) all leases of personal property other than personal property leases for which the annual rent is less than $50,000.  During the twelve (12) months prior to the date of this Agreement, such LLC has not received any notice of default under any such Lease.  No event has occurred which with notice or passage of time would constitute a default under the Leases by any LLC or, to Seller’s Knowledge, by any other party to the Leases.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Permits</w:t>
      </w:r>
      <w:r>
        <w:rPr/>
        <w:t xml:space="preserve">.  Except as set forth in </w:t>
      </w:r>
      <w:r>
        <w:rPr>
          <w:u w:val="single"/>
        </w:rPr>
        <w:t>Schedule 4.1(u)</w:t>
      </w:r>
      <w:r>
        <w:rPr/>
        <w:t xml:space="preserve">, assuming that all contracts with Seller or its Affiliates (other than the LLCs) have been terminated as required by </w:t>
      </w:r>
      <w:r>
        <w:rPr>
          <w:u w:val="single"/>
        </w:rPr>
        <w:t>Section 7.11</w:t>
      </w:r>
      <w:r>
        <w:rPr/>
        <w:t xml:space="preserve"> and all Transferred Contracts are transferred to the LLCs as required by </w:t>
      </w:r>
      <w:r>
        <w:rPr>
          <w:u w:val="single"/>
        </w:rPr>
        <w:t>Section 7.1(d)</w:t>
      </w:r>
      <w:r>
        <w:rPr/>
        <w:t>, each of the LLCs has all material permits, franchises, approvals, or other authorizations (“</w:t>
      </w:r>
      <w:r>
        <w:rPr>
          <w:rStyle w:val="Emphasis"/>
          <w:lang w:val="en-US" w:eastAsia="en-US"/>
        </w:rPr>
        <w:t>Permits</w:t>
      </w:r>
      <w:r>
        <w:rPr/>
        <w:t xml:space="preserve">”) of Governmental Authorities required to conduct its Business as currently conducted.  Each Permit is in full force and effect, such LLC is in compliance with all its obligations with respect thereto, and, to the Knowledge of Seller, no event has occurred and is continuing which permits, or with or without the giving of notice or the passage of time or both would permit, the revocation or termination of any Permit. </w:t>
      </w:r>
    </w:p>
    <w:p>
      <w:pPr>
        <w:pStyle w:val="Heading3"/>
        <w:numPr>
          <w:ilvl w:val="2"/>
          <w:numId w:val="16"/>
        </w:numPr>
        <w:bidi w:val="0"/>
        <w:ind w:firstLine="720" w:start="0" w:end="0"/>
        <w:outlineLvl w:val="2"/>
        <w:rPr>
          <w:rFonts w:ascii="Times New Roman" w:hAnsi="Times New Roman"/>
        </w:rPr>
      </w:pPr>
      <w:r>
        <w:rPr>
          <w:u w:val="single"/>
        </w:rPr>
        <w:t>Condition of Facility</w:t>
      </w:r>
      <w:r>
        <w:rPr/>
        <w:t xml:space="preserve">.  All (i) equipment included in the Personal Property (including spares and other equipment not currently in service) and (ii) all buildings, structures, and fixtures comprising each Facility are in good operating condition and repair and have been maintained by the LLC in accordance with Good Operating Practices, except for (A) ordinary wear and tear resulting from use in the Facilities, [and (B) matters described in </w:t>
      </w:r>
      <w:r>
        <w:rPr>
          <w:u w:val="single"/>
        </w:rPr>
        <w:t>Schedule 4.1(v)]</w:t>
      </w:r>
      <w:r>
        <w:rPr/>
        <w:t xml:space="preserve">.  </w:t>
      </w:r>
    </w:p>
    <w:p>
      <w:pPr>
        <w:pStyle w:val="Heading3"/>
        <w:numPr>
          <w:ilvl w:val="2"/>
          <w:numId w:val="16"/>
        </w:numPr>
        <w:bidi w:val="0"/>
        <w:ind w:firstLine="720" w:start="0" w:end="0"/>
        <w:outlineLvl w:val="2"/>
        <w:rPr>
          <w:rFonts w:ascii="Times New Roman" w:hAnsi="Times New Roman"/>
        </w:rPr>
      </w:pPr>
      <w:r>
        <w:rPr>
          <w:u w:val="single"/>
        </w:rPr>
        <w:t>No Bank Accounts or Powers of Attorney; Officers</w:t>
      </w:r>
      <w:r>
        <w:rPr/>
        <w:t xml:space="preserve">.  None of the LLCs has an account with a bank or other financial institution.  None of the LLCs has any outstanding powers of attorney.  The officers of each LLC are as set forth on </w:t>
      </w:r>
      <w:r>
        <w:rPr>
          <w:u w:val="single"/>
        </w:rPr>
        <w:t>Schedule 4.1(w)</w:t>
      </w:r>
      <w:r>
        <w:rPr>
          <w:b/>
          <w:u w:val="double"/>
        </w:rPr>
        <w:t>.</w:t>
      </w:r>
    </w:p>
    <w:p>
      <w:pPr>
        <w:pStyle w:val="Heading3"/>
        <w:numPr>
          <w:ilvl w:val="2"/>
          <w:numId w:val="16"/>
        </w:numPr>
        <w:bidi w:val="0"/>
        <w:ind w:firstLine="720" w:start="0" w:end="0"/>
        <w:outlineLvl w:val="2"/>
        <w:rPr>
          <w:rFonts w:ascii="Times New Roman" w:hAnsi="Times New Roman"/>
        </w:rPr>
      </w:pPr>
      <w:r>
        <w:rPr>
          <w:u w:val="single"/>
        </w:rPr>
        <w:t>Sole Purpose</w:t>
      </w:r>
      <w:r>
        <w:rPr/>
        <w:t>.  Each of the LLCs that owns a Facility has not conducted, and is not conducting, any business or operations, other than the development, construction, ownership, operation, and maintenance of its Facility, including the generation and sale of electric energy at wholesale from its Facility.</w:t>
      </w:r>
    </w:p>
    <w:p>
      <w:pPr>
        <w:pStyle w:val="Heading3"/>
        <w:numPr>
          <w:ilvl w:val="2"/>
          <w:numId w:val="16"/>
        </w:numPr>
        <w:bidi w:val="0"/>
        <w:ind w:firstLine="720" w:start="0" w:end="0"/>
        <w:outlineLvl w:val="2"/>
        <w:rPr>
          <w:rFonts w:ascii="Times New Roman" w:hAnsi="Times New Roman"/>
        </w:rPr>
      </w:pPr>
      <w:r>
        <w:rPr>
          <w:u w:val="single"/>
        </w:rPr>
        <w:t>No Affiliate Assets</w:t>
      </w:r>
      <w:r>
        <w:rPr/>
        <w:t xml:space="preserve">.  Except as set forth in </w:t>
      </w:r>
      <w:r>
        <w:rPr>
          <w:u w:val="single"/>
        </w:rPr>
        <w:t>Schedule 4.1(y)</w:t>
      </w:r>
      <w:r>
        <w:rPr/>
        <w:t xml:space="preserve">, assuming that all contracts with Seller or its Affiliates (other than the LLCs) have been terminated as required by </w:t>
      </w:r>
      <w:r>
        <w:rPr>
          <w:u w:val="single"/>
        </w:rPr>
        <w:t>Section 7.11</w:t>
      </w:r>
      <w:r>
        <w:rPr/>
        <w:t xml:space="preserve"> and all Transferred Contracts are transferred to the LLCs as required by </w:t>
      </w:r>
      <w:r>
        <w:rPr>
          <w:u w:val="single"/>
        </w:rPr>
        <w:t>Section 7.1(d)</w:t>
      </w:r>
      <w:r>
        <w:rPr/>
        <w:t>, no asset, property (tangible or intangible) or other right necessary to operate any Facility in accordance with its current business and Good Operating Practices is owned by Seller or any of its Affiliates (other than the LLCs).</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u w:val="single"/>
        </w:rPr>
        <w:t>No Undisclosed Liabilities</w:t>
      </w:r>
      <w:r>
        <w:rPr/>
        <w:t xml:space="preserve">.  [Except as set forth in </w:t>
      </w:r>
      <w:r>
        <w:rPr>
          <w:u w:val="single"/>
        </w:rPr>
        <w:t>Schedule 4.1(z)</w:t>
      </w:r>
      <w:r>
        <w:rPr/>
        <w:t xml:space="preserve">,] assuming that all contracts between Seller and its Affiliates (other than the LLCs) and any of the LLCs have been terminated as required by </w:t>
      </w:r>
      <w:r>
        <w:rPr>
          <w:u w:val="single"/>
        </w:rPr>
        <w:t>Section 7.11</w:t>
      </w:r>
      <w:r>
        <w:rPr/>
        <w:t xml:space="preserve"> and all Transferred Contracts are transferred to the LLCs as required by </w:t>
      </w:r>
      <w:r>
        <w:rPr>
          <w:u w:val="single"/>
        </w:rPr>
        <w:t>Section 7.1(d)</w:t>
      </w:r>
      <w:r>
        <w:rPr/>
        <w:t>, the LLCs do not have any liabilities or obligations, other than:</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the liabilities and obligations of the LLCs under the Project Documents, the Transferred Contracts, and the Other Contracts;</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liabilities and obligations in connection with the transactions contemplated by this Agreement;</w:t>
      </w:r>
    </w:p>
    <w:p>
      <w:pPr>
        <w:pStyle w:val="Heading4"/>
        <w:numPr>
          <w:ilvl w:val="3"/>
          <w:numId w:val="16"/>
        </w:numPr>
        <w:bidi w:val="0"/>
        <w:ind w:firstLine="720" w:start="1440" w:end="0"/>
        <w:outlineLvl w:val="3"/>
        <w:rPr>
          <w:rFonts w:ascii="Times New Roman" w:hAnsi="Times New Roman"/>
        </w:rPr>
      </w:pPr>
      <w:r>
        <w:rPr/>
        <w:t>liabilities and obligations under or in respect of the Permits;</w:t>
      </w:r>
    </w:p>
    <w:p>
      <w:pPr>
        <w:pStyle w:val="Heading4"/>
        <w:numPr>
          <w:ilvl w:val="3"/>
          <w:numId w:val="16"/>
        </w:numPr>
        <w:bidi w:val="0"/>
        <w:ind w:firstLine="720" w:start="1440" w:end="0"/>
        <w:outlineLvl w:val="3"/>
        <w:rPr>
          <w:rFonts w:ascii="Times New Roman" w:hAnsi="Times New Roman"/>
        </w:rPr>
      </w:pPr>
      <w:r>
        <w:rPr/>
        <w:t xml:space="preserve">the requirements of Laws; or </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 xml:space="preserve">liabilities and obligations incurred after the date hereof in accordance with </w:t>
      </w:r>
      <w:r>
        <w:rPr>
          <w:u w:val="single"/>
        </w:rPr>
        <w:t>Section 7.1</w:t>
      </w:r>
      <w:r>
        <w:rPr/>
        <w:t>.</w:t>
      </w:r>
    </w:p>
    <w:p>
      <w:pPr>
        <w:pStyle w:val="Heading3"/>
        <w:numPr>
          <w:ilvl w:val="2"/>
          <w:numId w:val="16"/>
        </w:numPr>
        <w:bidi w:val="0"/>
        <w:ind w:firstLine="720" w:start="0" w:end="0"/>
        <w:outlineLvl w:val="2"/>
        <w:rPr>
          <w:rFonts w:ascii="Times New Roman" w:hAnsi="Times New Roman"/>
        </w:rPr>
      </w:pPr>
      <w:r>
        <w:rPr>
          <w:u w:val="single"/>
        </w:rPr>
        <w:t>Intellectual Property</w:t>
      </w:r>
      <w:r>
        <w:rPr/>
        <w:t xml:space="preserve">.  Assuming that all contracts between Seller and its Affiliates (other than the LLCs) and any of the LLCs have been terminated as required by </w:t>
      </w:r>
      <w:r>
        <w:rPr>
          <w:u w:val="single"/>
        </w:rPr>
        <w:t>Section 7.11</w:t>
      </w:r>
      <w:r>
        <w:rPr/>
        <w:t xml:space="preserve"> and all Transferred Contracts are transferred to the LLCs as required by </w:t>
      </w:r>
      <w:r>
        <w:rPr>
          <w:u w:val="single"/>
        </w:rPr>
        <w:t>Section 7.1(d)</w:t>
      </w:r>
      <w:r>
        <w:rPr/>
        <w:t>, (i) the LLCs own, or are licensed or otherwise possess sufficient legally enforceable rights to use, all patents, copyrights, trademarks, service marks, technology, know-how, computer software programs and applications, databases and tangible or intangible proprietary information or materials that are necessary for operation of the Facilities, and (ii) none of the LLCs, the Facilities or the Businesses are operated in a manner that infringes upon any patents, copyrights, trademarks or similar intellectual property rights of Seller, its Affiliates (other than the LLC’s) or any third parties.</w:t>
      </w:r>
    </w:p>
    <w:p>
      <w:pPr>
        <w:pStyle w:val="Heading3"/>
        <w:numPr>
          <w:ilvl w:val="2"/>
          <w:numId w:val="16"/>
        </w:numPr>
        <w:bidi w:val="0"/>
        <w:ind w:firstLine="720" w:start="0" w:end="0"/>
        <w:outlineLvl w:val="2"/>
        <w:rPr>
          <w:rFonts w:ascii="Times New Roman" w:hAnsi="Times New Roman"/>
          <w:strike/>
          <w:u w:val="single"/>
        </w:rPr>
      </w:pPr>
      <w:r>
        <w:rPr>
          <w:strike/>
          <w:u w:val="single"/>
        </w:rPr>
        <w:t xml:space="preserve"> </w:t>
      </w:r>
      <w:r>
        <w:rPr>
          <w:strike/>
          <w:u w:val="single"/>
        </w:rPr>
        <w:t>Disclosure. The statements made by Seller herein or in any document delivered pursuant to or in connection with this Agreement do not contain any untrue statements of a material fact or omit to state any material fact necessary in order for such statements, in light of the circumstances under which made, not to be misleading.</w:t>
      </w:r>
    </w:p>
    <w:p>
      <w:pPr>
        <w:pStyle w:val="Heading3"/>
        <w:numPr>
          <w:ilvl w:val="2"/>
          <w:numId w:val="16"/>
        </w:numPr>
        <w:bidi w:val="0"/>
        <w:ind w:firstLine="720" w:start="0" w:end="0"/>
        <w:outlineLvl w:val="2"/>
        <w:rPr>
          <w:rFonts w:ascii="Times New Roman" w:hAnsi="Times New Roman"/>
        </w:rPr>
      </w:pPr>
      <w:r>
        <w:rPr>
          <w:strike/>
          <w:u w:val="single"/>
        </w:rPr>
        <w:t>(cc)</w:t>
      </w:r>
      <w:r>
        <w:rPr>
          <w:u w:val="single"/>
        </w:rPr>
        <w:t xml:space="preserve"> Public Utility Holding Company Act</w:t>
      </w:r>
      <w:r>
        <w:rPr/>
        <w:t>.  Seller and all of its Affiliates are exempt from all the provisions of the Public Utility Holding Company Act of 1935 and the rules thereunder, except Section 9(a)(2) thereof.</w:t>
      </w:r>
    </w:p>
    <w:p>
      <w:pPr>
        <w:pStyle w:val="Heading3"/>
        <w:numPr>
          <w:ilvl w:val="2"/>
          <w:numId w:val="16"/>
        </w:numPr>
        <w:bidi w:val="0"/>
        <w:ind w:firstLine="720" w:start="0" w:end="0"/>
        <w:outlineLvl w:val="2"/>
        <w:rPr>
          <w:rFonts w:ascii="Times New Roman" w:hAnsi="Times New Roman"/>
        </w:rPr>
      </w:pPr>
      <w:r>
        <w:rPr>
          <w:strike/>
        </w:rPr>
        <w:t>(dd)</w:t>
      </w:r>
    </w:p>
    <w:p>
      <w:pPr>
        <w:pStyle w:val="Heading3"/>
        <w:numPr>
          <w:ilvl w:val="2"/>
          <w:numId w:val="16"/>
        </w:numPr>
        <w:bidi w:val="0"/>
        <w:ind w:firstLine="720" w:start="0" w:end="0"/>
        <w:outlineLvl w:val="2"/>
        <w:rPr>
          <w:rFonts w:ascii="Times New Roman" w:hAnsi="Times New Roman"/>
        </w:rPr>
      </w:pPr>
      <w:r>
        <w:rPr>
          <w:u w:val="single"/>
        </w:rPr>
        <w:t>No Advance Payments</w:t>
      </w:r>
      <w:r>
        <w:rPr/>
        <w:t>.  None of the LLCs has received any payment for electric energy or any other asset that was not sold and delivered by such LLC prior to receiving payment therefor.</w:t>
      </w:r>
    </w:p>
    <w:p>
      <w:pPr>
        <w:pStyle w:val="Heading3"/>
        <w:numPr>
          <w:ilvl w:val="2"/>
          <w:numId w:val="16"/>
        </w:numPr>
        <w:bidi w:val="0"/>
        <w:ind w:firstLine="720" w:start="0" w:end="0"/>
        <w:outlineLvl w:val="2"/>
        <w:rPr>
          <w:rFonts w:ascii="Times New Roman" w:hAnsi="Times New Roman"/>
        </w:rPr>
      </w:pPr>
      <w:r>
        <w:rPr>
          <w:strike/>
        </w:rPr>
        <w:t>(ee)</w:t>
      </w:r>
    </w:p>
    <w:p>
      <w:pPr>
        <w:pStyle w:val="Heading3"/>
        <w:numPr>
          <w:ilvl w:val="2"/>
          <w:numId w:val="16"/>
        </w:numPr>
        <w:bidi w:val="0"/>
        <w:ind w:firstLine="720" w:start="0" w:end="0"/>
        <w:outlineLvl w:val="2"/>
        <w:rPr>
          <w:rFonts w:ascii="Times New Roman" w:hAnsi="Times New Roman"/>
        </w:rPr>
      </w:pPr>
      <w:r>
        <w:rPr>
          <w:u w:val="single"/>
        </w:rPr>
        <w:t>Absence of Certain Changes or Events</w:t>
      </w:r>
      <w:r>
        <w:rPr/>
        <w:t xml:space="preserve">.  Except as set forth on Schedule </w:t>
      </w:r>
      <w:r>
        <w:rPr>
          <w:strike/>
        </w:rPr>
        <w:t>4.1(ee)</w:t>
      </w:r>
      <w:r>
        <w:rPr/>
        <w:t xml:space="preserve"> </w:t>
      </w:r>
      <w:r>
        <w:rPr>
          <w:b/>
          <w:u w:val="double"/>
        </w:rPr>
        <w:t>4.1(dd)</w:t>
      </w:r>
      <w:r>
        <w:rPr/>
        <w:t>, since September 30, 2000, none of the LLCs have:</w:t>
      </w:r>
    </w:p>
    <w:p>
      <w:pPr>
        <w:pStyle w:val="Heading4"/>
        <w:numPr>
          <w:ilvl w:val="3"/>
          <w:numId w:val="16"/>
        </w:numPr>
        <w:bidi w:val="0"/>
        <w:ind w:firstLine="720" w:start="1440" w:end="0"/>
        <w:outlineLvl w:val="3"/>
        <w:rPr>
          <w:rFonts w:ascii="Times New Roman" w:hAnsi="Times New Roman"/>
        </w:rPr>
      </w:pPr>
      <w:r>
        <w:rPr/>
        <w:t>transferred any of its assets, including any right under any lease, Permit or contract or any proprietary right or other intangible asset;</w:t>
      </w:r>
    </w:p>
    <w:p>
      <w:pPr>
        <w:pStyle w:val="Heading4"/>
        <w:numPr>
          <w:ilvl w:val="3"/>
          <w:numId w:val="16"/>
        </w:numPr>
        <w:bidi w:val="0"/>
        <w:ind w:firstLine="720" w:start="1440" w:end="0"/>
        <w:outlineLvl w:val="3"/>
        <w:rPr>
          <w:rFonts w:ascii="Times New Roman" w:hAnsi="Times New Roman"/>
        </w:rPr>
      </w:pPr>
      <w:r>
        <w:rPr/>
        <w:t>suffered (i) any damage, destruction or casualty (whether or not covered by insurance) of property of the anticipated cost to repair such property exceeds $1,000,000 individually or in the aggregate or (ii) any taking by condemnation or eminent domain of any of its property or assets having a historical cost or fair market value that exceeds $1,000,000 individually or in the aggregate;</w:t>
      </w:r>
    </w:p>
    <w:p>
      <w:pPr>
        <w:pStyle w:val="Heading4"/>
        <w:numPr>
          <w:ilvl w:val="3"/>
          <w:numId w:val="16"/>
        </w:numPr>
        <w:bidi w:val="0"/>
        <w:ind w:firstLine="720" w:start="1440" w:end="0"/>
        <w:outlineLvl w:val="3"/>
        <w:rPr>
          <w:rFonts w:ascii="Times New Roman" w:hAnsi="Times New Roman"/>
        </w:rPr>
      </w:pPr>
      <w:r>
        <w:rPr/>
        <w:t>conducted any of its affairs in a manner that is outside the ordinary course of business or inconsistent with its past practices; or</w:t>
      </w:r>
    </w:p>
    <w:p>
      <w:pPr>
        <w:pStyle w:val="Heading4"/>
        <w:numPr>
          <w:ilvl w:val="3"/>
          <w:numId w:val="16"/>
        </w:numPr>
        <w:bidi w:val="0"/>
        <w:ind w:firstLine="720" w:start="1440" w:end="0"/>
        <w:outlineLvl w:val="3"/>
        <w:rPr>
          <w:rFonts w:ascii="Times New Roman" w:hAnsi="Times New Roman"/>
        </w:rPr>
      </w:pPr>
      <w:r>
        <w:rPr/>
        <w:t xml:space="preserve">taken any action or suffered any event that would not be permitted after the date hereof without Buyer’s consent or approval pursuant to </w:t>
      </w:r>
      <w:r>
        <w:rPr>
          <w:u w:val="single"/>
        </w:rPr>
        <w:t>Section 7.1</w:t>
      </w:r>
      <w:r>
        <w:rPr/>
        <w:t>.</w:t>
      </w:r>
    </w:p>
    <w:p>
      <w:pPr>
        <w:pStyle w:val="Heading4"/>
        <w:numPr>
          <w:ilvl w:val="3"/>
          <w:numId w:val="16"/>
        </w:numPr>
        <w:bidi w:val="0"/>
        <w:ind w:firstLine="720" w:start="1440" w:end="0"/>
        <w:outlineLvl w:val="3"/>
        <w:rPr>
          <w:rFonts w:ascii="Times New Roman" w:hAnsi="Times New Roman"/>
        </w:rPr>
      </w:pPr>
      <w:r>
        <w:rPr>
          <w:strike/>
        </w:rPr>
        <w:t>(ff)</w:t>
      </w:r>
    </w:p>
    <w:p>
      <w:pPr>
        <w:pStyle w:val="Heading3"/>
        <w:numPr>
          <w:ilvl w:val="2"/>
          <w:numId w:val="16"/>
        </w:numPr>
        <w:bidi w:val="0"/>
        <w:ind w:firstLine="720" w:start="0" w:end="0"/>
        <w:outlineLvl w:val="2"/>
        <w:rPr>
          <w:rFonts w:ascii="Times New Roman" w:hAnsi="Times New Roman"/>
        </w:rPr>
      </w:pPr>
      <w:r>
        <w:rPr>
          <w:u w:val="single"/>
        </w:rPr>
        <w:t>Balance Sheets</w:t>
      </w:r>
      <w:r>
        <w:rPr/>
        <w:t>.  Seller has previously delivered to Buyer an audited balance sheet as of December 31, 1999, and an unaudited balance sheet as of [September 30, 2000], for Enron Corp., each prepared in accordance with GAAP except as stated therein, and such balance sheets present fairly in all material respects the financial position of such entity on the respective dates thereof.</w:t>
      </w:r>
    </w:p>
    <w:p>
      <w:pPr>
        <w:pStyle w:val="Heading3"/>
        <w:numPr>
          <w:ilvl w:val="2"/>
          <w:numId w:val="16"/>
        </w:numPr>
        <w:bidi w:val="0"/>
        <w:ind w:firstLine="720" w:start="0" w:end="0"/>
        <w:outlineLvl w:val="2"/>
        <w:rPr>
          <w:rFonts w:ascii="Times New Roman" w:hAnsi="Times New Roman"/>
        </w:rPr>
      </w:pPr>
      <w:r>
        <w:rPr>
          <w:strike/>
        </w:rPr>
        <w:t>(gg)</w:t>
      </w:r>
    </w:p>
    <w:p>
      <w:pPr>
        <w:pStyle w:val="Heading3"/>
        <w:numPr>
          <w:ilvl w:val="2"/>
          <w:numId w:val="16"/>
        </w:numPr>
        <w:bidi w:val="0"/>
        <w:ind w:firstLine="720" w:start="0" w:end="0"/>
        <w:outlineLvl w:val="2"/>
        <w:rPr>
          <w:rFonts w:ascii="Times New Roman" w:hAnsi="Times New Roman"/>
        </w:rPr>
      </w:pPr>
      <w:r>
        <w:rPr>
          <w:u w:val="single"/>
        </w:rPr>
        <w:t>EWG Status</w:t>
      </w:r>
      <w:r>
        <w:rPr/>
        <w:t>.</w:t>
        <w:tab/>
        <w:t>Each LLC is an exempt wholesale generator within the meaning of the Energy Policy Act of 1992 and applicable FERC regulations.</w:t>
      </w:r>
    </w:p>
    <w:p>
      <w:pPr>
        <w:pStyle w:val="Heading3"/>
        <w:numPr>
          <w:ilvl w:val="2"/>
          <w:numId w:val="16"/>
        </w:numPr>
        <w:bidi w:val="0"/>
        <w:ind w:firstLine="720" w:start="0" w:end="0"/>
        <w:outlineLvl w:val="2"/>
        <w:rPr>
          <w:rFonts w:ascii="Times New Roman" w:hAnsi="Times New Roman"/>
        </w:rPr>
      </w:pPr>
      <w:r>
        <w:rPr>
          <w:strike/>
        </w:rPr>
        <w:t>(hh)</w:t>
      </w:r>
    </w:p>
    <w:p>
      <w:pPr>
        <w:pStyle w:val="Heading3"/>
        <w:numPr>
          <w:ilvl w:val="2"/>
          <w:numId w:val="16"/>
        </w:numPr>
        <w:bidi w:val="0"/>
        <w:ind w:firstLine="720" w:start="0" w:end="0"/>
        <w:outlineLvl w:val="2"/>
        <w:rPr>
          <w:rFonts w:ascii="Times New Roman" w:hAnsi="Times New Roman"/>
        </w:rPr>
      </w:pPr>
      <w:r>
        <w:rPr>
          <w:u w:val="single"/>
        </w:rPr>
        <w:t>Market Based Rates</w:t>
      </w:r>
      <w:r>
        <w:rPr/>
        <w:t>.</w:t>
        <w:tab/>
        <w:t>Each LLC is authorized by the FERC to sell electric capacity and energy at market based rates pursuant to an approved rate schedule on file with the FERC.</w:t>
      </w:r>
    </w:p>
    <w:p>
      <w:pPr>
        <w:pStyle w:val="Heading2"/>
        <w:numPr>
          <w:ilvl w:val="1"/>
          <w:numId w:val="16"/>
        </w:numPr>
        <w:bidi w:val="0"/>
        <w:ind w:firstLine="720" w:start="0" w:end="0"/>
        <w:outlineLvl w:val="1"/>
        <w:rPr>
          <w:rFonts w:ascii="Times New Roman" w:hAnsi="Times New Roman"/>
        </w:rPr>
      </w:pPr>
      <w:r>
        <w:rPr>
          <w:u w:val="single"/>
        </w:rPr>
        <w:t>Representations and Warranties of Buyer</w:t>
      </w:r>
      <w:r>
        <w:rPr/>
        <w:t>.  Buyer represents and warrants to Seller as follows: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Organization and Qualification</w:t>
      </w:r>
      <w:r>
        <w:rPr/>
        <w:t xml:space="preserve">.  Buyer is a limited liability company duly organized,  and validly existing under the laws of the State of Delaware and has the requisite power under its formation documents to carry on its business as now being conducted.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Authority</w:t>
      </w:r>
      <w:r>
        <w:rPr/>
        <w:t>.  Buyer has all requisite limited liability company power and authority to execute and deliver this Agreement and to perform its obligations under this Agreement.  The execution, delivery, and performance of this Agreement and the transactions contemplated hereby have been duly and validly authorized by all requisite limited liability company action on the part of Buyer.</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Enforceability</w:t>
      </w:r>
      <w:r>
        <w:rPr/>
        <w:t>.  This Agreement has been duly and validly executed and delivered by Buyer and constitutes a valid and binding agreement of Buyer enforceable against it in accordance with its terms, subject to (i) applicable bankruptcy, insolvency, reorganization, moratorium, and other similar laws of general application from time to time in effect that affect creditors’ rights generally, (ii) general principles of equity, and (iii) the power of a court to deny enforcement of remedies generally based upon public policy.</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Violation or Breach</w:t>
      </w:r>
      <w:r>
        <w:rPr/>
        <w:t>.  Neither the execution and delivery of this Agreement nor the consummation of the transactions and performance of the terms and conditions hereof by Buyer will (i) result in a violation or breach of any provision of the certificate of incorporation, bylaws or other similar governing documents of Buyer or any material agreement, indenture or other instrument under which Buyer is bound or (ii) violate any Law applicable to Buyer or the assets of Buyer.</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Consents</w:t>
      </w:r>
      <w:r>
        <w:rPr/>
        <w:t>.  No consent, approval, authorization, or permit of, or filing with or notification to, any Person is required for or in connection with the execution and delivery of this Agreement by Buyer or for or in connection with the consummation of the transactions and performance of the terms and conditions contemplated hereby by Buyer, except for the requirements of the FERC and requirements under the HSR Act.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Actions</w:t>
      </w:r>
      <w:r>
        <w:rPr/>
        <w:t>.  There is no Action pending, or to Buyer’s Knowledge, threatened against Buyer, except for Actions that would not have a material adverse effect on Buyer’s ability to perform its obligations under this Agreement.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Brokerage Fees and Commissions</w:t>
      </w:r>
      <w:r>
        <w:rPr/>
        <w:t xml:space="preserve">.  Neither Buyer nor any Affiliate of Buyer has incurred any obligation or entered into any agreement for any investment banking, brokerage, or finder’s fee or commission in respect of the transactions contemplated by this Agreement for which either Seller or any of the LLCs shall incur any liability. </w:t>
      </w:r>
    </w:p>
    <w:p>
      <w:pPr>
        <w:pStyle w:val="Heading3"/>
        <w:numPr>
          <w:ilvl w:val="2"/>
          <w:numId w:val="16"/>
        </w:numPr>
        <w:bidi w:val="0"/>
        <w:ind w:firstLine="720" w:start="0" w:end="0"/>
        <w:outlineLvl w:val="2"/>
        <w:rPr>
          <w:rFonts w:ascii="Times New Roman" w:hAnsi="Times New Roman"/>
          <w:b/>
          <w:u w:val="double"/>
        </w:rPr>
      </w:pPr>
      <w:r>
        <w:rPr>
          <w:rStyle w:val="Emphasis"/>
          <w:b/>
          <w:i w:val="false"/>
          <w:u w:val="double"/>
          <w:lang w:val="en-US" w:eastAsia="en-US"/>
        </w:rPr>
        <w:t>Buyer’s Knowledge</w:t>
      </w:r>
      <w:r>
        <w:rPr>
          <w:b/>
          <w:u w:val="double"/>
        </w:rPr>
        <w:t xml:space="preserve">.  Dan Hudson, Mario Hurtado and Joe Synnott, representatives of Buyer, have no knowledge of any fact which results in any representation or warranty of Seller in Section 4.1 being breached.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Distribution</w:t>
      </w:r>
      <w:r>
        <w:rPr/>
        <w:t>.  Buyer is an experienced and knowledgeable investor in the U.S. power generation and development business.  Prior to entering into this Agreement, Buyer was advised by its counsel, accountants (if any), financial advisors (if any), and such other Persons it has deemed appropriate concerning this Agreement and has relied solely on Seller’s representations and warranties expressly contained herein and an independent investigation and evaluation of, and appraisal and judgment with respect to, each of the LLCs and the revenue, price, and expense assumptions applicable thereto.  Buyer hereby acknowledges that the LLC Interests are not registered under the Securities Act of 1933, as amended (the “</w:t>
      </w:r>
      <w:r>
        <w:rPr>
          <w:rStyle w:val="Emphasis"/>
          <w:lang w:val="en-US" w:eastAsia="en-US"/>
        </w:rPr>
        <w:t>Securities Act</w:t>
      </w:r>
      <w:r>
        <w:rPr/>
        <w:t>”</w:t>
      </w:r>
      <w:r>
        <w:rPr>
          <w:lang w:val="en-CA" w:eastAsia="en-CA"/>
        </w:rPr>
        <w:t xml:space="preserve">), or registered or qualified for sale under any state securities laws and cannot be resold without registration thereunder or exemption therefrom.  </w:t>
      </w:r>
      <w:r>
        <w:rPr/>
        <w:t>Buyer is an “</w:t>
      </w:r>
      <w:r>
        <w:rPr>
          <w:rStyle w:val="Emphasis"/>
          <w:lang w:val="en-US" w:eastAsia="en-US"/>
        </w:rPr>
        <w:t>accredited investor</w:t>
      </w:r>
      <w:r>
        <w:rPr/>
        <w:t>,” as such term is defined in Regulation D of the Securities Act and will acquire the LLC Interests for its own account and not with a view to a sale or distribution thereof in violation of the Securities Act, and the rules and regulations thereunder, any applicable state blue sky laws or any other applicable securities laws.  Buyer has sufficient knowledge and experience in financial and business matters to enable it to evaluate the risks of investment in the LLC Interests and has the ability to bear the economic risk of this investment for an indefinite period of time.</w:t>
      </w:r>
    </w:p>
    <w:p>
      <w:pPr>
        <w:pStyle w:val="Heading3"/>
        <w:numPr>
          <w:ilvl w:val="2"/>
          <w:numId w:val="16"/>
        </w:numPr>
        <w:bidi w:val="0"/>
        <w:ind w:firstLine="720" w:start="0" w:end="0"/>
        <w:outlineLvl w:val="2"/>
        <w:rPr>
          <w:rFonts w:ascii="Times New Roman" w:hAnsi="Times New Roman"/>
        </w:rPr>
      </w:pPr>
      <w:r>
        <w:rPr>
          <w:strike/>
        </w:rPr>
        <w:t>(i)</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Bankruptcy</w:t>
      </w:r>
      <w:r>
        <w:rPr/>
        <w:t>.  There are no bankruptcy, reorganization, or arrangement proceedings pending against, being contemplated by, or, to the knowledge of Buyer, threatened against Buyer.</w:t>
      </w:r>
    </w:p>
    <w:p>
      <w:pPr>
        <w:pStyle w:val="Heading3"/>
        <w:numPr>
          <w:ilvl w:val="2"/>
          <w:numId w:val="16"/>
        </w:numPr>
        <w:bidi w:val="0"/>
        <w:ind w:firstLine="720" w:start="0" w:end="0"/>
        <w:outlineLvl w:val="2"/>
        <w:rPr>
          <w:rFonts w:ascii="Times New Roman" w:hAnsi="Times New Roman"/>
        </w:rPr>
      </w:pPr>
      <w:r>
        <w:rPr>
          <w:strike/>
        </w:rPr>
        <w:t>(j)</w:t>
      </w:r>
    </w:p>
    <w:p>
      <w:pPr>
        <w:pStyle w:val="Heading3"/>
        <w:numPr>
          <w:ilvl w:val="2"/>
          <w:numId w:val="16"/>
        </w:numPr>
        <w:bidi w:val="0"/>
        <w:ind w:firstLine="720" w:start="0" w:end="0"/>
        <w:outlineLvl w:val="2"/>
        <w:rPr>
          <w:rFonts w:ascii="Times New Roman" w:hAnsi="Times New Roman"/>
        </w:rPr>
      </w:pPr>
      <w:r>
        <w:rPr>
          <w:u w:val="single"/>
        </w:rPr>
        <w:t>Balance Sheets</w:t>
      </w:r>
      <w:r>
        <w:rPr/>
        <w:t>.  Buyer has previously delivered to Seller an audited balance sheet as of December 31, 1999, and an unaudited balance sheet as of [September 30, 2000], for Duke Capital Corporation, each prepared in accordance with GAAP except as stated therein, and such balance sheets present fairly in all material respects the financial position of such entity on the respective dates thereof.</w:t>
      </w:r>
    </w:p>
    <w:p>
      <w:pPr>
        <w:pStyle w:val="Heading3"/>
        <w:numPr>
          <w:ilvl w:val="2"/>
          <w:numId w:val="16"/>
        </w:numPr>
        <w:bidi w:val="0"/>
        <w:ind w:firstLine="720" w:start="0" w:end="0"/>
        <w:outlineLvl w:val="2"/>
        <w:rPr>
          <w:rFonts w:ascii="Times New Roman" w:hAnsi="Times New Roman"/>
        </w:rPr>
      </w:pPr>
      <w:r>
        <w:rPr>
          <w:strike/>
        </w:rPr>
        <w:t>(k)</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Inspection</w:t>
      </w:r>
      <w:r>
        <w:rPr/>
        <w:t xml:space="preserve">.  Buyer acknowledges that, prior to its execution of this Agreement, (i) it has been afforded access to and the opportunity to inspect each of the Facilities, the Project Documents, and all other due diligence items made available by Seller to Buyer with respect to the LLCs, (ii) it has inspected each of the Facilities, and as of the Closing Date, it will have inspected each of the Facilities and reviewed the Project Documents and all other due diligence items made available by Seller with respect to the LLCs to the extent it deems necessary or advisable, and (iii) it is relying upon Seller’s representations and warranties expressly contained herein and its own inspections and investigation in order to satisfy itself as to the condition and suitability of each of the Facilities.  </w:t>
      </w:r>
    </w:p>
    <w:p>
      <w:pPr>
        <w:pStyle w:val="BodyText2"/>
        <w:bidi w:val="0"/>
        <w:spacing w:before="0" w:after="120"/>
        <w:ind w:hanging="0" w:start="360" w:end="0"/>
        <w:jc w:val="start"/>
        <w:rPr>
          <w:rFonts w:ascii="Times New Roman" w:hAnsi="Times New Roman"/>
          <w:sz w:val="24"/>
        </w:rPr>
      </w:pPr>
      <w:r>
        <w:rPr>
          <w:sz w:val="24"/>
        </w:rPr>
      </w:r>
    </w:p>
    <w:p>
      <w:pPr>
        <w:pStyle w:val="Heading1"/>
        <w:numPr>
          <w:ilvl w:val="0"/>
          <w:numId w:val="16"/>
        </w:numPr>
        <w:bidi w:val="0"/>
        <w:ind w:hanging="0" w:start="0" w:end="0"/>
        <w:outlineLvl w:val="0"/>
        <w:rPr>
          <w:rFonts w:ascii="Times New Roman" w:hAnsi="Times New Roman"/>
        </w:rPr>
      </w:pPr>
      <w:r>
        <w:rPr/>
        <w:br/>
        <w:t>Access and Confidentiality</w:t>
      </w:r>
    </w:p>
    <w:p>
      <w:pPr>
        <w:pStyle w:val="Heading2"/>
        <w:numPr>
          <w:ilvl w:val="1"/>
          <w:numId w:val="16"/>
        </w:numPr>
        <w:bidi w:val="0"/>
        <w:ind w:firstLine="720" w:start="0" w:end="0"/>
        <w:outlineLvl w:val="1"/>
        <w:rPr>
          <w:rFonts w:ascii="Times New Roman" w:hAnsi="Times New Roman"/>
        </w:rPr>
      </w:pPr>
      <w:r>
        <w:rPr>
          <w:u w:val="single"/>
        </w:rPr>
        <w:t>General Access</w:t>
      </w:r>
      <w:r>
        <w:rPr/>
        <w:t>.  Promptly following the execution of this Agreement and until the Closing Date (or earlier termination of this Agreement), Seller shall permit (and with respect to each of the LLCs, Seller shall cause such LLC to permit) Buyer and its representatives: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to have reasonable access, at reasonable times and upon reasonable advance notice, in Seller’s, its Affiliates’ and each of the LLC’s offices and in a manner so as not to interfere unduly with the business operations of Seller, its Affiliates or any of the LLCs, to the employees, books, records, contracts, and documents of Seller, its Affiliates and each of the LLCs relating to its Business or Facility insofar as the same may be disclosed without (a) violating any legal constraints or any legal obligation that can’t be waived or avoided through the commercially reasonable efforts of Seller and its Affiliates to do so, (b) waiving (or otherwise protecting through the use of joint defense agreements with Buyer or otherwise) any attorney/client, work product, or like privilege, (c) disclosing information about the activities of Seller or its Affiliates (other than the LLCs) that is unrelated to the LLCs or the operation of the Facilities, or (d) disclosing proprietary models of Seller or any of its Affiliates pertaining to energy project evaluation, energy or natural gas price curves or projections, or other economic predictive models; and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subject to any required consent of any third Person (that can’t be obtained through the commercially reasonable efforts of Seller and its Affiliates to do so) and upon reasonable advance notice to Seller, to conduct at reasonable times and at Buyer’s sole risk, cost, and expense, in the presence of representatives of Seller, reasonable inspections of the Facilities.</w:t>
      </w:r>
    </w:p>
    <w:p>
      <w:pPr>
        <w:pStyle w:val="Heading4"/>
        <w:numPr>
          <w:ilvl w:val="3"/>
          <w:numId w:val="16"/>
        </w:numPr>
        <w:bidi w:val="0"/>
        <w:ind w:firstLine="720" w:start="1440" w:end="0"/>
        <w:outlineLvl w:val="3"/>
        <w:rPr>
          <w:rFonts w:ascii="Times New Roman" w:hAnsi="Times New Roman"/>
        </w:rPr>
      </w:pPr>
      <w:r>
        <w:rPr/>
        <w:t>Buyer agrees to indemnify and hold harmless, release, and defend the Seller Indemnified Parties and the LLCs from and against any and all Losses arising, in whole or in part, from the acts or omissions of the Buyer Indemnified Parties in connection with Buyer’s inspection of the Facilities and other assets and records of Seller or the LLCs, including claims for personal injuries, property damage, and reasonable attorneys’ fees and expenses.</w:t>
      </w:r>
    </w:p>
    <w:p>
      <w:pPr>
        <w:pStyle w:val="BodyText"/>
        <w:bidi w:val="0"/>
        <w:jc w:val="both"/>
        <w:rPr>
          <w:rFonts w:ascii="Times New Roman" w:hAnsi="Times New Roman"/>
        </w:rPr>
      </w:pPr>
      <w:r>
        <w:rPr/>
        <w:t xml:space="preserve">Nothing in this </w:t>
      </w:r>
      <w:r>
        <w:rPr>
          <w:u w:val="single"/>
        </w:rPr>
        <w:t>Article 5</w:t>
      </w:r>
      <w:r>
        <w:rPr/>
        <w:t xml:space="preserve"> shall be construed to permit Buyer or its representatives to have access to any files, records, contracts, or documents of Seller or any of the LLCs relating to any bids or offers received by Seller or the LLCs for the sale of the LLC Interests or the Facilities, it being agreed that all such bids or offers shall be the sole property of Seller.</w:t>
      </w:r>
    </w:p>
    <w:p>
      <w:pPr>
        <w:pStyle w:val="Heading2"/>
        <w:numPr>
          <w:ilvl w:val="1"/>
          <w:numId w:val="16"/>
        </w:numPr>
        <w:bidi w:val="0"/>
        <w:ind w:firstLine="720" w:start="0" w:end="0"/>
        <w:outlineLvl w:val="1"/>
        <w:rPr>
          <w:rFonts w:ascii="Times New Roman" w:hAnsi="Times New Roman"/>
        </w:rPr>
      </w:pPr>
      <w:r>
        <w:rPr>
          <w:u w:val="single"/>
        </w:rPr>
        <w:t>Confidential Information</w:t>
      </w:r>
      <w:r>
        <w:rPr/>
        <w:t xml:space="preserve">.  </w:t>
      </w:r>
    </w:p>
    <w:p>
      <w:pPr>
        <w:pStyle w:val="Heading3"/>
        <w:numPr>
          <w:ilvl w:val="2"/>
          <w:numId w:val="16"/>
        </w:numPr>
        <w:bidi w:val="0"/>
        <w:ind w:firstLine="720" w:start="0" w:end="0"/>
        <w:outlineLvl w:val="2"/>
        <w:rPr>
          <w:rFonts w:ascii="Times New Roman" w:hAnsi="Times New Roman"/>
        </w:rPr>
      </w:pPr>
      <w:r>
        <w:rPr/>
        <w:t>Prior to the Closing Date, Buyer agrees to maintain all information made available to it under this Agreement or under the Confidentiality Agreement confidential and to cause its officers, directors, agents, employees, representatives, consultants, and advisors to maintain all information made available to them under this Agreement confidential, to the extent provided in that certain confidentiality agreement dated [________], 2000 (the “</w:t>
      </w:r>
      <w:r>
        <w:rPr>
          <w:rStyle w:val="Emphasis"/>
          <w:lang w:val="en-US" w:eastAsia="en-US"/>
        </w:rPr>
        <w:t>Confidentiality Agreement</w:t>
      </w:r>
      <w:r>
        <w:rPr/>
        <w:t xml:space="preserve">”), by and between Seller and Buyer’s Affiliate which is attached hereto as </w:t>
      </w:r>
      <w:r>
        <w:rPr>
          <w:u w:val="single"/>
        </w:rPr>
        <w:t>Exhibit 5.2</w:t>
      </w:r>
      <w:r>
        <w:rPr/>
        <w:t xml:space="preserve">, the terms of which are incorporated herein by reference and made a part of this Agreement (except that such Agreement shall not bind Buyer or its Affiliates after Closing).  From and after the Closing Date, Seller shall have no rights under the Confidentiality Agreement and Buyer shall have no further obligations under this </w:t>
      </w:r>
      <w:r>
        <w:rPr>
          <w:u w:val="single"/>
        </w:rPr>
        <w:t>Section 5.2</w:t>
      </w:r>
      <w:r>
        <w:rPr/>
        <w:t xml:space="preserve"> with respect to information relating to the LLCs.</w:t>
      </w:r>
    </w:p>
    <w:p>
      <w:pPr>
        <w:pStyle w:val="Heading3"/>
        <w:numPr>
          <w:ilvl w:val="2"/>
          <w:numId w:val="16"/>
        </w:numPr>
        <w:bidi w:val="0"/>
        <w:ind w:firstLine="720" w:start="0" w:end="0"/>
        <w:outlineLvl w:val="2"/>
        <w:rPr>
          <w:rFonts w:ascii="Times New Roman" w:hAnsi="Times New Roman"/>
        </w:rPr>
      </w:pPr>
      <w:r>
        <w:rPr/>
        <w:t>From and after the Closing Date, any data or information received at any time by Seller from Buyer and any data or information regarding the LLCs, including data or information regarding their assets and operations, shall be maintained by Seller and its representatives in confidence and not used for any purpose other than matters relating to Governmental Authorities (including Tax controversies) or disputes with Buyer pursuant to this Agreement for a period of two years.</w:t>
      </w:r>
    </w:p>
    <w:p>
      <w:pPr>
        <w:pStyle w:val="Heading2"/>
        <w:numPr>
          <w:ilvl w:val="1"/>
          <w:numId w:val="16"/>
        </w:numPr>
        <w:bidi w:val="0"/>
        <w:ind w:firstLine="720" w:start="0" w:end="0"/>
        <w:outlineLvl w:val="1"/>
        <w:rPr>
          <w:rFonts w:ascii="Times New Roman" w:hAnsi="Times New Roman"/>
        </w:rPr>
      </w:pPr>
      <w:r>
        <w:rPr>
          <w:u w:val="single"/>
        </w:rPr>
        <w:t>No Shop</w:t>
      </w:r>
      <w:r>
        <w:rPr/>
        <w:t xml:space="preserve">.  Seller shall not, and shall cause each of its Affiliates and their respective officers, directors, employees, agents and representatives (including any investment bankers, attorneys or accountants retained by such Persons) not to, engage in any negotiations or discussions with a third party with respect to (i) a merger, consolidation or similar transaction involving any of the LLCs, or (ii) any purchase of all or any significant portion of the assets of or any equity interest in any of the LLCs (each such proposal being an </w:t>
      </w:r>
      <w:r>
        <w:rPr>
          <w:i/>
        </w:rPr>
        <w:t>“Acquisition Proposal”</w:t>
      </w:r>
      <w:r>
        <w:rPr/>
        <w:t>).    Seller shall request each Person who has heretofore executed a confidentiality agreement, if any, in connection with its consideration of an Acquisition Proposal (other than Buyer, its Affiliates and their representatives) to return all confidential information heretofore furnished to such Person by or behalf of Seller or any of the LLCs.  Furthermore, if Seller or any of its Affiliates has received any Acquisition Proposals, Seller shall deliver to Buyer, at the Closing, true and complete copies of such Acquisition Proposals and any and all correspondence relating thereto.</w:t>
      </w:r>
    </w:p>
    <w:p>
      <w:pPr>
        <w:pStyle w:val="Heading1"/>
        <w:numPr>
          <w:ilvl w:val="0"/>
          <w:numId w:val="16"/>
        </w:numPr>
        <w:bidi w:val="0"/>
        <w:ind w:hanging="0" w:start="0" w:end="0"/>
        <w:outlineLvl w:val="0"/>
        <w:rPr>
          <w:rFonts w:ascii="Times New Roman" w:hAnsi="Times New Roman"/>
        </w:rPr>
      </w:pPr>
      <w:r>
        <w:rPr/>
        <w:br/>
        <w:t>Tax Matters</w:t>
      </w:r>
    </w:p>
    <w:p>
      <w:pPr>
        <w:pStyle w:val="Heading2"/>
        <w:numPr>
          <w:ilvl w:val="1"/>
          <w:numId w:val="16"/>
        </w:numPr>
        <w:bidi w:val="0"/>
        <w:ind w:firstLine="720" w:start="0" w:end="0"/>
        <w:outlineLvl w:val="1"/>
        <w:rPr>
          <w:rFonts w:ascii="Times New Roman" w:hAnsi="Times New Roman"/>
          <w:sz w:val="22"/>
        </w:rPr>
      </w:pPr>
      <w:r>
        <w:rPr>
          <w:u w:val="single"/>
        </w:rPr>
        <w:t>Preparation</w:t>
      </w:r>
      <w:r>
        <w:rPr/>
        <w:t xml:space="preserve">.  Any Tax Return to be prepared pursuant to the provisions of this </w:t>
      </w:r>
      <w:r>
        <w:rPr>
          <w:u w:val="single"/>
        </w:rPr>
        <w:t>Section 6.1</w:t>
      </w:r>
      <w:r>
        <w:rPr/>
        <w:t xml:space="preserve"> shall be prepared in a manner consistent with practices followed in prior years with respect to similar Tax Returns, except for changes required by changes in Law or fact.  Buyer shall not file an amended Tax Return for any period ending on or prior to the Closing Date without the consent of Seller, which may be withheld in Seller’s reasonable discretion.  The following provisions shall govern the allocation of responsibility as between Buyer and Seller for certain Tax matters following the Closing Date:</w:t>
      </w:r>
    </w:p>
    <w:p>
      <w:pPr>
        <w:pStyle w:val="Heading4"/>
        <w:numPr>
          <w:ilvl w:val="3"/>
          <w:numId w:val="16"/>
        </w:numPr>
        <w:bidi w:val="0"/>
        <w:ind w:firstLine="720" w:start="1440" w:end="0"/>
        <w:outlineLvl w:val="3"/>
        <w:rPr>
          <w:rFonts w:ascii="Times New Roman" w:hAnsi="Times New Roman"/>
          <w:sz w:val="22"/>
        </w:rPr>
      </w:pPr>
      <w:r>
        <w:rPr>
          <w:u w:val="single"/>
        </w:rPr>
        <w:t>Tax Periods Ending on or Before the Closing Date</w:t>
      </w:r>
      <w:r>
        <w:rPr/>
        <w:t>.  Seller shall prepare or cause to be prepared and file or cause to be filed all Tax Returns for the LLCs for all periods ending on or prior to the Closing Date regardless of when they are to be filed.  Seller shall pay the Taxes attributable to the LLCs with respect to such periods.  Buyer and Seller acknowledge that for federal income tax purposes the taxable year of each LLC shall end on the Closing Date.</w:t>
      </w:r>
    </w:p>
    <w:p>
      <w:pPr>
        <w:pStyle w:val="Heading4"/>
        <w:numPr>
          <w:ilvl w:val="3"/>
          <w:numId w:val="16"/>
        </w:numPr>
        <w:bidi w:val="0"/>
        <w:ind w:firstLine="720" w:start="1440" w:end="0"/>
        <w:outlineLvl w:val="3"/>
        <w:rPr>
          <w:rFonts w:ascii="Times New Roman" w:hAnsi="Times New Roman"/>
        </w:rPr>
      </w:pPr>
      <w:r>
        <w:rPr>
          <w:u w:val="single"/>
        </w:rPr>
        <w:t>Tax Periods Beginning Before and Ending After the Closing Date</w:t>
      </w:r>
      <w:r>
        <w:rPr/>
        <w:t xml:space="preserve">.  Buyer shall prepare or cause to be prepared and file or cause to be filed any Tax Returns of the LLCs for Tax periods which begin before the Closing Date and end after the Closing Date.  Seller shall pay to Buyer within fifteen (15) days after the date on which Taxes are paid with respect to such periods an amount equal to the portion of such Taxes which relates to the portion of such Tax period ending on the Closing Date. </w:t>
      </w:r>
    </w:p>
    <w:p>
      <w:pPr>
        <w:pStyle w:val="Heading2"/>
        <w:numPr>
          <w:ilvl w:val="1"/>
          <w:numId w:val="16"/>
        </w:numPr>
        <w:bidi w:val="0"/>
        <w:ind w:firstLine="720" w:start="0" w:end="0"/>
        <w:outlineLvl w:val="1"/>
        <w:rPr>
          <w:rFonts w:ascii="Times New Roman" w:hAnsi="Times New Roman"/>
        </w:rPr>
      </w:pPr>
      <w:r>
        <w:rPr>
          <w:u w:val="single"/>
        </w:rPr>
        <w:t>Access to Information</w:t>
      </w:r>
      <w:r>
        <w:rPr/>
        <w:t>.  After Closing, Seller shall grant to Buyer (or its designees) access at all reasonable times to all of the information, books, and records relating to each of the LLCs within the possession of Seller (including work papers and correspondence with taxing authorities), and shall afford Buyer (or its designees) the right (at Buyer’s expense) to take extracts therefrom and to make copies thereof, to the extent reasonably necessary to permit Buyer (or its designees) to prepare Tax Returns and to conduct negotiations with taxing authorities.  After Closing, Buyer shall grant or cause each of the LLCs to grant to Seller (or its designees) access at all reasonable times to all of the information, books and records relating to such LLC within the possession of Buyer or such LLC (including work papers and correspondence with taxing authorities), and shall afford Seller (or its designees) the right (at Seller’s expense) to take extracts therefrom and to make copies thereof, to the extent reasonably necessary to permit Seller (or its designees) to prepare Tax Returns and to conduct negotiations with taxing authorities.</w:t>
      </w:r>
    </w:p>
    <w:p>
      <w:pPr>
        <w:pStyle w:val="Heading2"/>
        <w:numPr>
          <w:ilvl w:val="1"/>
          <w:numId w:val="16"/>
        </w:numPr>
        <w:bidi w:val="0"/>
        <w:ind w:firstLine="720" w:start="0" w:end="0"/>
        <w:outlineLvl w:val="1"/>
        <w:rPr>
          <w:rFonts w:ascii="Times New Roman" w:hAnsi="Times New Roman"/>
        </w:rPr>
      </w:pPr>
      <w:r>
        <w:rPr>
          <w:u w:val="single"/>
        </w:rPr>
        <w:t>Transfer Taxes</w:t>
      </w:r>
      <w:r>
        <w:rPr/>
        <w:t xml:space="preserve">.  </w:t>
      </w:r>
      <w:r>
        <w:rPr>
          <w:strike/>
        </w:rPr>
        <w:t>Seller</w:t>
      </w:r>
      <w:r>
        <w:rPr/>
        <w:t xml:space="preserve"> </w:t>
      </w:r>
      <w:r>
        <w:rPr>
          <w:b/>
          <w:u w:val="double"/>
        </w:rPr>
        <w:t>Buyer</w:t>
      </w:r>
      <w:r>
        <w:rPr/>
        <w:t xml:space="preserve"> shall be responsible for the payment of all Transfer Taxes resulting from the transactions contemplated by this Agreement.</w:t>
      </w:r>
    </w:p>
    <w:p>
      <w:pPr>
        <w:pStyle w:val="Heading2"/>
        <w:numPr>
          <w:ilvl w:val="1"/>
          <w:numId w:val="16"/>
        </w:numPr>
        <w:bidi w:val="0"/>
        <w:ind w:firstLine="720" w:start="0" w:end="0"/>
        <w:outlineLvl w:val="1"/>
        <w:rPr>
          <w:rFonts w:ascii="Times New Roman" w:hAnsi="Times New Roman"/>
        </w:rPr>
      </w:pPr>
      <w:r>
        <w:rPr>
          <w:u w:val="single"/>
        </w:rPr>
        <w:t>Tax Sharing Agreements</w:t>
      </w:r>
      <w:r>
        <w:rPr/>
        <w:t>.  On or before the Closing Date, Seller and each of the LLCs shall ensure that no Tax indemnity agreement, Tax allocation agreement or Tax sharing agreement with respect to any such LLC is in force or effect as to any such LLC and that there shall be no liability of any such LLC after the Closing Date under any such agreement.</w:t>
      </w:r>
    </w:p>
    <w:p>
      <w:pPr>
        <w:pStyle w:val="Heading2"/>
        <w:numPr>
          <w:ilvl w:val="1"/>
          <w:numId w:val="16"/>
        </w:numPr>
        <w:bidi w:val="0"/>
        <w:ind w:firstLine="720" w:start="0" w:end="0"/>
        <w:outlineLvl w:val="1"/>
        <w:rPr>
          <w:rFonts w:ascii="Times New Roman" w:hAnsi="Times New Roman"/>
        </w:rPr>
      </w:pPr>
      <w:r>
        <w:rPr>
          <w:u w:val="single"/>
        </w:rPr>
        <w:t>Assistance and Cooperation</w:t>
      </w:r>
      <w:r>
        <w:rPr/>
        <w:t>.  After the Closing Date, in the case of any audit, examination, or other proceeding with respect to Taxes (“</w:t>
      </w:r>
      <w:r>
        <w:rPr>
          <w:rStyle w:val="Emphasis"/>
          <w:lang w:val="en-US" w:eastAsia="en-US"/>
        </w:rPr>
        <w:t>Tax Proceeding</w:t>
      </w:r>
      <w:r>
        <w:rPr/>
        <w:t xml:space="preserve">”) for which Seller is or may be liable pursuant to this Agreement, Buyer shall inform Seller within a reasonable period of the receipt of any notice of such Tax Proceeding, and shall afford Seller, at Seller’s expense, the opportunity to control the conduct of such Tax Proceeding.  The Failure of Buyer to inform Seller of such Tax Proceeding shall not affect the indemnity obligations of Seller pursuant to </w:t>
      </w:r>
      <w:r>
        <w:rPr>
          <w:u w:val="single"/>
        </w:rPr>
        <w:t xml:space="preserve">Article </w:t>
      </w:r>
      <w:r>
        <w:rPr/>
        <w:t xml:space="preserve">6 hereof.  Buyer shall execute or cause to be executed powers of attorney or other documents reasonably necessary to enable Seller to take all actions desired by Seller with respect to such Tax Proceeding to the extent such Tax Proceeding may affect the amount of Taxes for which Seller is liable pursuant to this Agreement.  Seller shall have the right to control any such Tax Proceeding and to initiate any claim for refund, file any amended return, or take any other action which it deems appropriate with respect to such Taxes.  </w:t>
      </w:r>
    </w:p>
    <w:p>
      <w:pPr>
        <w:pStyle w:val="Heading2"/>
        <w:numPr>
          <w:ilvl w:val="1"/>
          <w:numId w:val="16"/>
        </w:numPr>
        <w:bidi w:val="0"/>
        <w:ind w:firstLine="720" w:start="0" w:end="0"/>
        <w:outlineLvl w:val="1"/>
        <w:rPr>
          <w:rFonts w:ascii="Times New Roman" w:hAnsi="Times New Roman"/>
        </w:rPr>
      </w:pPr>
      <w:r>
        <w:rPr>
          <w:u w:val="single"/>
        </w:rPr>
        <w:t>Tax Indemnity</w:t>
      </w:r>
      <w:r>
        <w:rPr/>
        <w:t xml:space="preserve">.  Notwithstanding any other provisions of this Agreement, </w:t>
      </w:r>
      <w:r>
        <w:rPr>
          <w:u w:val="single"/>
        </w:rPr>
        <w:t>Sections 6.6</w:t>
      </w:r>
      <w:r>
        <w:rPr/>
        <w:t xml:space="preserve"> and </w:t>
      </w:r>
      <w:r>
        <w:rPr>
          <w:u w:val="single"/>
        </w:rPr>
        <w:t>6.7</w:t>
      </w:r>
      <w:r>
        <w:rPr/>
        <w:t xml:space="preserve"> shall apply to indemnifications by Seller to Buyer for, and shall be the sole remedy for Buyer in respect of, the Losses described in the following sentence.  Seller agrees to indemnify and hold harmless Buyer from and against the entirety of any and all Losses that Buyer may suffer for any Taxes attributable to the LLCs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to the portion of such period beginning before and ending on the Closing Date).  No right to indemnity shall exist if the Loss is solely the result of actions of Buyer or its Affiliates.</w:t>
      </w:r>
    </w:p>
    <w:p>
      <w:pPr>
        <w:pStyle w:val="Heading2"/>
        <w:numPr>
          <w:ilvl w:val="1"/>
          <w:numId w:val="16"/>
        </w:numPr>
        <w:bidi w:val="0"/>
        <w:ind w:firstLine="720" w:start="0" w:end="0"/>
        <w:outlineLvl w:val="1"/>
        <w:rPr>
          <w:rFonts w:ascii="Times New Roman" w:hAnsi="Times New Roman"/>
        </w:rPr>
      </w:pPr>
      <w:r>
        <w:rPr>
          <w:u w:val="single"/>
        </w:rPr>
        <w:t>Tax Indemnity Claims</w:t>
      </w:r>
      <w:r>
        <w:rPr/>
        <w:t xml:space="preserve">.  The provisions of this </w:t>
      </w:r>
      <w:r>
        <w:rPr>
          <w:u w:val="single"/>
        </w:rPr>
        <w:t>Section 6.7</w:t>
      </w:r>
      <w:r>
        <w:rPr/>
        <w:t xml:space="preserve"> shall apply only to the indemnification provided for under </w:t>
      </w:r>
      <w:r>
        <w:rPr>
          <w:u w:val="single"/>
        </w:rPr>
        <w:t>Section 6.6</w:t>
      </w:r>
      <w:r>
        <w:rPr/>
        <w:t xml:space="preserve">.  If a claim for Taxes is made against Buyer and if Buyer intends to seek indemnity with respect thereto under </w:t>
      </w:r>
      <w:r>
        <w:rPr>
          <w:u w:val="single"/>
        </w:rPr>
        <w:t>Section 6.6</w:t>
      </w:r>
      <w:r>
        <w:rPr/>
        <w:t xml:space="preserve">, Buyer shall promptly furnish written notice to Seller of such claim.  Failure of Buyer to so notify Seller within a reasonable period of the claim being made against Buyer shall terminate all rights of Buyer to indemnity by Seller as to such claim to the extent Seller is adversely affected thereby, but shall not otherwise affect the indemnity obligations of Seller pursuant to </w:t>
      </w:r>
      <w:r>
        <w:rPr>
          <w:u w:val="single"/>
        </w:rPr>
        <w:t>Article 6</w:t>
      </w:r>
      <w:r>
        <w:rPr/>
        <w:t xml:space="preserve"> hereof.  Seller shall have thirty (30) days after receipt of such notice to undertake, conduct, and control (through counsel of its own choosing and at its own expense) the settlement or defense thereof, and Buyer shall cooperate with it in connection therewith.  Seller shall permit Buyer to participate in such settlement or defense through counsel chosen by Buyer (but the fees and expenses of such counsel shall be paid by Buyer).  So long as Seller, at Seller’s cost and expense, (i) has undertaken the defense of, and assumed full responsibility for all indemnified Losses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Buyer for payment of such claim, Buyer shall not pay or settle any such claim.  Notwithstanding compliance by Seller with the preceding sentence, Buyer shall have the right to pay or settle any such claim, but in such event it shall waive any right to indemnity by Seller for such claim.  If within thirty (30) days after the receipt of Buyer’s notice of a claim of indemnity hereunder, Seller does not notify Buyer that it elects (at Seller’s cost and expense) to undertake the defense thereof and assume full responsibility for all indemnified Losses with respect thereto, or gives such notice and thereafter fails to contest such claim in good faith or to prevent action to foreclose a lien against or attachment of Buyer’s property as contemplated above, Buyer shall have the right to contest, settle, or compromise such claim and Buyer shall not thereby waive any right to indemnity for such claim under this Agreement.</w:t>
      </w:r>
    </w:p>
    <w:p>
      <w:pPr>
        <w:pStyle w:val="Heading2"/>
        <w:numPr>
          <w:ilvl w:val="1"/>
          <w:numId w:val="16"/>
        </w:numPr>
        <w:bidi w:val="0"/>
        <w:ind w:firstLine="720" w:start="0" w:end="0"/>
        <w:outlineLvl w:val="1"/>
        <w:rPr>
          <w:rFonts w:ascii="Times New Roman" w:hAnsi="Times New Roman"/>
        </w:rPr>
      </w:pPr>
      <w:r>
        <w:rPr>
          <w:u w:val="single"/>
        </w:rPr>
        <w:t>Tax Refunds</w:t>
      </w:r>
      <w:r>
        <w:rPr/>
        <w:t xml:space="preserve">.  Refunds of Taxes paid or payable with respect to Taxes attributable to the LLCs shall be promptly paid as follows (or to the extent payable but not paid due to offset against other Taxes shall be promptly paid by the Party receiving the benefit of the offset as follows):  (i) to Seller if attributable to Taxes with respect to any Tax year or portion thereof ending on or before the Closing Date (or for any Tax year beginning before and ending after the Closing Date to the extent allocable (determined in a manner consistent with </w:t>
      </w:r>
      <w:r>
        <w:rPr>
          <w:u w:val="single"/>
        </w:rPr>
        <w:t>Section 6.1</w:t>
      </w:r>
      <w:r>
        <w:rPr/>
        <w:t xml:space="preserve">) to the portion of such period beginning before and ending on the Closing Date); and (ii) to Buyer if attributable to Taxes with respect to any Tax year or portion thereof beginning after the Closing Date (or for any Tax year beginning before and ending after the Closing Date to the extent allocable (determined in a manner consistent with </w:t>
      </w:r>
      <w:r>
        <w:rPr>
          <w:u w:val="single"/>
        </w:rPr>
        <w:t>Section 6.1</w:t>
      </w:r>
      <w:r>
        <w:rPr/>
        <w:t>) to the portion of such period ending after the Closing Date).</w:t>
      </w:r>
    </w:p>
    <w:p>
      <w:pPr>
        <w:pStyle w:val="Heading1"/>
        <w:numPr>
          <w:ilvl w:val="0"/>
          <w:numId w:val="16"/>
        </w:numPr>
        <w:bidi w:val="0"/>
        <w:ind w:hanging="0" w:start="0" w:end="0"/>
        <w:outlineLvl w:val="0"/>
        <w:rPr>
          <w:rFonts w:ascii="Times New Roman" w:hAnsi="Times New Roman"/>
        </w:rPr>
      </w:pPr>
      <w:r>
        <w:rPr/>
        <w:br/>
        <w:t>Covenants of Seller and Buyer</w:t>
      </w:r>
    </w:p>
    <w:p>
      <w:pPr>
        <w:pStyle w:val="Heading2"/>
        <w:numPr>
          <w:ilvl w:val="1"/>
          <w:numId w:val="16"/>
        </w:numPr>
        <w:bidi w:val="0"/>
        <w:ind w:firstLine="720" w:start="0" w:end="0"/>
        <w:outlineLvl w:val="1"/>
        <w:rPr>
          <w:rFonts w:ascii="Times New Roman" w:hAnsi="Times New Roman"/>
        </w:rPr>
      </w:pPr>
      <w:r>
        <w:rPr>
          <w:u w:val="single"/>
        </w:rPr>
        <w:t>Conduct of Business Pending Closing</w:t>
      </w:r>
      <w:r>
        <w:rPr/>
        <w:t xml:space="preserve">.  Subject to </w:t>
      </w:r>
      <w:r>
        <w:rPr>
          <w:u w:val="single"/>
        </w:rPr>
        <w:t>Section 7.2</w:t>
      </w:r>
      <w:r>
        <w:rPr/>
        <w:t xml:space="preserve"> and the constraints of applicable Project Documents, except as disclosed in </w:t>
      </w:r>
      <w:r>
        <w:rPr>
          <w:u w:val="single"/>
        </w:rPr>
        <w:t>Schedule 7.1</w:t>
      </w:r>
      <w:r>
        <w:rPr/>
        <w:t xml:space="preserve"> or as otherwise consented to or approved in writing by Buyer (which consent or approval shall not be unreasonably withheld, conditioned, or delayed), Seller covenants and agrees that: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Changes in Business</w:t>
      </w:r>
      <w:r>
        <w:rPr/>
        <w:t>.  Seller shall cause each of the LLCs to comply with the following:</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make any material change in the conduct of its business or operations[, except as contemplated by the matters described in Part I of </w:t>
      </w:r>
      <w:r>
        <w:rPr>
          <w:u w:val="single"/>
        </w:rPr>
        <w:t>Schedule 7.1]</w:t>
      </w:r>
      <w:r>
        <w:rPr/>
        <w: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except for the transfer of the Transferred Contracts as provided in </w:t>
      </w:r>
      <w:r>
        <w:rPr>
          <w:u w:val="single"/>
        </w:rPr>
        <w:t>Section 7.1(d)</w:t>
      </w:r>
      <w:r>
        <w:rPr/>
        <w:t>, no LLC shall enter into, assign, terminate, or amend, in any material respect, any Project Document;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LLC shall:</w:t>
      </w:r>
    </w:p>
    <w:p>
      <w:pPr>
        <w:pStyle w:val="Heading5"/>
        <w:numPr>
          <w:ilvl w:val="4"/>
          <w:numId w:val="16"/>
        </w:numPr>
        <w:bidi w:val="0"/>
        <w:ind w:firstLine="720" w:start="2160" w:end="0"/>
        <w:outlineLvl w:val="4"/>
        <w:rPr>
          <w:rFonts w:ascii="Times New Roman" w:hAnsi="Times New Roman"/>
        </w:rPr>
      </w:pPr>
      <w:r>
        <w:rPr/>
        <w:t>declare or pay any dividends or make any distributions in respect of, or issue any of, its equity securities or securities convertible into its equity securities, or repurchase, redeem, or otherwise acquire any such securities or make or propose to make any other change in its capitalization; provided, however, that on or before the Closing Date, Seller shall have the right to cause such LLC to dividend to Seller any or all of the cash held by such LLC;</w:t>
      </w:r>
    </w:p>
    <w:p>
      <w:pPr>
        <w:pStyle w:val="Heading5"/>
        <w:numPr>
          <w:ilvl w:val="4"/>
          <w:numId w:val="16"/>
        </w:numPr>
        <w:bidi w:val="0"/>
        <w:ind w:firstLine="720" w:start="2160" w:end="0"/>
        <w:outlineLvl w:val="4"/>
        <w:rPr>
          <w:rFonts w:ascii="Times New Roman" w:hAnsi="Times New Roman"/>
        </w:rPr>
      </w:pPr>
      <w:r>
        <w:rPr/>
        <w:t>merge into or with or consolidate with any other Person or acquire all or substantially all of the business or assets of any Person;</w:t>
      </w:r>
    </w:p>
    <w:p>
      <w:pPr>
        <w:pStyle w:val="Heading5"/>
        <w:numPr>
          <w:ilvl w:val="4"/>
          <w:numId w:val="16"/>
        </w:numPr>
        <w:bidi w:val="0"/>
        <w:ind w:firstLine="720" w:start="2160" w:end="0"/>
        <w:outlineLvl w:val="4"/>
        <w:rPr>
          <w:rFonts w:ascii="Times New Roman" w:hAnsi="Times New Roman"/>
        </w:rPr>
      </w:pPr>
      <w:r>
        <w:rPr/>
        <w:t xml:space="preserve">make any material change in its Certificate of Formation or Limited Liability Company Agreement; </w:t>
      </w:r>
    </w:p>
    <w:p>
      <w:pPr>
        <w:pStyle w:val="Heading5"/>
        <w:numPr>
          <w:ilvl w:val="4"/>
          <w:numId w:val="16"/>
        </w:numPr>
        <w:tabs>
          <w:tab w:val="clear" w:pos="720"/>
          <w:tab w:val="left" w:pos="3240" w:leader="none"/>
        </w:tabs>
        <w:bidi w:val="0"/>
        <w:ind w:firstLine="720" w:start="2160" w:end="0"/>
        <w:outlineLvl w:val="4"/>
        <w:rPr>
          <w:rFonts w:ascii="Times New Roman" w:hAnsi="Times New Roman"/>
        </w:rPr>
      </w:pPr>
      <w:r>
        <w:rPr/>
        <w:t>purchase any securities of any Person; or</w:t>
      </w:r>
    </w:p>
    <w:p>
      <w:pPr>
        <w:pStyle w:val="Heading5"/>
        <w:numPr>
          <w:ilvl w:val="4"/>
          <w:numId w:val="16"/>
        </w:numPr>
        <w:bidi w:val="0"/>
        <w:ind w:firstLine="720" w:start="2160" w:end="0"/>
        <w:outlineLvl w:val="4"/>
        <w:rPr>
          <w:rFonts w:ascii="Times New Roman" w:hAnsi="Times New Roman"/>
        </w:rPr>
      </w:pPr>
      <w:r>
        <w:rPr/>
        <w:t>incur any obligations for borrowed money or guarantee or otherwise become liable for the obligations of, or make any loans or advances to, any Person not an Affiliate of Seller.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other than pursuant to the requirements of the Project Documents, no LLC shall sell, lease, or otherwise dispose of any of its assets, except for the transfer or other disposition of the accounts receivable or advances due or owed to such LLC from any Affiliate of Seller;</w:t>
      </w:r>
      <w:r>
        <w:rPr>
          <w:strike/>
        </w:rPr>
        <w:t xml:space="preserve"> provided, however, for the purposes of this section 7.1(a)(iv), accounts receivable or advances due or owed shall not include any amounts owed to (or transmission credits for the benefit of) Gleason Power I, L.L.C. by the Tennessee Valley Authority or any other Person in connection with the Interconnection Agreement;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LLC shall take any action or enter into any commitment with respect to or in contemplation of any liquidation, dissolution, recapitalization, reorganization, or other winding up of its business or operations;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no LLC shall change its accounting policies or practices (including, without limitation, any change in depreciation or amortization policies), except as required under GAAP;</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enter into any employment agreement not terminable by such LLC at will and without cost to such LLC;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create any employee benefit plan (within the meaning of </w:t>
      </w:r>
      <w:r>
        <w:rPr>
          <w:u w:val="single"/>
        </w:rPr>
        <w:t>Section 3(3)</w:t>
      </w:r>
      <w:r>
        <w:rPr/>
        <w:t xml:space="preserve"> of ERISA) or any other employee benefit plan or program not subject to ERISA, except as required by Law;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take (or fail to take) any action that will or could reasonably be anticipated to cause such LLC (1) to lose its status as an exempt wholesale generator within the meaning of the Energy Policy Act of 1992 and applicable FERC regulations, or (2) to lose its authorization under the Federal Power Act to make wholesale sales of capacity and energy at market-based rates;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take (or fail to take) any action required to comply with any applicable Law; and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no LLC shall take any action that, had it occurred prior to the date of this Agreement, would have resulted in a breach of Seller’s representations and warranties in </w:t>
      </w:r>
      <w:r>
        <w:rPr>
          <w:u w:val="single"/>
        </w:rPr>
        <w:t>Section 4.1</w:t>
      </w:r>
      <w:r>
        <w:rPr/>
        <w: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Liens</w:t>
      </w:r>
      <w:r>
        <w:rPr/>
        <w:t>.  Seller shall not, and will cause each of the LLCs not to, grant any express Lien on any assets of such LLC, except to the extent required or evidenced by any of the Project Documents.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Operation of Facilities</w:t>
      </w:r>
      <w:r>
        <w:rPr/>
        <w:t>.  Seller shall:</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cause each Facility to be maintained and operated in the ordinary course of business consistent with such LLC’s past practices (including the repair or replacement of damaged, destroyed, obsolete, depreciated, non-working, or non-economical items of equipment or other personal property) and in accordance with Good Operating Practices, maintain insurance now in force with respect to such Facility, and pay or cause to be paid all costs and expenses in connection therewith promptly when due, but Seller shall not be obligated by this clause (i) to cause any LLC to operate its Facility; and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cause each of the LLCs to use its reasonable efforts to maintain its relationships with employees of any Affiliate of Seller assigned to the Businesses of the LLCs, suppliers, customers, and others having material business relationships relating to the LLCs, the Facilities or the Businesses so that they will be preserved for Buyer on and after the Closing Date.</w:t>
      </w:r>
    </w:p>
    <w:p>
      <w:pPr>
        <w:pStyle w:val="Heading3"/>
        <w:numPr>
          <w:ilvl w:val="2"/>
          <w:numId w:val="16"/>
        </w:numPr>
        <w:bidi w:val="0"/>
        <w:ind w:firstLine="720" w:start="0" w:end="0"/>
        <w:outlineLvl w:val="2"/>
        <w:rPr>
          <w:rFonts w:ascii="Times New Roman" w:hAnsi="Times New Roman"/>
        </w:rPr>
      </w:pPr>
      <w:r>
        <w:rPr>
          <w:u w:val="single"/>
        </w:rPr>
        <w:t>Transferred Contracts</w:t>
      </w:r>
      <w:r>
        <w:rPr/>
        <w:t xml:space="preserve">.  On or before the Closing Date, Seller shall cause each of the contracts described in </w:t>
      </w:r>
      <w:r>
        <w:rPr>
          <w:u w:val="single"/>
        </w:rPr>
        <w:t>Part II</w:t>
      </w:r>
      <w:r>
        <w:rPr/>
        <w:t xml:space="preserve"> of </w:t>
      </w:r>
      <w:r>
        <w:rPr>
          <w:u w:val="single"/>
        </w:rPr>
        <w:t>Schedule 7.1</w:t>
      </w:r>
      <w:r>
        <w:rPr/>
        <w:t xml:space="preserve"> (the </w:t>
      </w:r>
      <w:r>
        <w:rPr>
          <w:i/>
        </w:rPr>
        <w:t>“Transferred Contracts”</w:t>
      </w:r>
      <w:r>
        <w:rPr/>
        <w:t xml:space="preserve">) to be assigned and transferred to, and assumed by, the LLC shown for each such Transferred Contract in </w:t>
      </w:r>
      <w:r>
        <w:rPr>
          <w:u w:val="single"/>
        </w:rPr>
        <w:t>Part II</w:t>
      </w:r>
      <w:r>
        <w:rPr/>
        <w:t xml:space="preserve"> of </w:t>
      </w:r>
      <w:r>
        <w:rPr>
          <w:u w:val="single"/>
        </w:rPr>
        <w:t>Schedule 7.1</w:t>
      </w:r>
      <w:r>
        <w:rPr/>
        <w:t>, pursuant to documents reasonably acceptable to Buyer.</w:t>
      </w:r>
    </w:p>
    <w:p>
      <w:pPr>
        <w:pStyle w:val="Heading2"/>
        <w:numPr>
          <w:ilvl w:val="1"/>
          <w:numId w:val="16"/>
        </w:numPr>
        <w:bidi w:val="0"/>
        <w:ind w:firstLine="720" w:start="0" w:end="0"/>
        <w:outlineLvl w:val="1"/>
        <w:rPr>
          <w:rFonts w:ascii="Times New Roman" w:hAnsi="Times New Roman"/>
        </w:rPr>
      </w:pPr>
      <w:r>
        <w:rPr>
          <w:u w:val="single"/>
        </w:rPr>
        <w:t>Qualifications on Conduct</w:t>
      </w:r>
      <w:r>
        <w:rPr/>
        <w:t xml:space="preserve">.  Seller and each of the LLCs may take (or not take, as the case may be) any of the actions described in </w:t>
      </w:r>
      <w:r>
        <w:rPr>
          <w:u w:val="single"/>
        </w:rPr>
        <w:t>Section 7.1</w:t>
      </w:r>
      <w:r>
        <w:rPr/>
        <w:t xml:space="preserve"> above if reasonably necessary in accordance with Good Operating Practices under emergency circumstances (or if required pursuant to Law) and provided Buyer is notified as soon thereafter as practicable, provided that Seller shall reimburse Buyer at the Closing for any Losses incurred by Buyer or the LLCs as a result thereof.</w:t>
      </w:r>
    </w:p>
    <w:p>
      <w:pPr>
        <w:pStyle w:val="Heading2"/>
        <w:numPr>
          <w:ilvl w:val="1"/>
          <w:numId w:val="16"/>
        </w:numPr>
        <w:bidi w:val="0"/>
        <w:ind w:firstLine="720" w:start="0" w:end="0"/>
        <w:outlineLvl w:val="1"/>
        <w:rPr>
          <w:rFonts w:ascii="Times New Roman" w:hAnsi="Times New Roman"/>
        </w:rPr>
      </w:pPr>
      <w:r>
        <w:rPr>
          <w:u w:val="single"/>
        </w:rPr>
        <w:t>Public Announcements</w:t>
      </w:r>
      <w:r>
        <w:rPr/>
        <w:t xml:space="preserve">.  </w:t>
      </w:r>
    </w:p>
    <w:p>
      <w:pPr>
        <w:pStyle w:val="Heading3"/>
        <w:numPr>
          <w:ilvl w:val="2"/>
          <w:numId w:val="16"/>
        </w:numPr>
        <w:bidi w:val="0"/>
        <w:ind w:firstLine="720" w:start="0" w:end="0"/>
        <w:outlineLvl w:val="2"/>
        <w:rPr>
          <w:rFonts w:ascii="Times New Roman" w:hAnsi="Times New Roman"/>
        </w:rPr>
      </w:pPr>
      <w:r>
        <w:rPr/>
        <w:t xml:space="preserve">Concurrently with the execution hereof, the Parties have mutually agreed upon the terms of the initial press releases or public statements to be issued by the Parties and their Affiliates with respect to this Agreement and the transactions contemplated hereby.  </w:t>
      </w:r>
    </w:p>
    <w:p>
      <w:pPr>
        <w:pStyle w:val="Heading3"/>
        <w:numPr>
          <w:ilvl w:val="2"/>
          <w:numId w:val="16"/>
        </w:numPr>
        <w:bidi w:val="0"/>
        <w:ind w:firstLine="720" w:start="0" w:end="0"/>
        <w:outlineLvl w:val="2"/>
        <w:rPr>
          <w:rFonts w:ascii="Times New Roman" w:hAnsi="Times New Roman"/>
        </w:rPr>
      </w:pPr>
      <w:r>
        <w:rPr/>
        <w:t xml:space="preserve">Without the prior written approval of the other Party, no Party will issue, or permit any agent or Affiliate of such Party to issue, any subsequent press releases or otherwise make, or cause any agent or Affiliate of such Party to make, any subsequent public statements (which shall include all such releases or statements other than the initial release or statement referenced in </w:t>
      </w:r>
      <w:r>
        <w:rPr>
          <w:u w:val="single"/>
        </w:rPr>
        <w:t>Section 7.3(a)</w:t>
      </w:r>
      <w:r>
        <w:rPr/>
        <w:t xml:space="preserve"> above) with respect to this Agreement and the transactions contemplated hereby, except when such release or statement is deemed in good faith by the releasing Party to be required by Law or under the applicable rules and regulations of a stock exchange or market on which the securities of the releasing Party or any of its Affiliates are listed.  In each case to which such exception applies, the releasing Party will provide a copy of such release or statement to the other Party and shall incorporate any reasonable changes which are suggested by the non-releasing Party in a timely manner prior to releasing or making the statement.  </w:t>
      </w:r>
    </w:p>
    <w:p>
      <w:pPr>
        <w:pStyle w:val="Heading2"/>
        <w:numPr>
          <w:ilvl w:val="1"/>
          <w:numId w:val="16"/>
        </w:numPr>
        <w:bidi w:val="0"/>
        <w:ind w:firstLine="720" w:start="0" w:end="0"/>
        <w:outlineLvl w:val="1"/>
        <w:rPr>
          <w:rFonts w:ascii="Times New Roman" w:hAnsi="Times New Roman"/>
        </w:rPr>
      </w:pPr>
      <w:r>
        <w:rPr>
          <w:u w:val="single"/>
        </w:rPr>
        <w:t>Actions by Parties</w:t>
      </w:r>
      <w:r>
        <w:rPr/>
        <w:t xml:space="preserve">.  Each Party agrees to use commercially reasonable efforts to satisfy the conditions to Closing set forth in </w:t>
      </w:r>
      <w:r>
        <w:rPr>
          <w:u w:val="single"/>
        </w:rPr>
        <w:t>Article 8</w:t>
      </w:r>
      <w:r>
        <w:rPr/>
        <w:t xml:space="preserve"> and to refrain from taking any action within its control which would cause a breach of a representation or warranty set forth herein.</w:t>
      </w:r>
    </w:p>
    <w:p>
      <w:pPr>
        <w:pStyle w:val="Heading2"/>
        <w:numPr>
          <w:ilvl w:val="1"/>
          <w:numId w:val="16"/>
        </w:numPr>
        <w:bidi w:val="0"/>
        <w:ind w:firstLine="720" w:start="0" w:end="0"/>
        <w:outlineLvl w:val="1"/>
        <w:rPr>
          <w:rFonts w:ascii="Times New Roman" w:hAnsi="Times New Roman"/>
        </w:rPr>
      </w:pPr>
      <w:r>
        <w:rPr>
          <w:u w:val="single"/>
        </w:rPr>
        <w:t>Further Assurances</w:t>
      </w:r>
      <w:r>
        <w:rPr/>
        <w:t>.  Seller and Buyer each agree that from time to time after the Closing Date, it will execute and deliver or cause its respective Affiliates (including each of the LLCs) to execute and deliver such further instruments, and take (or cause its respective Affiliates, including each of the LLCs, to take) such other action, as may be reasonably necessary to carry out the purposes and intents of this Agreement.</w:t>
      </w:r>
    </w:p>
    <w:p>
      <w:pPr>
        <w:pStyle w:val="Heading2"/>
        <w:numPr>
          <w:ilvl w:val="1"/>
          <w:numId w:val="16"/>
        </w:numPr>
        <w:bidi w:val="0"/>
        <w:ind w:firstLine="720" w:start="0" w:end="0"/>
        <w:outlineLvl w:val="1"/>
        <w:rPr>
          <w:rFonts w:ascii="Times New Roman" w:hAnsi="Times New Roman"/>
        </w:rPr>
      </w:pPr>
      <w:r>
        <w:rPr>
          <w:u w:val="single"/>
        </w:rPr>
        <w:t>Records</w:t>
      </w:r>
      <w:r>
        <w:rPr/>
        <w:t>.  Buyer agrees to maintain, or cause each of the LLCs to maintain, the Records in existence on the Closing Date until the fifth (5th) anniversary of the Closing Date (or for such longer period of time as Seller shall advise Buyer is reasonably necessary to have the Records available with respect to open years for Tax audit purposes), or if any of the Records pertain to any claim or dispute pending on the fifth anniversary of the Closing Date, Buyer shall maintain any of the Records designated by Seller until such claim or dispute is finally resolved and the time for all appeals has been exhausted.  After the Closing Date, insofar as the such access may be provided without (a) violating any legal constraints or any legal obligation that can’t be waived or avoided through the commercially reasonable efforts of Buyer to do so, (b) waiving (or otherwise protecting through the use of joint defense agreements with Seller or otherwise) any attorney/client, work product, or like privilege, (c) disclosing information about the activities of Buyer or its Affiliates that is unrelated to the LLCs or the operation of the Facilities, or (d) disclosing proprietary models of Buyer or any of its Affiliates pertaining to energy project evaluation, energy or natural gas price curves or projections, or other economic predictive models, and subject to the consent rights of any third Person, after the Closing Date, Buyer shall provide or cause each of the LLCs to provide Seller and its representatives during normal business hours and upon reasonable notice reasonable access to and the right to copy the Records, at Seller’s cost and expense, for the purposes of:</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preparing and delivering any accounting statement provided for under this Agreement and adjusting, prorating, and settling the charges and credits provided for in this Agreement;</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complying with any Law affecting Seller’s ownership of the LLC Interests or the Facilities prior to the Closing Date;</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preparing any audit of the books and records of any third party relating to the LLC Interests or the Facilities prior to the Closing Date, or responding to any audit prepared by such third parties;</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preparing Tax Returns;</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responding to or disputing any Tax audit; or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asserting, defending, or otherwise dealing with any claim or dispute under this Agreement or with respect to any of the LLCs or its Facility.</w:t>
      </w:r>
    </w:p>
    <w:p>
      <w:pPr>
        <w:pStyle w:val="Heading2"/>
        <w:numPr>
          <w:ilvl w:val="1"/>
          <w:numId w:val="16"/>
        </w:numPr>
        <w:bidi w:val="0"/>
        <w:ind w:firstLine="720" w:start="0" w:end="0"/>
        <w:outlineLvl w:val="1"/>
        <w:rPr>
          <w:rFonts w:ascii="Times New Roman" w:hAnsi="Times New Roman"/>
        </w:rPr>
      </w:pPr>
      <w:r>
        <w:rPr>
          <w:u w:val="single"/>
        </w:rPr>
        <w:t>Regulatory and Other Authorizations and Consents</w:t>
      </w:r>
      <w:r>
        <w:rPr/>
        <w:t xml:space="preserve">.  </w:t>
      </w:r>
    </w:p>
    <w:p>
      <w:pPr>
        <w:pStyle w:val="Heading3"/>
        <w:numPr>
          <w:ilvl w:val="2"/>
          <w:numId w:val="16"/>
        </w:numPr>
        <w:bidi w:val="0"/>
        <w:ind w:firstLine="720" w:start="0" w:end="0"/>
        <w:outlineLvl w:val="2"/>
        <w:rPr>
          <w:rFonts w:ascii="Times New Roman" w:hAnsi="Times New Roman"/>
        </w:rPr>
      </w:pPr>
      <w:r>
        <w:rPr>
          <w:u w:val="single"/>
        </w:rPr>
        <w:t>Filings</w:t>
      </w:r>
      <w:r>
        <w:rPr/>
        <w:t xml:space="preserve">.  Each Party shall use commercially reasonable efforts to obtain all authorizations, consents, orders, and approvals of, and to give all notices to and make all filings with, all Governmental Authorities (including those pertaining to the Governmental Approvals) and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tenth (10th)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in each case so that the initial thirty (30) day waiting period applicable to this Agreement and the transactions contemplated hereby under the HSR Act shall expire as soon as practicable after the execution and delivery of this Agreement.  Each Party agrees to request, and to cooperate with the other Party in requesting, early termination of any applicable waiting period under the HSR Act.  Seller and Buyer shall each pay its own filing fees payable in connection with the filings required by the HSR Act.  </w:t>
      </w:r>
    </w:p>
    <w:p>
      <w:pPr>
        <w:pStyle w:val="Heading3"/>
        <w:numPr>
          <w:ilvl w:val="2"/>
          <w:numId w:val="16"/>
        </w:numPr>
        <w:bidi w:val="0"/>
        <w:ind w:firstLine="720" w:start="0" w:end="0"/>
        <w:outlineLvl w:val="2"/>
        <w:rPr>
          <w:rFonts w:ascii="Times New Roman" w:hAnsi="Times New Roman"/>
        </w:rPr>
      </w:pPr>
      <w:r>
        <w:rPr>
          <w:u w:val="single"/>
        </w:rPr>
        <w:t>Third Party Consents</w:t>
      </w:r>
      <w:r>
        <w:rPr/>
        <w:t>.  Buyer will use commercially reasonable efforts to assist Seller in obtaining any consents of third parties and Governmental Authorities necessary or advisable in connection with the transactions contemplated by this Agreement, including providing to such third parties and Governmental Authorities such publicly available financial information with respect to Buyer and its parent company as such third parties or Governmental Authorities may reasonably request.</w:t>
      </w:r>
    </w:p>
    <w:p>
      <w:pPr>
        <w:pStyle w:val="Heading2"/>
        <w:numPr>
          <w:ilvl w:val="1"/>
          <w:numId w:val="16"/>
        </w:numPr>
        <w:bidi w:val="0"/>
        <w:ind w:firstLine="720" w:start="0" w:end="0"/>
        <w:outlineLvl w:val="1"/>
        <w:rPr>
          <w:rFonts w:ascii="Times New Roman" w:hAnsi="Times New Roman"/>
        </w:rPr>
      </w:pPr>
      <w:r>
        <w:rPr>
          <w:u w:val="single"/>
        </w:rPr>
        <w:t>Fees and Expenses</w:t>
      </w:r>
      <w:r>
        <w:rPr/>
        <w:t>.  Except as otherwise expressly provided in this Agreement, all fees and expenses, including fees and expenses of counsel, financial advisors, and accountants, incurred in connection with this Agreement and the transactions contemplated hereby shall be paid by the Party incurring such fee or expense (and all such fees and expenses incurred by any of the LLCs shall be deemed to be incurred by Seller for this purpose), whether or not the Closing shall have occurred.  Buyer shall be obligated to pay any and all costs of any audit of the LLCs as may be required to enable Buyer to complete and file any filing by Buyer or an Affiliate of Buyer with the Securities and Exchange Commission.</w:t>
      </w:r>
    </w:p>
    <w:p>
      <w:pPr>
        <w:pStyle w:val="Heading2"/>
        <w:numPr>
          <w:ilvl w:val="1"/>
          <w:numId w:val="16"/>
        </w:numPr>
        <w:bidi w:val="0"/>
        <w:ind w:firstLine="720" w:start="0" w:end="0"/>
        <w:outlineLvl w:val="1"/>
        <w:rPr>
          <w:rFonts w:ascii="Times New Roman" w:hAnsi="Times New Roman"/>
        </w:rPr>
      </w:pPr>
      <w:r>
        <w:rPr>
          <w:u w:val="single"/>
        </w:rPr>
        <w:t>Casualty Loss</w:t>
      </w:r>
      <w:r>
        <w:rPr/>
        <w:t xml:space="preserve">.  </w:t>
      </w:r>
    </w:p>
    <w:p>
      <w:pPr>
        <w:pStyle w:val="Heading2"/>
        <w:numPr>
          <w:ilvl w:val="0"/>
          <w:numId w:val="0"/>
        </w:numPr>
        <w:tabs>
          <w:tab w:val="clear" w:pos="1080"/>
          <w:tab w:val="left" w:pos="720" w:leader="none"/>
        </w:tabs>
        <w:bidi w:val="0"/>
        <w:ind w:hanging="0" w:start="0" w:end="0"/>
        <w:outlineLvl w:val="1"/>
        <w:rPr>
          <w:rFonts w:ascii="Times New Roman" w:hAnsi="Times New Roman"/>
        </w:rPr>
      </w:pPr>
      <w:r>
        <w:rPr/>
        <w:tab/>
        <w:t xml:space="preserve">(a) </w:t>
        <w:tab/>
        <w:t xml:space="preserve">Notwithstanding anything to the contrary in this Agreement, in the event of damage by fire or other casualty to the Facility of any LLC prior to Closing that would not result in more than </w:t>
      </w:r>
      <w:r>
        <w:rPr>
          <w:strike/>
        </w:rPr>
        <w:t>$7,000,000</w:t>
      </w:r>
      <w:r>
        <w:rPr/>
        <w:t xml:space="preserve"> </w:t>
      </w:r>
      <w:r>
        <w:rPr>
          <w:b/>
          <w:u w:val="double"/>
        </w:rPr>
        <w:t>$20,000,000</w:t>
      </w:r>
      <w:r>
        <w:rPr/>
        <w:t xml:space="preserve"> of Losses to Buyer or any LLC (“</w:t>
      </w:r>
      <w:r>
        <w:rPr>
          <w:i/>
        </w:rPr>
        <w:t>Non-Material Casualty Loss</w:t>
      </w:r>
      <w:r>
        <w:rPr/>
        <w:t>”), this Agreement shall remain in full force and effect, and no failure of a condition to Closing shall be deemed to exist by virtue of such event, if, in any such event, Seller, at its option and in its sole discretion, (i) promptly commences to repair or replace the equipment or other materials damaged at the affected Facility and completes such repair or replacement work on or before the Closing Date, or (ii) agrees in writing to indemnify Buyer and the LLC owning the affected Facility from all Losses that may be incurred by Buyer or such LLC as a result of such casualty.</w:t>
      </w:r>
    </w:p>
    <w:p>
      <w:pPr>
        <w:pStyle w:val="BodyTextFirstIndent"/>
        <w:bidi w:val="0"/>
        <w:rPr>
          <w:rFonts w:ascii="Times New Roman" w:hAnsi="Times New Roman"/>
        </w:rPr>
      </w:pPr>
      <w:r>
        <w:rPr/>
        <w:t>(b)</w:t>
        <w:tab/>
        <w:t>In the event of damage by fire or other casualty to the Facility of any LLC prior to Closing that is not a Non-Material Casualty Loss (“</w:t>
      </w:r>
      <w:r>
        <w:rPr>
          <w:i/>
        </w:rPr>
        <w:t>Material Casualty Loss</w:t>
      </w:r>
      <w:r>
        <w:rPr/>
        <w:t xml:space="preserve">”), Buyer, at its option and in its sole discretion shall elect </w:t>
      </w:r>
      <w:r>
        <w:rPr>
          <w:strike/>
        </w:rPr>
        <w:t>(i) to require Seller to promptly commence efforts to repair or replace the equipment or other materials damaged at the affected Facility with such repair or replacement work to be completed on or before the Closing Date and to the reasonable satisfaction of Buyer</w:t>
      </w:r>
      <w:r>
        <w:rPr>
          <w:b/>
          <w:u w:val="double"/>
        </w:rPr>
        <w:t>(i) to require Seller to agree in writing to indemnify Buyer for such Losses as may be incurred by Buyer or any LLC in connection with such casualty</w:t>
      </w:r>
      <w:r>
        <w:rPr/>
        <w:t xml:space="preserve"> (in which case Seller agrees to do so), </w:t>
      </w:r>
      <w:r>
        <w:rPr>
          <w:strike/>
        </w:rPr>
        <w:t xml:space="preserve">(ii) to require Seller to agree in writing to indemnify Buyer for such other Losses as may be incurred by Buyer or any LLC in connection with such casualty (in which case Seller agrees to do so), or (iii) terminate this Agreement. </w:t>
      </w:r>
      <w:r>
        <w:rPr>
          <w:b/>
          <w:u w:val="double"/>
        </w:rPr>
        <w:t>or (ii) remove the LLC owning the affected Facility (and any of the LLCs owning or holding assets related to the affected Facility) (collectively, the “Affected LLCs”) from the purchase and sale contemplated by this Agreement in which event the Purchase Price shall be reduced by the amount shown in Schedule 7.9</w:t>
      </w:r>
      <w:r>
        <w:rPr/>
        <w:t xml:space="preserve"> </w:t>
      </w:r>
      <w:r>
        <w:rPr>
          <w:b/>
          <w:u w:val="double"/>
        </w:rPr>
        <w:t>for the Affected LLCs (the “</w:t>
      </w:r>
      <w:r>
        <w:rPr>
          <w:b/>
          <w:i/>
          <w:u w:val="double"/>
        </w:rPr>
        <w:t>Casualty Loss Amount</w:t>
      </w:r>
      <w:r>
        <w:rPr>
          <w:b/>
          <w:u w:val="double"/>
        </w:rPr>
        <w:t xml:space="preserve">”).  Upon receipt of such notice by Buyer, the Parties shall amend this Agreement to delete the Affected LLCs from Exhibit A, reduce the Purchase Price by an amount equal to the Casualty Loss Amount, and make such other changes to this Agreement as are necessary to reflect the removal of the Affected LLCs.  Additionally, the Parties shall promptly take such other actions as are reasonably necessary to reflect the removal of the Affected LLCs from the purchase and sale contemplated hereunder, including making necessary amendments or modifications to all notices to and filings with Governmental Authorities. </w:t>
      </w:r>
    </w:p>
    <w:p>
      <w:pPr>
        <w:pStyle w:val="Heading2"/>
        <w:numPr>
          <w:ilvl w:val="1"/>
          <w:numId w:val="16"/>
        </w:numPr>
        <w:bidi w:val="0"/>
        <w:ind w:firstLine="720" w:start="0" w:end="0"/>
        <w:outlineLvl w:val="1"/>
        <w:rPr>
          <w:rFonts w:ascii="Times New Roman" w:hAnsi="Times New Roman"/>
        </w:rPr>
      </w:pPr>
      <w:r>
        <w:rPr>
          <w:u w:val="single"/>
        </w:rPr>
        <w:t>Excluded Assets</w:t>
      </w:r>
      <w:r>
        <w:rPr/>
        <w:t xml:space="preserve">. Notwithstanding </w:t>
      </w:r>
      <w:r>
        <w:rPr>
          <w:u w:val="single"/>
        </w:rPr>
        <w:t>Article 9</w:t>
      </w:r>
      <w:r>
        <w:rPr/>
        <w:t xml:space="preserve"> hereof, the transactions contemplated by this Agreement exclude, and prior to the Closing Date, Seller may cause an LLC to transfer to Seller or any of its Affiliates (other than the LLCs) the following (the “</w:t>
      </w:r>
      <w:r>
        <w:rPr>
          <w:i/>
        </w:rPr>
        <w:t>Excluded Assets</w:t>
      </w:r>
      <w:r>
        <w:rPr/>
        <w:t>”):</w:t>
      </w:r>
    </w:p>
    <w:p>
      <w:pPr>
        <w:pStyle w:val="Heading3"/>
        <w:numPr>
          <w:ilvl w:val="2"/>
          <w:numId w:val="16"/>
        </w:numPr>
        <w:bidi w:val="0"/>
        <w:ind w:firstLine="720" w:start="0" w:end="0"/>
        <w:outlineLvl w:val="2"/>
        <w:rPr>
          <w:rFonts w:ascii="Times New Roman" w:hAnsi="Times New Roman"/>
        </w:rPr>
      </w:pPr>
      <w:r>
        <w:rPr/>
        <w:t xml:space="preserve">the assets listed or described on </w:t>
      </w:r>
      <w:r>
        <w:rPr>
          <w:u w:val="single"/>
        </w:rPr>
        <w:t>Schedule 7.10</w:t>
      </w:r>
      <w:r>
        <w:rPr/>
        <w:t>;</w:t>
      </w:r>
    </w:p>
    <w:p>
      <w:pPr>
        <w:pStyle w:val="Heading3"/>
        <w:numPr>
          <w:ilvl w:val="2"/>
          <w:numId w:val="16"/>
        </w:numPr>
        <w:bidi w:val="0"/>
        <w:ind w:firstLine="720" w:start="0" w:end="0"/>
        <w:outlineLvl w:val="2"/>
        <w:rPr>
          <w:rFonts w:ascii="Times New Roman" w:hAnsi="Times New Roman"/>
        </w:rPr>
      </w:pPr>
      <w:r>
        <w:rPr/>
        <w:t>all insurance policies and rights under any insurance policies in respect to any and all claims made under such policies (whether such claims are asserted before or after the Closing Date) and all rights to any proceeds payable under any such policy; and</w:t>
      </w:r>
    </w:p>
    <w:p>
      <w:pPr>
        <w:pStyle w:val="Heading3"/>
        <w:numPr>
          <w:ilvl w:val="2"/>
          <w:numId w:val="16"/>
        </w:numPr>
        <w:bidi w:val="0"/>
        <w:ind w:firstLine="720" w:start="0" w:end="0"/>
        <w:outlineLvl w:val="2"/>
        <w:rPr>
          <w:rFonts w:ascii="Times New Roman" w:hAnsi="Times New Roman"/>
        </w:rPr>
      </w:pPr>
      <w:r>
        <w:rPr/>
        <w:t>the Enron Marks.</w:t>
      </w:r>
    </w:p>
    <w:p>
      <w:pPr>
        <w:pStyle w:val="BodyText"/>
        <w:bidi w:val="0"/>
        <w:jc w:val="both"/>
        <w:rPr>
          <w:rFonts w:ascii="Times New Roman" w:hAnsi="Times New Roman"/>
        </w:rPr>
      </w:pPr>
      <w:r>
        <w:rPr/>
        <w:t xml:space="preserve">Seller’s representations and warranties in </w:t>
      </w:r>
      <w:r>
        <w:rPr>
          <w:u w:val="single"/>
        </w:rPr>
        <w:t>Article 4</w:t>
      </w:r>
      <w:r>
        <w:rPr/>
        <w:t xml:space="preserve"> shall not apply to any of the items described in clauses (a) through (c) of the preceding sentence.</w:t>
      </w:r>
    </w:p>
    <w:p>
      <w:pPr>
        <w:pStyle w:val="Heading2"/>
        <w:numPr>
          <w:ilvl w:val="1"/>
          <w:numId w:val="16"/>
        </w:numPr>
        <w:bidi w:val="0"/>
        <w:ind w:firstLine="720" w:start="0" w:end="0"/>
        <w:outlineLvl w:val="1"/>
        <w:rPr>
          <w:rFonts w:ascii="Times New Roman" w:hAnsi="Times New Roman"/>
        </w:rPr>
      </w:pPr>
      <w:r>
        <w:rPr>
          <w:u w:val="single"/>
        </w:rPr>
        <w:t>Guarantees and Other Affiliate Contracts</w:t>
      </w:r>
      <w:r>
        <w:rPr/>
        <w:t xml:space="preserve">.  Buyer and Seller shall cooperate and use commercially reasonable efforts (which shall not include any obligation of Seller to pay any cost or expense or incur any obligation) in order that, effective as of the Closing Date, (i) the Guarantees shall be released as to Seller or its Affiliate and (ii) substitute arrangements in substantially the same form as the respective Guarantees, if required, of Buyer or its Affiliates shall be in effect; provided, however, that if Buyer and Seller are unable to cause any of the Guarantees to be released as to Seller and its Affiliates prior to the Closing Date, then Buyer shall provide (or cause to be provided) to Seller and Enron Corp. a guaranty in a form and from a Person reasonably acceptable to Seller guaranteeing the performance by Buyer of all obligations under such unreleased Guarantees from and after the Closing Date (the </w:t>
      </w:r>
      <w:r>
        <w:rPr>
          <w:i/>
        </w:rPr>
        <w:t>“Back-to-Back Guaranty”</w:t>
      </w:r>
      <w:r>
        <w:rPr/>
        <w:t>).  Prior to or contemporaneously with the Closing, all other agreements (including all loans or advances due from any of the LLCs) between any of the LLCs and Seller or any of its Affiliates (other than the LLCs) shall be canceled or terminated.</w:t>
      </w:r>
    </w:p>
    <w:p>
      <w:pPr>
        <w:pStyle w:val="Heading2"/>
        <w:numPr>
          <w:ilvl w:val="1"/>
          <w:numId w:val="16"/>
        </w:numPr>
        <w:bidi w:val="0"/>
        <w:ind w:firstLine="720" w:start="0" w:end="0"/>
        <w:outlineLvl w:val="1"/>
        <w:rPr>
          <w:rFonts w:ascii="Times New Roman" w:hAnsi="Times New Roman"/>
        </w:rPr>
      </w:pPr>
      <w:r>
        <w:rPr>
          <w:u w:val="single"/>
        </w:rPr>
        <w:t>Use of Enron Marks</w:t>
      </w:r>
      <w:r>
        <w:rPr/>
        <w:t>.  Enron Marks will appear on some of the assets of the LLCs, including on signage at the Facilities, and on supplies, materials, stationery, brochures, advertising materials, manuals and similar consumable items of the LLCs.  Buyer acknowledges and agrees that it obtains no right, title, interest, license, or any other right whatsoever to use the Enron Marks.  Buyer shall, (i) within ninety days after the Closing Date, remove the Enron Marks from the assets of the LLCs, including signage at the Facilities, and provide written verification thereof to Seller promptly after completing such removal and (ii) within two weeks after the Closing Date, return or destroy (with proof of destruction) all other assets of the LLCs that contain any Enron Marks that are not removable.  Buyer agrees never to challenge Seller’s (or its Affiliates’) ownership of the Enron Marks or any application for registration thereof or any registration thereof or any rights of Seller or its Affiliates therein as a result, directly or indirectly, of its ownership of the LLCs.  Buyer will not do any business or offer any goods or services under the Enron Marks.  Buyer will not send, or cause to be sent, any correspondence or other materials to any Person on any stationery that contains any Enron Marks or otherwise operate the LLCs in any manner which would or might reasonably be expected to confuse any Person into believing that Buyer has any right, title, interest, or license to use the Enron Marks.</w:t>
      </w:r>
    </w:p>
    <w:p>
      <w:pPr>
        <w:pStyle w:val="Heading2"/>
        <w:numPr>
          <w:ilvl w:val="1"/>
          <w:numId w:val="16"/>
        </w:numPr>
        <w:bidi w:val="0"/>
        <w:ind w:firstLine="720" w:start="0" w:end="0"/>
        <w:outlineLvl w:val="1"/>
        <w:rPr>
          <w:rFonts w:ascii="Times New Roman" w:hAnsi="Times New Roman"/>
        </w:rPr>
      </w:pPr>
      <w:r>
        <w:rPr>
          <w:u w:val="single"/>
        </w:rPr>
        <w:t>Insurance</w:t>
      </w:r>
      <w:r>
        <w:rPr/>
        <w:t xml:space="preserve">.  Buyer acknowledges and agrees that, effective upon the Closing, the insurance policies of Seller related to the LLCs shall be terminated or modified to exclude coverage of all or any portion of the LLCs by Seller, and, as a result, Buyer shall be obligated at or before Closing to obtain at its sole cost and expense replacement insurance, including insurance required by any third party to be maintained by any of the LLCs.  Buyer further acknowledges and agrees that Buyer may need to provide to certain Governmental Authorities and third parties evidence of such replacement or substitute insurance coverage for the continued operations of the Businesses of the LLCs following the Closing.  </w:t>
      </w:r>
    </w:p>
    <w:p>
      <w:pPr>
        <w:pStyle w:val="Heading2"/>
        <w:numPr>
          <w:ilvl w:val="1"/>
          <w:numId w:val="16"/>
        </w:numPr>
        <w:bidi w:val="0"/>
        <w:ind w:firstLine="720" w:start="0" w:end="0"/>
        <w:outlineLvl w:val="1"/>
        <w:rPr>
          <w:rFonts w:ascii="Times New Roman" w:hAnsi="Times New Roman"/>
        </w:rPr>
      </w:pPr>
      <w:r>
        <w:rPr>
          <w:u w:val="single"/>
        </w:rPr>
        <w:t>Seller and Buyer Guaranties</w:t>
      </w:r>
      <w:r>
        <w:rPr/>
        <w:t xml:space="preserve">.  Concurrently with the execution and delivery of this Agreement, Seller has caused Enron Corp. and Buyer has caused Duke Capital Corporation, to execute and deliver to such other Party a Guaranty Agreement substantially in the form attached hereto as </w:t>
      </w:r>
      <w:r>
        <w:rPr>
          <w:u w:val="single"/>
        </w:rPr>
        <w:t>Exhibit 7.14</w:t>
      </w:r>
      <w:r>
        <w:rPr/>
        <w:t xml:space="preserve"> guaranteeing the full and complete payment and performance by Seller and Buyer, respectively, of its obligations under this Agreement and the other agreements executed and delivered by such Party, respectively, in connection herewith.</w:t>
      </w:r>
    </w:p>
    <w:p>
      <w:pPr>
        <w:pStyle w:val="Heading2"/>
        <w:numPr>
          <w:ilvl w:val="1"/>
          <w:numId w:val="16"/>
        </w:numPr>
        <w:bidi w:val="0"/>
        <w:ind w:firstLine="720" w:start="0" w:end="0"/>
        <w:outlineLvl w:val="1"/>
        <w:rPr>
          <w:rFonts w:ascii="Times New Roman" w:hAnsi="Times New Roman"/>
        </w:rPr>
      </w:pPr>
      <w:r>
        <w:rPr>
          <w:u w:val="single"/>
        </w:rPr>
        <w:t>Notice of Certain Events</w:t>
      </w:r>
      <w:r>
        <w:rPr/>
        <w:t>.  From the date hereof until the Closing Date, each of Seller and Buyer shall promptly notify the other of:</w:t>
      </w:r>
    </w:p>
    <w:p>
      <w:pPr>
        <w:pStyle w:val="Heading3"/>
        <w:numPr>
          <w:ilvl w:val="2"/>
          <w:numId w:val="16"/>
        </w:numPr>
        <w:bidi w:val="0"/>
        <w:ind w:firstLine="720" w:start="0" w:end="0"/>
        <w:outlineLvl w:val="2"/>
        <w:rPr>
          <w:rFonts w:ascii="Times New Roman" w:hAnsi="Times New Roman"/>
        </w:rPr>
      </w:pPr>
      <w:r>
        <w:rPr/>
        <w:t>any notice or other communication from any Person alleging that the consent or approval of such Person is or may be required in connection with the transactions contemplated by this Agreement;</w:t>
      </w:r>
    </w:p>
    <w:p>
      <w:pPr>
        <w:pStyle w:val="Heading3"/>
        <w:numPr>
          <w:ilvl w:val="2"/>
          <w:numId w:val="16"/>
        </w:numPr>
        <w:bidi w:val="0"/>
        <w:ind w:firstLine="720" w:start="0" w:end="0"/>
        <w:outlineLvl w:val="2"/>
        <w:rPr>
          <w:rFonts w:ascii="Times New Roman" w:hAnsi="Times New Roman"/>
        </w:rPr>
      </w:pPr>
      <w:r>
        <w:rPr/>
        <w:t>any material notice from or communication with any Governmental Authority in connection with the transactions contemplated by this Agreement;</w:t>
      </w:r>
    </w:p>
    <w:p>
      <w:pPr>
        <w:pStyle w:val="Heading3"/>
        <w:numPr>
          <w:ilvl w:val="2"/>
          <w:numId w:val="16"/>
        </w:numPr>
        <w:bidi w:val="0"/>
        <w:ind w:firstLine="720" w:start="0" w:end="0"/>
        <w:outlineLvl w:val="2"/>
        <w:rPr>
          <w:rFonts w:ascii="Times New Roman" w:hAnsi="Times New Roman"/>
        </w:rPr>
      </w:pPr>
      <w:r>
        <w:rPr/>
        <w:t>any actions, suits, claims, investigations or proceedings commenced or, to the Knowledge of (i) any of Seller or the LLCs or (ii) Buyer, as applicable, threatened against, relating to, or involving or otherwise affecting such Party or the LLCs that, if pending on the date of this Agreement, are material and which either would have been required to have been disclosed pursuant to any provision of this Agreement or relate to the consummation of the transactions contemplated by this Agreement; or</w:t>
      </w:r>
    </w:p>
    <w:p>
      <w:pPr>
        <w:pStyle w:val="Heading3"/>
        <w:numPr>
          <w:ilvl w:val="2"/>
          <w:numId w:val="16"/>
        </w:numPr>
        <w:bidi w:val="0"/>
        <w:ind w:firstLine="720" w:start="0" w:end="0"/>
        <w:outlineLvl w:val="2"/>
        <w:rPr>
          <w:rFonts w:ascii="Times New Roman" w:hAnsi="Times New Roman"/>
        </w:rPr>
      </w:pPr>
      <w:r>
        <w:rPr/>
        <w:t>(i) the discovery by such Party that any representation or warranty made by such Party contained in this Agreement is untrue or inaccurate, (ii) the occurrence or failure to occur of any event which occurrence or failure to occur would be likely to cause any of the representations or warranties made by such Party in this Agreement to be incorrect at the Closing Date, and (iii) any failure on its part to comply with or satisfy any covenant or condition to be complied with or satisfied by it hereunder;</w:t>
      </w:r>
    </w:p>
    <w:p>
      <w:pPr>
        <w:pStyle w:val="Heading2"/>
        <w:numPr>
          <w:ilvl w:val="0"/>
          <w:numId w:val="0"/>
        </w:numPr>
        <w:tabs>
          <w:tab w:val="clear" w:pos="1080"/>
          <w:tab w:val="left" w:pos="720" w:leader="none"/>
        </w:tabs>
        <w:bidi w:val="0"/>
        <w:ind w:hanging="0" w:start="0" w:end="0"/>
        <w:outlineLvl w:val="1"/>
        <w:rPr>
          <w:rFonts w:ascii="Times New Roman" w:hAnsi="Times New Roman"/>
        </w:rPr>
      </w:pPr>
      <w:r>
        <w:rPr/>
        <w:t xml:space="preserve">provided, however, that the delivery of any notice pursuant to this </w:t>
      </w:r>
      <w:r>
        <w:rPr>
          <w:u w:val="single"/>
        </w:rPr>
        <w:t>Section 7.15</w:t>
      </w:r>
      <w:r>
        <w:rPr/>
        <w:t xml:space="preserve"> shall not limit or otherwise affect the remedies available hereunder to the Party receiving such notice.</w:t>
      </w:r>
    </w:p>
    <w:p>
      <w:pPr>
        <w:pStyle w:val="Heading2"/>
        <w:numPr>
          <w:ilvl w:val="1"/>
          <w:numId w:val="16"/>
        </w:numPr>
        <w:bidi w:val="0"/>
        <w:ind w:firstLine="720" w:start="0" w:end="0"/>
        <w:outlineLvl w:val="1"/>
        <w:rPr>
          <w:rFonts w:ascii="Times New Roman" w:hAnsi="Times New Roman"/>
        </w:rPr>
      </w:pPr>
      <w:r>
        <w:rPr>
          <w:u w:val="single"/>
        </w:rPr>
        <w:t>Employee Matters</w:t>
      </w:r>
      <w:r>
        <w:rPr/>
        <w:t>.  Buyer may offer employment from and after the Closing to any employee of Operational Energy Corp. assigned to the Businesses of the LLCs, on such terms and conditions as Buyer may reasonably determine, but Buyer shall not be obligated to do so pursuant to this Agreement.  Prior to the Closing, upon reasonable prior notice to Seller, Buyer may communicate with any employee of Operational Energy Corp. assigned to the Businesses of the LLCs about employment with Buyer.</w:t>
      </w:r>
    </w:p>
    <w:p>
      <w:pPr>
        <w:pStyle w:val="Heading1"/>
        <w:numPr>
          <w:ilvl w:val="0"/>
          <w:numId w:val="16"/>
        </w:numPr>
        <w:bidi w:val="0"/>
        <w:ind w:hanging="0" w:start="0" w:end="0"/>
        <w:outlineLvl w:val="0"/>
        <w:rPr>
          <w:rFonts w:ascii="Times New Roman" w:hAnsi="Times New Roman"/>
        </w:rPr>
      </w:pPr>
      <w:r>
        <w:rPr/>
        <w:br/>
        <w:t>Closing Conditions</w:t>
      </w:r>
    </w:p>
    <w:p>
      <w:pPr>
        <w:pStyle w:val="Heading2"/>
        <w:numPr>
          <w:ilvl w:val="1"/>
          <w:numId w:val="16"/>
        </w:numPr>
        <w:bidi w:val="0"/>
        <w:ind w:firstLine="720" w:start="0" w:end="0"/>
        <w:outlineLvl w:val="1"/>
        <w:rPr>
          <w:rFonts w:ascii="Times New Roman" w:hAnsi="Times New Roman"/>
        </w:rPr>
      </w:pPr>
      <w:r>
        <w:rPr>
          <w:u w:val="single"/>
        </w:rPr>
        <w:t>Seller’s Closing Conditions</w:t>
      </w:r>
      <w:r>
        <w:rPr/>
        <w:t>.  The obligation of Seller to proceed with the Closing contemplated hereby is subject, at the option of Seller, to the satisfaction on or prior to the Closing Date of all of the following conditions: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Representations, Warranties, and Covenants</w:t>
      </w:r>
      <w:r>
        <w:rPr/>
        <w:t xml:space="preserve">.  The representations and warranties of Buyer contained in </w:t>
      </w:r>
      <w:r>
        <w:rPr>
          <w:u w:val="single"/>
        </w:rPr>
        <w:t>Section 4.2</w:t>
      </w:r>
      <w:r>
        <w:rPr/>
        <w:t xml:space="preserve"> of this Agreement shall be true and correct in all material respects on and as of the Closing Date, and the covenants and agreements of Buyer to be performed on or before the Closing Date shall have been duly performed in all material respects in accordance with this Agreement.</w:t>
      </w:r>
    </w:p>
    <w:p>
      <w:pPr>
        <w:pStyle w:val="Heading3"/>
        <w:numPr>
          <w:ilvl w:val="2"/>
          <w:numId w:val="16"/>
        </w:numPr>
        <w:bidi w:val="0"/>
        <w:ind w:firstLine="720" w:start="0" w:end="0"/>
        <w:outlineLvl w:val="2"/>
        <w:rPr>
          <w:rFonts w:ascii="Times New Roman" w:hAnsi="Times New Roman"/>
        </w:rPr>
      </w:pPr>
      <w:r>
        <w:rPr>
          <w:u w:val="single"/>
        </w:rPr>
        <w:t>Certificate</w:t>
      </w:r>
      <w:r>
        <w:rPr/>
        <w:t>.</w:t>
        <w:tab/>
        <w:t xml:space="preserve">Buyer shall have delivered to Seller a certificate, dated the Closing Date, executed on behalf of Buyer by its chief executive officer, chief financial officer, chief operating officer, president or a vice president, to the effect that (i) the representations and warranties of Buyer contained in </w:t>
      </w:r>
      <w:r>
        <w:rPr>
          <w:u w:val="single"/>
        </w:rPr>
        <w:t>Section 4.2</w:t>
      </w:r>
      <w:r>
        <w:rPr/>
        <w:t xml:space="preserve"> of the Agreement are true and correct in all material respects as of such date, and (ii) the covenants and agreements of Buyer to be performed on or before the Closing Date have been duly performed in all material respects in accordance with the terms of the Agreement.</w:t>
      </w:r>
    </w:p>
    <w:p>
      <w:pPr>
        <w:pStyle w:val="Heading3"/>
        <w:numPr>
          <w:ilvl w:val="2"/>
          <w:numId w:val="16"/>
        </w:numPr>
        <w:bidi w:val="0"/>
        <w:ind w:firstLine="720" w:start="0" w:end="0"/>
        <w:outlineLvl w:val="2"/>
        <w:rPr>
          <w:rFonts w:ascii="Times New Roman" w:hAnsi="Times New Roman"/>
        </w:rPr>
      </w:pPr>
      <w:r>
        <w:rPr>
          <w:u w:val="single"/>
        </w:rPr>
        <w:t>Closing Documents</w:t>
      </w:r>
      <w:r>
        <w:rPr/>
        <w:t xml:space="preserve">.  On or prior to the Closing Date, Buyer shall have delivered, or be standing ready to deliver at the Closing, all agreements, instruments, and documents required to be delivered by Buyer under </w:t>
      </w:r>
      <w:r>
        <w:rPr>
          <w:u w:val="single"/>
        </w:rPr>
        <w:t>Section 9.3</w:t>
      </w:r>
      <w:r>
        <w:rPr/>
        <w:t xml:space="preserve">.  </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Action</w:t>
      </w:r>
      <w:r>
        <w:rPr/>
        <w:t>.  On the Closing Date, no Action (excluding any such matter initiated by Seller or any of its Affiliates) shall be pending or threatened before any Governmental Authority of competent jurisdiction seeking to enjoin or restrain the consummation of the Closing or recover substantial damages from Seller or any Affiliate of Seller resulting therefrom.</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numPr>
          <w:ilvl w:val="2"/>
          <w:numId w:val="16"/>
        </w:numPr>
        <w:bidi w:val="0"/>
        <w:ind w:firstLine="720" w:start="0" w:end="0"/>
        <w:outlineLvl w:val="2"/>
        <w:rPr>
          <w:rFonts w:ascii="Times New Roman" w:hAnsi="Times New Roman"/>
        </w:rPr>
      </w:pPr>
      <w:r>
        <w:rPr>
          <w:u w:val="single"/>
        </w:rPr>
        <w:t>Consents and Governmental Approvals</w:t>
      </w:r>
      <w:r>
        <w:rPr/>
        <w:t xml:space="preserve">.  The consents, filings and notices set forth on </w:t>
      </w:r>
      <w:r>
        <w:rPr>
          <w:u w:val="single"/>
        </w:rPr>
        <w:t>Schedule 4.1(h)</w:t>
      </w:r>
      <w:r>
        <w:rPr/>
        <w:t xml:space="preserve"> shall have been obtained or made and the Governmental Approvals required for the consummation of the transactions contemplated hereby shall have been obtained.</w:t>
      </w:r>
    </w:p>
    <w:p>
      <w:pPr>
        <w:pStyle w:val="Heading3"/>
        <w:numPr>
          <w:ilvl w:val="2"/>
          <w:numId w:val="16"/>
        </w:numPr>
        <w:tabs>
          <w:tab w:val="clear" w:pos="720"/>
          <w:tab w:val="left" w:pos="1080" w:leader="none"/>
        </w:tabs>
        <w:bidi w:val="0"/>
        <w:ind w:firstLine="720" w:start="0" w:end="0"/>
        <w:outlineLvl w:val="2"/>
        <w:rPr>
          <w:rFonts w:ascii="Times New Roman" w:hAnsi="Times New Roman"/>
        </w:rPr>
      </w:pPr>
      <w:r>
        <w:rPr>
          <w:rStyle w:val="Emphasis"/>
          <w:i w:val="false"/>
          <w:u w:val="single"/>
          <w:lang w:val="en-US" w:eastAsia="en-US"/>
        </w:rPr>
        <w:t>Purchase Price</w:t>
      </w:r>
      <w:r>
        <w:rPr/>
        <w:t>.  Buyer shall have delivered, or be standing ready to deliver at the Closing, the Closing Payment to Seller by wire transfer in immediately available funds.</w:t>
      </w:r>
    </w:p>
    <w:p>
      <w:pPr>
        <w:pStyle w:val="Heading3"/>
        <w:numPr>
          <w:ilvl w:val="2"/>
          <w:numId w:val="16"/>
        </w:numPr>
        <w:bidi w:val="0"/>
        <w:ind w:firstLine="720" w:start="0" w:end="0"/>
        <w:outlineLvl w:val="2"/>
        <w:rPr>
          <w:rFonts w:ascii="Times New Roman" w:hAnsi="Times New Roman"/>
        </w:rPr>
      </w:pPr>
      <w:r>
        <w:rPr>
          <w:u w:val="single"/>
        </w:rPr>
        <w:t>Guarantees</w:t>
      </w:r>
      <w:r>
        <w:rPr/>
        <w:t xml:space="preserve">.  Either (i) the Guarantees shall be released as to Seller and its Affiliates and, if required, substitute arrangements of Buyer or its Affiliates shall be in effect or (ii) Buyer shall have provided or cause to be provided the Back-to-Back Guaranty for those Guarantees from which Seller or its Affiliates are not released as of the Closing Date.  </w:t>
      </w:r>
    </w:p>
    <w:p>
      <w:pPr>
        <w:pStyle w:val="Heading2"/>
        <w:numPr>
          <w:ilvl w:val="1"/>
          <w:numId w:val="16"/>
        </w:numPr>
        <w:bidi w:val="0"/>
        <w:ind w:firstLine="720" w:start="0" w:end="0"/>
        <w:outlineLvl w:val="1"/>
        <w:rPr>
          <w:rFonts w:ascii="Times New Roman" w:hAnsi="Times New Roman"/>
        </w:rPr>
      </w:pPr>
      <w:r>
        <w:rPr>
          <w:u w:val="single"/>
        </w:rPr>
        <w:t>Buyer’s Closing Conditions</w:t>
      </w:r>
      <w:r>
        <w:rPr/>
        <w:t>.  The obligation of Buyer to proceed with the Closing contemplated hereby is subject, at the option of Buyer, to the satisfaction on or prior to the Closing Date of all of the following conditions:</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Representations, Warranties, and Covenants</w:t>
      </w:r>
      <w:r>
        <w:rPr/>
        <w:t xml:space="preserve">.  The representations and warranties of Seller in </w:t>
      </w:r>
      <w:r>
        <w:rPr>
          <w:u w:val="single"/>
        </w:rPr>
        <w:t>Section 4.1</w:t>
      </w:r>
      <w:r>
        <w:rPr/>
        <w:t xml:space="preserve"> of this Agreement shall be true and correct in all material respects on and as of the Closing Date, and the covenants and agreements of Seller to be performed on or before the Closing Date shall have been duly performed in all material respects in accordance with this Agreement.</w:t>
      </w:r>
    </w:p>
    <w:p>
      <w:pPr>
        <w:pStyle w:val="Heading3"/>
        <w:numPr>
          <w:ilvl w:val="2"/>
          <w:numId w:val="16"/>
        </w:numPr>
        <w:bidi w:val="0"/>
        <w:ind w:firstLine="720" w:start="0" w:end="0"/>
        <w:outlineLvl w:val="2"/>
        <w:rPr>
          <w:rFonts w:ascii="Times New Roman" w:hAnsi="Times New Roman"/>
        </w:rPr>
      </w:pPr>
      <w:r>
        <w:rPr>
          <w:u w:val="single"/>
        </w:rPr>
        <w:t>Certificate</w:t>
      </w:r>
      <w:r>
        <w:rPr/>
        <w:t xml:space="preserve">.  Seller shall have delivered to Buyer a certificate, dated the Closing Date, executed on behalf of Seller by its chief executive officer, chief financial officer, chief operating officer, president or a vice president, to the effect that (i) the representations and warranties of Seller contained in </w:t>
      </w:r>
      <w:r>
        <w:rPr>
          <w:u w:val="single"/>
        </w:rPr>
        <w:t>Section 4.1</w:t>
      </w:r>
      <w:r>
        <w:rPr/>
        <w:t xml:space="preserve"> of the Agreement are true and correct as of such date, and (ii) the covenants and agreements of Seller to be performed on or before the Closing Date have been duly performed in all material respects in accordance with the terms of the Agreement.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Closing Documents</w:t>
      </w:r>
      <w:r>
        <w:rPr/>
        <w:t xml:space="preserve">.  On or prior to the Closing Date, Seller shall have delivered, or be standing ready to deliver at the Closing, all agreements, instruments, and documents required to be delivered by Seller pursuant to </w:t>
      </w:r>
      <w:r>
        <w:rPr>
          <w:u w:val="single"/>
        </w:rPr>
        <w:t>Section 9.2</w:t>
      </w:r>
      <w:r>
        <w:rPr/>
        <w: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No Action</w:t>
      </w:r>
      <w:r>
        <w:rPr/>
        <w:t>.  On the Closing Date, no suit, action or other proceeding (excluding any such matter initiated by Buyer or any of its Affiliates) shall be pending or threatened before any court or governmental agency or body of competent jurisdiction seeking to enjoin or restrain the consummation of the Closing or recover substantial damages from Buyer, any LLC, or any Affiliate of Buyer resulting therefrom.</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Waiting Period</w:t>
      </w:r>
      <w:r>
        <w:rPr/>
        <w:t>.  The waiting period under the HSR Act applicable to the consummation of the transactions contemplated hereby shall have expired or been terminated or the Parties shall have otherwise complied with the HSR Act.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Consents and Governmental Approvals</w:t>
      </w:r>
      <w:r>
        <w:rPr/>
        <w:t>.  The consents, filings and notices set forth on Schedule 4.1(h) shall have been obtained or made and the Governmental Approvals required for the consummation of the transactions contemplated hereby shall have been obtained</w:t>
      </w:r>
    </w:p>
    <w:p>
      <w:pPr>
        <w:pStyle w:val="Heading3"/>
        <w:numPr>
          <w:ilvl w:val="2"/>
          <w:numId w:val="16"/>
        </w:numPr>
        <w:bidi w:val="0"/>
        <w:ind w:firstLine="720" w:start="0" w:end="0"/>
        <w:outlineLvl w:val="2"/>
        <w:rPr>
          <w:rFonts w:ascii="Times New Roman" w:hAnsi="Times New Roman"/>
          <w:strike/>
        </w:rPr>
      </w:pPr>
      <w:r>
        <w:rPr>
          <w:strike/>
        </w:rPr>
        <w:t>(g) Material Casualty Loss. All repair and replacement work shall have been completed in connection with any Material Casualty Loss that Buyer has elected to have Seller repair or replace pursuant to Section 7.9(b)(i).</w:t>
      </w:r>
    </w:p>
    <w:p>
      <w:pPr>
        <w:pStyle w:val="Heading3"/>
        <w:numPr>
          <w:ilvl w:val="2"/>
          <w:numId w:val="16"/>
        </w:numPr>
        <w:bidi w:val="0"/>
        <w:ind w:firstLine="720" w:start="0" w:end="0"/>
        <w:outlineLvl w:val="2"/>
        <w:rPr>
          <w:rFonts w:ascii="Times New Roman" w:hAnsi="Times New Roman"/>
        </w:rPr>
      </w:pPr>
      <w:r>
        <w:rPr>
          <w:strike/>
        </w:rPr>
        <w:t>(h)</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Title Insurance</w:t>
      </w:r>
      <w:r>
        <w:rPr>
          <w:rStyle w:val="Emphasis"/>
          <w:i w:val="false"/>
          <w:lang w:val="en-US" w:eastAsia="en-US"/>
        </w:rPr>
        <w:t xml:space="preserve">.  Seller shall have delivered to Buyer policies of title insurance from title insurance companies reasonably acceptable to Buyer, together with such endorsements and/or modifications as are requested by Buyer and are available in each of the respective states wherein the Facilities are located, for each of the Facilities in the standard form for the respective states, in the amount of </w:t>
      </w:r>
      <w:r>
        <w:rPr>
          <w:rStyle w:val="Emphasis"/>
          <w:i w:val="false"/>
          <w:strike/>
          <w:lang w:val="en-US" w:eastAsia="en-US"/>
        </w:rPr>
        <w:t>$85,000,000</w:t>
      </w:r>
      <w:r>
        <w:rPr>
          <w:rStyle w:val="Emphasis"/>
          <w:i w:val="false"/>
          <w:lang w:val="en-US" w:eastAsia="en-US"/>
        </w:rPr>
        <w:t xml:space="preserve"> </w:t>
      </w:r>
      <w:r>
        <w:rPr>
          <w:rStyle w:val="Emphasis"/>
          <w:b/>
          <w:i w:val="false"/>
          <w:u w:val="double"/>
          <w:lang w:val="en-US" w:eastAsia="en-US"/>
        </w:rPr>
        <w:t>$_______</w:t>
      </w:r>
      <w:r>
        <w:rPr>
          <w:rStyle w:val="Emphasis"/>
          <w:i w:val="false"/>
          <w:lang w:val="en-US" w:eastAsia="en-US"/>
        </w:rPr>
        <w:t xml:space="preserve"> for each Facility, and confirming the respective LLC’s good and indefeasible fee title to the Real Property as set forth in </w:t>
      </w:r>
      <w:r>
        <w:rPr>
          <w:rStyle w:val="Emphasis"/>
          <w:i w:val="false"/>
          <w:u w:val="single"/>
          <w:lang w:val="en-US" w:eastAsia="en-US"/>
        </w:rPr>
        <w:t>Section 4.1(s)</w:t>
      </w:r>
      <w:r>
        <w:rPr>
          <w:rStyle w:val="Emphasis"/>
          <w:i w:val="false"/>
          <w:lang w:val="en-US" w:eastAsia="en-US"/>
        </w:rPr>
        <w:t xml:space="preserve"> and that each lessor of real property to an LLC owns good and indefeasible title to such property free and clear of all Liens except as described on </w:t>
      </w:r>
      <w:r>
        <w:rPr>
          <w:rStyle w:val="Emphasis"/>
          <w:i w:val="false"/>
          <w:u w:val="single"/>
          <w:lang w:val="en-US" w:eastAsia="en-US"/>
        </w:rPr>
        <w:t xml:space="preserve">Schedule </w:t>
      </w:r>
      <w:r>
        <w:rPr>
          <w:rStyle w:val="Emphasis"/>
          <w:i w:val="false"/>
          <w:strike/>
          <w:u w:val="single"/>
          <w:lang w:val="en-US" w:eastAsia="en-US"/>
        </w:rPr>
        <w:t>8.2(h)</w:t>
      </w:r>
      <w:r>
        <w:rPr>
          <w:rStyle w:val="Emphasis"/>
          <w:i w:val="false"/>
          <w:u w:val="single"/>
          <w:lang w:val="en-US" w:eastAsia="en-US"/>
        </w:rPr>
        <w:t xml:space="preserve"> </w:t>
      </w:r>
      <w:r>
        <w:rPr>
          <w:rStyle w:val="Emphasis"/>
          <w:b/>
          <w:i w:val="false"/>
          <w:u w:val="double"/>
          <w:lang w:val="en-US" w:eastAsia="en-US"/>
        </w:rPr>
        <w:t>8.2(g)</w:t>
      </w:r>
      <w:r>
        <w:rPr>
          <w:rStyle w:val="Emphasis"/>
          <w:i w:val="false"/>
          <w:u w:val="single"/>
          <w:lang w:val="en-US" w:eastAsia="en-US"/>
        </w:rPr>
        <w:t>.</w:t>
      </w:r>
    </w:p>
    <w:p>
      <w:pPr>
        <w:pStyle w:val="Heading3"/>
        <w:numPr>
          <w:ilvl w:val="2"/>
          <w:numId w:val="16"/>
        </w:numPr>
        <w:bidi w:val="0"/>
        <w:ind w:firstLine="720" w:start="0" w:end="0"/>
        <w:outlineLvl w:val="2"/>
        <w:rPr>
          <w:rFonts w:ascii="Times New Roman" w:hAnsi="Times New Roman"/>
          <w:strike/>
        </w:rPr>
      </w:pPr>
      <w:r>
        <w:rPr>
          <w:strike/>
        </w:rPr>
        <w:t>(i) Transmission Credits. Seller shall have delivered to Buyer a certificate or letter from the Tennessee Valley Authority stating (i) the total amount that has been paid as of the Closing Date by Gleason Power I, L.L.C. for the Shelby Upgrade (as defined in the Interconnection Agreement) referenced in Article 4 of the Interconnection Agreement and (ii) the amount of transmission credits available for the exclusive use of Gleason Power I L.L.C. as of the Closing Date pursuant to such payments.</w:t>
      </w:r>
    </w:p>
    <w:p>
      <w:pPr>
        <w:pStyle w:val="Heading3"/>
        <w:numPr>
          <w:ilvl w:val="2"/>
          <w:numId w:val="16"/>
        </w:numPr>
        <w:bidi w:val="0"/>
        <w:ind w:firstLine="720" w:start="0" w:end="0"/>
        <w:outlineLvl w:val="2"/>
        <w:rPr>
          <w:rFonts w:ascii="Times New Roman" w:hAnsi="Times New Roman"/>
        </w:rPr>
      </w:pPr>
      <w:r>
        <w:rPr/>
      </w:r>
    </w:p>
    <w:p>
      <w:pPr>
        <w:pStyle w:val="Heading1"/>
        <w:numPr>
          <w:ilvl w:val="0"/>
          <w:numId w:val="16"/>
        </w:numPr>
        <w:bidi w:val="0"/>
        <w:ind w:hanging="0" w:start="0" w:end="0"/>
        <w:outlineLvl w:val="0"/>
        <w:rPr>
          <w:rFonts w:ascii="Times New Roman" w:hAnsi="Times New Roman"/>
        </w:rPr>
      </w:pPr>
      <w:r>
        <w:rPr/>
        <w:br/>
        <w:t>Closing</w:t>
      </w:r>
    </w:p>
    <w:p>
      <w:pPr>
        <w:pStyle w:val="Heading2"/>
        <w:numPr>
          <w:ilvl w:val="1"/>
          <w:numId w:val="16"/>
        </w:numPr>
        <w:bidi w:val="0"/>
        <w:ind w:firstLine="720" w:start="0" w:end="0"/>
        <w:outlineLvl w:val="1"/>
        <w:rPr>
          <w:rFonts w:ascii="Times New Roman" w:hAnsi="Times New Roman"/>
        </w:rPr>
      </w:pPr>
      <w:r>
        <w:rPr>
          <w:u w:val="single"/>
        </w:rPr>
        <w:t>Closing</w:t>
      </w:r>
      <w:r>
        <w:rPr/>
        <w:t>.  The Closing shall be held on the fifth Business Day after all conditions to the obligations of the Parties to consummate the transactions contemplated hereby are satisfied or waived, at 10:00 a.m., Houston time, at the offices of Andrews &amp; Kurth L.L.P. at 600 Travis Street, Houston, Texas, or at such other time or place as Seller and Buyer may otherwise agree in writing.</w:t>
      </w:r>
    </w:p>
    <w:p>
      <w:pPr>
        <w:pStyle w:val="Heading2"/>
        <w:numPr>
          <w:ilvl w:val="1"/>
          <w:numId w:val="16"/>
        </w:numPr>
        <w:bidi w:val="0"/>
        <w:ind w:firstLine="720" w:start="0" w:end="0"/>
        <w:outlineLvl w:val="1"/>
        <w:rPr>
          <w:rFonts w:ascii="Times New Roman" w:hAnsi="Times New Roman"/>
        </w:rPr>
      </w:pPr>
      <w:r>
        <w:rPr>
          <w:u w:val="single"/>
        </w:rPr>
        <w:t>Seller’s Closing Obligations</w:t>
      </w:r>
      <w:r>
        <w:rPr/>
        <w:t>.  At Closing, Seller shall execute and deliver, or cause to be executed and delivered, to Buyer the following:</w:t>
      </w:r>
    </w:p>
    <w:p>
      <w:pPr>
        <w:pStyle w:val="Heading4"/>
        <w:numPr>
          <w:ilvl w:val="3"/>
          <w:numId w:val="16"/>
        </w:numPr>
        <w:bidi w:val="0"/>
        <w:ind w:firstLine="720" w:start="1440" w:end="0"/>
        <w:outlineLvl w:val="3"/>
        <w:rPr>
          <w:rFonts w:ascii="Times New Roman" w:hAnsi="Times New Roman"/>
        </w:rPr>
      </w:pPr>
      <w:r>
        <w:rPr/>
        <w:t>a duly executed copy of the Assignment and Assumption Agreement;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resignations or terminations of the officers, directors, and managers of each of the LLCs from their status as officers, directors, and managers effective as of the Closing; </w:t>
      </w:r>
    </w:p>
    <w:p>
      <w:pPr>
        <w:pStyle w:val="Heading4"/>
        <w:numPr>
          <w:ilvl w:val="3"/>
          <w:numId w:val="16"/>
        </w:numPr>
        <w:bidi w:val="0"/>
        <w:ind w:firstLine="720" w:start="1440" w:end="0"/>
        <w:outlineLvl w:val="3"/>
        <w:rPr>
          <w:rFonts w:ascii="Times New Roman" w:hAnsi="Times New Roman"/>
        </w:rPr>
      </w:pPr>
      <w:r>
        <w:rPr/>
        <w:t>any other documents or instruments reasonably requested by Buyer to consummate the transaction contemplated thereunder; and</w:t>
      </w:r>
    </w:p>
    <w:p>
      <w:pPr>
        <w:pStyle w:val="Heading4"/>
        <w:numPr>
          <w:ilvl w:val="3"/>
          <w:numId w:val="16"/>
        </w:numPr>
        <w:bidi w:val="0"/>
        <w:ind w:firstLine="720" w:start="1440" w:end="0"/>
        <w:outlineLvl w:val="3"/>
        <w:rPr>
          <w:rFonts w:ascii="Times New Roman" w:hAnsi="Times New Roman"/>
        </w:rPr>
      </w:pPr>
      <w:r>
        <w:rPr/>
        <w:t xml:space="preserve">the Records.  </w:t>
      </w:r>
    </w:p>
    <w:p>
      <w:pPr>
        <w:pStyle w:val="Heading2"/>
        <w:numPr>
          <w:ilvl w:val="1"/>
          <w:numId w:val="16"/>
        </w:numPr>
        <w:bidi w:val="0"/>
        <w:ind w:firstLine="720" w:start="0" w:end="0"/>
        <w:outlineLvl w:val="1"/>
        <w:rPr>
          <w:rFonts w:ascii="Times New Roman" w:hAnsi="Times New Roman"/>
        </w:rPr>
      </w:pPr>
      <w:r>
        <w:rPr>
          <w:u w:val="single"/>
        </w:rPr>
        <w:t>Buyer’s Closing Obligations</w:t>
      </w:r>
      <w:r>
        <w:rPr/>
        <w:t xml:space="preserve">.  At Closing, Buyer shall deliver, or cause to be delivered, to Seller the following:  </w:t>
      </w:r>
    </w:p>
    <w:p>
      <w:pPr>
        <w:pStyle w:val="Heading4"/>
        <w:numPr>
          <w:ilvl w:val="3"/>
          <w:numId w:val="16"/>
        </w:numPr>
        <w:bidi w:val="0"/>
        <w:ind w:firstLine="720" w:start="1440" w:end="0"/>
        <w:outlineLvl w:val="3"/>
        <w:rPr>
          <w:rFonts w:ascii="Times New Roman" w:hAnsi="Times New Roman"/>
        </w:rPr>
      </w:pPr>
      <w:r>
        <w:rPr/>
        <w:t xml:space="preserve">the Closing Payment to Seller in immediately available funds to the bank account as provided in </w:t>
      </w:r>
      <w:r>
        <w:rPr>
          <w:u w:val="single"/>
        </w:rPr>
        <w:t>Section 3.2</w:t>
      </w:r>
      <w:r>
        <w:rPr/>
        <w:t xml:space="preserve">; </w:t>
      </w:r>
    </w:p>
    <w:p>
      <w:pPr>
        <w:pStyle w:val="Heading4"/>
        <w:numPr>
          <w:ilvl w:val="3"/>
          <w:numId w:val="16"/>
        </w:numPr>
        <w:bidi w:val="0"/>
        <w:ind w:firstLine="720" w:start="1440" w:end="0"/>
        <w:outlineLvl w:val="3"/>
        <w:rPr>
          <w:rFonts w:ascii="Times New Roman" w:hAnsi="Times New Roman"/>
        </w:rPr>
      </w:pPr>
      <w:r>
        <w:rPr/>
        <w:t xml:space="preserve">a duly executed copy of the Assignment and Assumption Agreement; </w:t>
      </w:r>
    </w:p>
    <w:p>
      <w:pPr>
        <w:pStyle w:val="Heading4"/>
        <w:numPr>
          <w:ilvl w:val="3"/>
          <w:numId w:val="16"/>
        </w:numPr>
        <w:bidi w:val="0"/>
        <w:ind w:firstLine="720" w:start="1440" w:end="0"/>
        <w:outlineLvl w:val="3"/>
        <w:rPr>
          <w:rFonts w:ascii="Times New Roman" w:hAnsi="Times New Roman"/>
        </w:rPr>
      </w:pPr>
      <w:r>
        <w:rPr/>
        <w:t>if required, a duly executed copy of the Back-to-Back Guaranty; and</w:t>
      </w:r>
    </w:p>
    <w:p>
      <w:pPr>
        <w:pStyle w:val="Heading4"/>
        <w:numPr>
          <w:ilvl w:val="3"/>
          <w:numId w:val="16"/>
        </w:numPr>
        <w:bidi w:val="0"/>
        <w:ind w:firstLine="720" w:start="1440" w:end="0"/>
        <w:outlineLvl w:val="3"/>
        <w:rPr>
          <w:rFonts w:ascii="Times New Roman" w:hAnsi="Times New Roman"/>
        </w:rPr>
      </w:pPr>
      <w:r>
        <w:rPr/>
        <w:t>any other documents or instruments reasonably requested by Seller to consummate the transaction contemplated hereunder.</w:t>
      </w:r>
    </w:p>
    <w:p>
      <w:pPr>
        <w:pStyle w:val="Heading1"/>
        <w:numPr>
          <w:ilvl w:val="0"/>
          <w:numId w:val="16"/>
        </w:numPr>
        <w:bidi w:val="0"/>
        <w:ind w:hanging="0" w:start="0" w:end="0"/>
        <w:outlineLvl w:val="0"/>
        <w:rPr>
          <w:rFonts w:ascii="Times New Roman" w:hAnsi="Times New Roman"/>
        </w:rPr>
      </w:pPr>
      <w:r>
        <w:rPr/>
        <w:br/>
        <w:t>Limitations</w:t>
      </w:r>
    </w:p>
    <w:p>
      <w:pPr>
        <w:pStyle w:val="Heading2"/>
        <w:numPr>
          <w:ilvl w:val="1"/>
          <w:numId w:val="16"/>
        </w:numPr>
        <w:bidi w:val="0"/>
        <w:ind w:firstLine="720" w:start="0" w:end="0"/>
        <w:outlineLvl w:val="1"/>
        <w:rPr>
          <w:rFonts w:ascii="Times New Roman" w:hAnsi="Times New Roman"/>
        </w:rPr>
      </w:pPr>
      <w:r>
        <w:rPr>
          <w:u w:val="single"/>
        </w:rPr>
        <w:t>Buyer’s Review</w:t>
      </w:r>
      <w:r>
        <w:rPr/>
        <w:t>.</w:t>
      </w:r>
    </w:p>
    <w:p>
      <w:pPr>
        <w:pStyle w:val="Heading3"/>
        <w:numPr>
          <w:ilvl w:val="2"/>
          <w:numId w:val="16"/>
        </w:numPr>
        <w:bidi w:val="0"/>
        <w:ind w:firstLine="720" w:start="0" w:end="0"/>
        <w:outlineLvl w:val="2"/>
        <w:rPr>
          <w:rFonts w:ascii="Times New Roman" w:hAnsi="Times New Roman"/>
        </w:rPr>
      </w:pPr>
      <w:r>
        <w:rPr>
          <w:u w:val="single"/>
        </w:rPr>
        <w:t>No Reliance</w:t>
      </w:r>
      <w:r>
        <w:rPr/>
        <w:t>.  Buyer has reviewed and had access to all documents, records and information which it has desired to review in connection with its decision to enter into this Agreement, and to consummate the transactions contemplated hereby.  Buyer has not relied upon any representation, warranty, statement, advice, document, projection, or other information of any type provided by Seller, the LLCs, their Affiliates, or any of their representatives, except for those expressly set forth in this Agreement.  In deciding to enter into this Agreement, and to consummate the transactions contemplated hereby, Buyer has relied solely upon the representations and warranties of Seller herein and Buyer’s own knowledge, investigation, and analysis (and that of its representatives) and not on any disclosure or representation made by, or any duty to disclose on the part of, Seller, the LLC, their Affiliates, or any of their representatives other than the representations and warranties of Seller expressly set forth herein.</w:t>
      </w:r>
    </w:p>
    <w:p>
      <w:pPr>
        <w:pStyle w:val="Heading3"/>
        <w:numPr>
          <w:ilvl w:val="2"/>
          <w:numId w:val="16"/>
        </w:numPr>
        <w:bidi w:val="0"/>
        <w:ind w:firstLine="720" w:start="0" w:end="0"/>
        <w:outlineLvl w:val="2"/>
        <w:rPr>
          <w:rFonts w:ascii="Times New Roman" w:hAnsi="Times New Roman"/>
        </w:rPr>
      </w:pPr>
      <w:r>
        <w:rPr>
          <w:u w:val="single"/>
        </w:rPr>
        <w:t>Limited Duties</w:t>
      </w:r>
      <w:r>
        <w:rPr/>
        <w:t>.  Any and all duties and obligations which either Party may have to the other with respect to or in connection with the LLCs, this Agreement, or the transactions contemplated hereby are limited to those in this Agreement.  The Parties do not intend (i) that the duties or obligations of either Party, or the rights of either Party, shall be expanded beyond the terms of this Agreement on the basis of any legal or equitable principle or on any other basis whatsoever or (ii) that  any equitable or legal principle or any implied obligation of good faith or fair dealing or any other matter requires either Party to incur, suffer or perform any act, condition or obligation contrary to the terms of this Agreement, whether existing or not and whether foreseeable or unforeseeable.  The Parties acknowledge that it would be unfair, and that they do not intend, to increase any of the obligations of any Party under this Agreement on the basis of any implied obligation or otherwise.</w:t>
      </w:r>
    </w:p>
    <w:p>
      <w:pPr>
        <w:pStyle w:val="Heading2"/>
        <w:numPr>
          <w:ilvl w:val="1"/>
          <w:numId w:val="16"/>
        </w:numPr>
        <w:bidi w:val="0"/>
        <w:ind w:firstLine="720" w:start="0" w:end="0"/>
        <w:outlineLvl w:val="1"/>
        <w:rPr>
          <w:rFonts w:ascii="Times New Roman" w:hAnsi="Times New Roman"/>
        </w:rPr>
      </w:pPr>
      <w:r>
        <w:rPr>
          <w:u w:val="single"/>
        </w:rPr>
        <w:t>Disclaimer of Warranties</w:t>
      </w:r>
      <w:r>
        <w:rPr/>
        <w:t xml:space="preserve">. </w:t>
      </w:r>
    </w:p>
    <w:p>
      <w:pPr>
        <w:pStyle w:val="Heading3"/>
        <w:numPr>
          <w:ilvl w:val="2"/>
          <w:numId w:val="16"/>
        </w:numPr>
        <w:bidi w:val="0"/>
        <w:ind w:firstLine="720" w:start="0" w:end="0"/>
        <w:outlineLvl w:val="2"/>
        <w:rPr>
          <w:rStyle w:val="Strong"/>
          <w:rFonts w:ascii="Times New Roman" w:hAnsi="Times New Roman"/>
          <w:b w:val="false"/>
        </w:rPr>
      </w:pPr>
      <w:r>
        <w:rPr>
          <w:rStyle w:val="Strong"/>
          <w:b w:val="false"/>
          <w:u w:val="single"/>
          <w:lang w:val="en-US" w:eastAsia="en-US"/>
        </w:rPr>
        <w:t>Information</w:t>
      </w:r>
      <w:r>
        <w:rPr>
          <w:rStyle w:val="Strong"/>
          <w:b w:val="false"/>
          <w:lang w:val="en-US" w:eastAsia="en-US"/>
        </w:rPr>
        <w:t xml:space="preserve">.  Except as provided in </w:t>
      </w:r>
      <w:r>
        <w:rPr>
          <w:rStyle w:val="Strong"/>
          <w:b w:val="false"/>
          <w:u w:val="single"/>
          <w:lang w:val="en-US" w:eastAsia="en-US"/>
        </w:rPr>
        <w:t>Section 4.1</w:t>
      </w:r>
      <w:r>
        <w:rPr>
          <w:rStyle w:val="Strong"/>
          <w:b w:val="false"/>
          <w:lang w:val="en-US" w:eastAsia="en-US"/>
        </w:rPr>
        <w:t>, Seller makes no representation or warranty, express, implied, at common law, statutory or otherwise, with respect to the accuracy or completeness of the information, records, and data now, heretofore, or hereafter made available to Buyer in connection with this Agreement (including any description of the LLCs or the Facilities, revenue, price and expense assumptions, electricity demand forecasts, or environmental information, or any other information furnished to Buyer by Seller or any Affiliate of Seller or any director, officer, employee, counsel, agent or advisor thereof).</w:t>
      </w:r>
    </w:p>
    <w:p>
      <w:pPr>
        <w:pStyle w:val="Heading3"/>
        <w:numPr>
          <w:ilvl w:val="2"/>
          <w:numId w:val="16"/>
        </w:numPr>
        <w:bidi w:val="0"/>
        <w:ind w:firstLine="720" w:start="0" w:end="0"/>
        <w:outlineLvl w:val="2"/>
        <w:rPr>
          <w:rFonts w:ascii="Times New Roman" w:hAnsi="Times New Roman"/>
        </w:rPr>
      </w:pPr>
      <w:r>
        <w:rPr>
          <w:rStyle w:val="Strong"/>
          <w:b w:val="false"/>
          <w:u w:val="single"/>
          <w:lang w:val="en-US" w:eastAsia="en-US"/>
        </w:rPr>
        <w:t>Facilities</w:t>
      </w:r>
      <w:r>
        <w:rPr>
          <w:rStyle w:val="Strong"/>
          <w:b w:val="false"/>
          <w:lang w:val="en-US" w:eastAsia="en-US"/>
        </w:rPr>
        <w:t>.</w:t>
      </w:r>
      <w:r>
        <w:rPr>
          <w:rStyle w:val="Strong"/>
          <w:lang w:val="en-US" w:eastAsia="en-US"/>
        </w:rPr>
        <w:t xml:space="preserve">  Notwithstanding anything contained to the contrary in any other provision of this Agreement, it is the explicit intent of each Party that Seller and its Affiliates are not making any representation or warranty whatsoever, express, implied, at common law, statutory or otherwise, except for the representations or warranties given in this Agreement, and it is understood that Buyer, with such exceptions, takes the LLC Interests, the Facilities, and any other assets of each of the LLCs “as is” and “where is.”  Without limiting the generality of the immediately preceding sentence, except as provided in this Agreement, Seller hereby expressly disclaims and negates any representation or warranty, express or implied, at common law, statutory, or otherwise, relating to (i)  the condition of the Facility and other assets of each of the LLCs (including any implied or express warranty of merchantability or fitness for a particular purpose, or of conformity to models or samples of materials, or the presence or absence of any hazardous materials in or on, or disposed or discharged from, the Facility and other assets of each of the LLCs), or (ii)  any infringement by Seller, any of the LLCs, or any of their Affiliates of any patent or proprietary right of any third party Buyer has agreed not to rely on any representation made by Seller with respect to the condition, quality, or state of the Facilities except for those provided in this Agreement, but rather, as a significant portion of the consideration given to Seller for this purchase and sale, has agreed to rely solely and exclusively, except as provided in this Agreement, upon its own evaluation of the LLCs and the Facilities.  The provisions contained in this Agreement are the result of extensive negotiations between Buyer and Seller and no other assurances, representations or warranties about the quality, condition, or state of the LLCs or the Facilities were made by Seller in the inducement thereof except as provided herein.</w:t>
      </w:r>
    </w:p>
    <w:p>
      <w:pPr>
        <w:pStyle w:val="Heading2"/>
        <w:numPr>
          <w:ilvl w:val="1"/>
          <w:numId w:val="16"/>
        </w:numPr>
        <w:bidi w:val="0"/>
        <w:ind w:firstLine="720" w:start="0" w:end="0"/>
        <w:outlineLvl w:val="1"/>
        <w:rPr>
          <w:rStyle w:val="Strong"/>
          <w:rFonts w:ascii="Times New Roman" w:hAnsi="Times New Roman"/>
          <w:b w:val="false"/>
        </w:rPr>
      </w:pPr>
      <w:r>
        <w:rPr>
          <w:u w:val="single"/>
        </w:rPr>
        <w:t>Waiver of Damages</w:t>
      </w:r>
      <w:r>
        <w:rPr/>
        <w:t xml:space="preserve">.  </w:t>
      </w:r>
      <w:r>
        <w:rPr>
          <w:rStyle w:val="Strong"/>
          <w:lang w:val="en-US" w:eastAsia="en-US"/>
        </w:rPr>
        <w:t>Notwithstanding anything contained to the contrary in this Agreement, Seller and Buyer agree that, the recovery by either Party of any damages suffered or incurred by it as a result of any breach by the other Party of any of its obligations under this Agreement shall be limited to the actual damages suffered or incurred by the non-breaching Party as a result of the breach by the breaching Party of its obligations hereunder and in no event shall the breaching Party be liable to the non-breaching Party for any indirect, consequential, special, exemplary, or punitive damages (including any damages on account of lost profits or opportunities or lost or delayed generation) suffered or incurred by the non-breaching Party as a result of the breach by the breaching Party of any of its obligations hereunder.</w:t>
      </w:r>
    </w:p>
    <w:p>
      <w:pPr>
        <w:pStyle w:val="Heading2"/>
        <w:numPr>
          <w:ilvl w:val="1"/>
          <w:numId w:val="16"/>
        </w:numPr>
        <w:tabs>
          <w:tab w:val="clear" w:pos="720"/>
          <w:tab w:val="left" w:pos="1080" w:leader="none"/>
        </w:tabs>
        <w:bidi w:val="0"/>
        <w:ind w:firstLine="720" w:start="0" w:end="0"/>
        <w:outlineLvl w:val="1"/>
        <w:rPr>
          <w:rFonts w:ascii="Times New Roman" w:hAnsi="Times New Roman"/>
        </w:rPr>
      </w:pPr>
      <w:r>
        <w:rPr>
          <w:b/>
          <w:u w:val="double"/>
        </w:rPr>
        <w:t xml:space="preserve">Environmental Waiver and Release.  From and after Closing, except as provided in this Agreement (including, without limitation, any claim that may be brought under Section 11.2), all rights or remedies which Buyer may have at or under Law with respect to any Environmental Liabilities or any other environmental matters are waived. </w:t>
      </w:r>
      <w:r>
        <w:rPr/>
        <w:t xml:space="preserve"> </w:t>
      </w:r>
      <w:r>
        <w:rPr>
          <w:b/>
          <w:u w:val="double"/>
        </w:rPr>
        <w:t>From and after Closing, except as provided in this Agreement (including, without limitation, any claim that may be brought under Section 11.2), Buyer does hereby agree, warrant, and covenant to (and Buyer shall cause each of the LLCs to) release, acquit, and forever discharge Seller and all Seller Indemnified Parties from any and all Losses, including all claims, demands, and causes of action for contribution and indemnity under statute or common law, which could be asserted now or in the future and that relate to or in any way arise out of Environmental Liabilities or any other environmental matters of any of the LLCs or the Facilities.  From and after Closing, Buyer and each of the LLCs warrant, agree, and covenant not to sue or institute arbitration against Seller or any Seller Indemnified Party upon any claim, demand, or cause of action for indemnity and contribution that have been asserted or could be asserted for any such Environmental Liabilities, except to the extent Buyer or any Buyer Indemnified Party is entitled to indemnity for such matters under Article 11.</w:t>
      </w:r>
      <w:r>
        <w:rPr/>
        <w:t xml:space="preserve">  </w:t>
      </w:r>
    </w:p>
    <w:p>
      <w:pPr>
        <w:pStyle w:val="Heading1"/>
        <w:numPr>
          <w:ilvl w:val="0"/>
          <w:numId w:val="16"/>
        </w:numPr>
        <w:bidi w:val="0"/>
        <w:ind w:hanging="0" w:start="0" w:end="0"/>
        <w:outlineLvl w:val="0"/>
        <w:rPr>
          <w:rFonts w:ascii="Times New Roman" w:hAnsi="Times New Roman"/>
        </w:rPr>
      </w:pPr>
      <w:r>
        <w:rPr/>
        <w:br/>
        <w:t xml:space="preserve"> Indemnification</w:t>
      </w:r>
    </w:p>
    <w:p>
      <w:pPr>
        <w:pStyle w:val="Heading2"/>
        <w:numPr>
          <w:ilvl w:val="1"/>
          <w:numId w:val="16"/>
        </w:numPr>
        <w:bidi w:val="0"/>
        <w:ind w:firstLine="720" w:start="0" w:end="0"/>
        <w:outlineLvl w:val="1"/>
        <w:rPr>
          <w:rFonts w:ascii="Times New Roman" w:hAnsi="Times New Roman"/>
        </w:rPr>
      </w:pPr>
      <w:r>
        <w:rPr>
          <w:u w:val="single"/>
        </w:rPr>
        <w:t>Indemnification By Buyer</w:t>
      </w:r>
      <w:r>
        <w:rPr/>
        <w:t>.  From and after the Closing, subject to the other terms and limitations of this Agreement, Buyer shall indemnify, defend, reimburse, and hold harmless Seller, its Affiliates and its and their directors, officers, partners, employees, consultants, agents, representatives, advisors, successors, and assigns, (collectively, the “</w:t>
      </w:r>
      <w:r>
        <w:rPr>
          <w:rStyle w:val="Emphasis"/>
          <w:lang w:val="en-US" w:eastAsia="en-US"/>
        </w:rPr>
        <w:t>Seller Indemnified Parties</w:t>
      </w:r>
      <w:r>
        <w:rPr/>
        <w:t xml:space="preserve">”) from and against any and all Losses asserted against or incurred by any of the Seller Indemnified Parties (i) for any breach of Buyer’s representations or warranties made in this Agreement, </w:t>
      </w:r>
      <w:r>
        <w:rPr>
          <w:b/>
          <w:u w:val="double"/>
        </w:rPr>
        <w:t>and</w:t>
      </w:r>
      <w:r>
        <w:rPr/>
        <w:t xml:space="preserve"> (ii) for any breach of the covenants or obligations of Buyer and its Affiliates under this Agreement or the Assignment and Assumption Agreement.</w:t>
      </w:r>
    </w:p>
    <w:p>
      <w:pPr>
        <w:pStyle w:val="Heading2"/>
        <w:numPr>
          <w:ilvl w:val="1"/>
          <w:numId w:val="16"/>
        </w:numPr>
        <w:bidi w:val="0"/>
        <w:ind w:firstLine="720" w:start="0" w:end="0"/>
        <w:outlineLvl w:val="1"/>
        <w:rPr>
          <w:rFonts w:ascii="Times New Roman" w:hAnsi="Times New Roman"/>
        </w:rPr>
      </w:pPr>
      <w:r>
        <w:rPr>
          <w:u w:val="single"/>
        </w:rPr>
        <w:t>Indemnification By Seller</w:t>
      </w:r>
      <w:r>
        <w:rPr/>
        <w:t xml:space="preserve">.  From and after the Closing, subject to the other terms and limitations in this Agreement </w:t>
      </w:r>
      <w:r>
        <w:rPr>
          <w:b/>
          <w:u w:val="double"/>
        </w:rPr>
        <w:t>including (without limitation) Section 13.1</w:t>
      </w:r>
      <w:r>
        <w:rPr/>
        <w:t>, Seller shall indemnify, defend, reimburse, and hold harmless Buyer, its Affiliates and its and their directors, officers, partners, employees, consultants, agents, representatives, advisors, successors, and assigns, (collectively, the “</w:t>
      </w:r>
      <w:r>
        <w:rPr>
          <w:rStyle w:val="Emphasis"/>
          <w:lang w:val="en-US" w:eastAsia="en-US"/>
        </w:rPr>
        <w:t>Buyer Indemnified Parties</w:t>
      </w:r>
      <w:r>
        <w:rPr/>
        <w:t>”) from and against any and all Losses asserted against or incurred by any of the Buyer Indemnified Parties (i) for any breach of Seller’s representations or warranties made in this Agreement, (ii) for any breach of the covenants or obligations of Seller and its Affiliates under this Agreement, (iii) that relate to or arise out of the Businesses or the development, construction, ownership, operation, or maintenance of any of the Facilities or that otherwise relate to or arise out of any of the LLCs, in each case (described in this clause (iii)), to the extent accruing or relating to periods of time up to and including the Closing Date, or (iv) in respect of the Excluded Assets</w:t>
      </w:r>
      <w:r>
        <w:rPr>
          <w:b/>
        </w:rPr>
        <w:t xml:space="preserve">, in </w:t>
      </w:r>
      <w:r>
        <w:rPr>
          <w:b/>
          <w:strike/>
        </w:rPr>
        <w:t>each case</w:t>
      </w:r>
      <w:r>
        <w:rPr>
          <w:b/>
        </w:rPr>
        <w:t xml:space="preserve"> </w:t>
      </w:r>
      <w:r>
        <w:rPr>
          <w:b/>
          <w:u w:val="double"/>
        </w:rPr>
        <w:t>the case of clauses (i) through (vi) preceding</w:t>
      </w:r>
      <w:r>
        <w:rPr>
          <w:b/>
        </w:rPr>
        <w:t xml:space="preserve">, even if such Losses are caused by the sole, joint, and/or concurrent negligence, strict liability, or other fault of the Buyer Indemnified Parties.  </w:t>
      </w:r>
      <w:r>
        <w:rPr/>
        <w:t xml:space="preserve">The indemnity by Seller pursuant to this </w:t>
      </w:r>
      <w:r>
        <w:rPr>
          <w:u w:val="single"/>
        </w:rPr>
        <w:t>Section 11.2</w:t>
      </w:r>
      <w:r>
        <w:rPr/>
        <w:t xml:space="preserve"> shall expressly include any Losses associated with (i) goods or services received by or provided to any LLC prior to the Closing Date and for which payment (in cash, services or otherwise) has not yet been made, and (ii) any imbalance agreement under which any LLC does not have a neutral or zero balance on the Closing Date.  </w:t>
      </w:r>
    </w:p>
    <w:p>
      <w:pPr>
        <w:pStyle w:val="Heading2"/>
        <w:numPr>
          <w:ilvl w:val="1"/>
          <w:numId w:val="16"/>
        </w:numPr>
        <w:bidi w:val="0"/>
        <w:ind w:firstLine="720" w:start="0" w:end="0"/>
        <w:outlineLvl w:val="1"/>
        <w:rPr>
          <w:rFonts w:ascii="Times New Roman" w:hAnsi="Times New Roman"/>
        </w:rPr>
      </w:pPr>
      <w:r>
        <w:rPr>
          <w:u w:val="single"/>
        </w:rPr>
        <w:t>Third Party Claims</w:t>
      </w:r>
      <w:r>
        <w:rPr/>
        <w:t xml:space="preserve">.  If a claim by a third party is made against a Seller Indemnified Party or a Buyer Indemnified Party (each, an </w:t>
      </w:r>
      <w:r>
        <w:rPr>
          <w:i/>
        </w:rPr>
        <w:t>“Indemnified Party”</w:t>
      </w:r>
      <w:r>
        <w:rPr/>
        <w:t xml:space="preserve">), and if such Indemnified Party intends to seek indemnity with respect thereto under </w:t>
      </w:r>
      <w:r>
        <w:rPr>
          <w:u w:val="single"/>
        </w:rPr>
        <w:t>Article 5</w:t>
      </w:r>
      <w:r>
        <w:rPr/>
        <w:t xml:space="preserve"> or this </w:t>
      </w:r>
      <w:r>
        <w:rPr>
          <w:u w:val="single"/>
        </w:rPr>
        <w:t>Article 11</w:t>
      </w:r>
      <w:r>
        <w:rPr/>
        <w:t xml:space="preserve">, such Indemnified Party shall promptly furnish written notice to the other Party (the </w:t>
      </w:r>
      <w:r>
        <w:rPr>
          <w:i/>
        </w:rPr>
        <w:t>“Indemnifying Party”</w:t>
      </w:r>
      <w:r>
        <w:rPr/>
        <w:t>) of such claim.  The failure of the Indemnified Party to deliver prompt written notice of a claim shall not affect the indemnity obligations of the Indemnifying Party hereunder except to the extent the Indemnifying Party was substantially disadvantaged by such delay in delivery notice of such claim.  The Indemnifying Party shall have thirty (30) days after receipt of such notice to undertake, conduct, and control (through counsel of its own choosing and at its own expense) the settlement or defense thereof, and the Indemnified Party shall cooperate with it in connection therewith.  The Indemnifying Party shall permit the Indemnified Party to participate in such settlement or defense through counsel chosen by such Indemnified Party (but the fees and expenses of such counsel shall be borne by such Indemnified Party).  So long as the Indemnifying Party, at the Indemnifying Party’s cost and expense, (i) has undertaken the defense of, and assumed full responsibility for all indemnified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Indemnifying Party with the preceding sentence, the Indemnified Party shall have the right to pay or settle any such claim, but in such event it shall waive any right to indemnity by the Indemnifying Party for such claim.  If within thirty (30) days after the receipt of the Indemnified Party’s notice of a claim of indemnity hereunder, the Indemnifying Party does not notify the Indemnified Party that it elects (at the Indemnifying Party’s cost and expense) to undertake the defense thereof and assume full responsibility for all indemnified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such claim and the Indemnified Party shall not thereby waive any right to indemnity for such claim under this Agreement.</w:t>
      </w:r>
    </w:p>
    <w:p>
      <w:pPr>
        <w:pStyle w:val="Heading2"/>
        <w:numPr>
          <w:ilvl w:val="1"/>
          <w:numId w:val="16"/>
        </w:numPr>
        <w:bidi w:val="0"/>
        <w:ind w:firstLine="720" w:start="0" w:end="0"/>
        <w:outlineLvl w:val="1"/>
        <w:rPr>
          <w:rFonts w:ascii="Times New Roman" w:hAnsi="Times New Roman"/>
        </w:rPr>
      </w:pPr>
      <w:r>
        <w:rPr>
          <w:u w:val="single"/>
        </w:rPr>
        <w:t>Compliance with Express Negligence Rule</w:t>
      </w:r>
      <w:r>
        <w:rPr/>
        <w:t xml:space="preserve">.  </w:t>
      </w:r>
      <w:r>
        <w:rPr>
          <w:rStyle w:val="Strong"/>
          <w:lang w:val="en-US" w:eastAsia="en-US"/>
        </w:rPr>
        <w:t xml:space="preserve">All releases, disclaimers, limitations on liability, and indemnities in this </w:t>
      </w:r>
      <w:r>
        <w:rPr>
          <w:rStyle w:val="Strong"/>
          <w:u w:val="single"/>
          <w:lang w:val="en-US" w:eastAsia="en-US"/>
        </w:rPr>
        <w:t>Article 11</w:t>
      </w:r>
      <w:r>
        <w:rPr>
          <w:rStyle w:val="Strong"/>
          <w:lang w:val="en-US" w:eastAsia="en-US"/>
        </w:rPr>
        <w:t>, shall apply even in the event of the sole, joint, and/or concurrent negligence, strict liability, or fault of the party whose liability is released, disclaimed, limited, or indemnified.</w:t>
      </w:r>
    </w:p>
    <w:p>
      <w:pPr>
        <w:pStyle w:val="Heading1"/>
        <w:numPr>
          <w:ilvl w:val="0"/>
          <w:numId w:val="16"/>
        </w:numPr>
        <w:bidi w:val="0"/>
        <w:ind w:hanging="0" w:start="0" w:end="0"/>
        <w:outlineLvl w:val="0"/>
        <w:rPr>
          <w:rFonts w:ascii="Times New Roman" w:hAnsi="Times New Roman"/>
        </w:rPr>
      </w:pPr>
      <w:r>
        <w:rPr/>
        <w:br/>
        <w:t>Termination and Remedies</w:t>
      </w:r>
    </w:p>
    <w:p>
      <w:pPr>
        <w:pStyle w:val="Heading2"/>
        <w:numPr>
          <w:ilvl w:val="1"/>
          <w:numId w:val="16"/>
        </w:numPr>
        <w:bidi w:val="0"/>
        <w:ind w:firstLine="720" w:start="0" w:end="0"/>
        <w:outlineLvl w:val="1"/>
        <w:rPr>
          <w:rFonts w:ascii="Times New Roman" w:hAnsi="Times New Roman"/>
        </w:rPr>
      </w:pPr>
      <w:r>
        <w:rPr>
          <w:u w:val="single"/>
        </w:rPr>
        <w:t>Termination</w:t>
      </w:r>
      <w:r>
        <w:rPr/>
        <w:t>.</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Termination of Agreement</w:t>
      </w:r>
      <w:r>
        <w:rPr/>
        <w:t>.  This Agreement and the transactions contemplated hereby may be terminated at any time prior to the Closing:</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by the mutual consent of Seller and Buyer; or </w:t>
      </w:r>
    </w:p>
    <w:p>
      <w:pPr>
        <w:pStyle w:val="Heading4"/>
        <w:numPr>
          <w:ilvl w:val="3"/>
          <w:numId w:val="16"/>
        </w:numPr>
        <w:tabs>
          <w:tab w:val="clear" w:pos="2160"/>
          <w:tab w:val="clear" w:pos="2880"/>
        </w:tabs>
        <w:bidi w:val="0"/>
        <w:ind w:firstLine="720" w:start="1440" w:end="0"/>
        <w:outlineLvl w:val="3"/>
        <w:rPr>
          <w:rFonts w:ascii="Times New Roman" w:hAnsi="Times New Roman"/>
          <w:strike/>
        </w:rPr>
      </w:pPr>
      <w:r>
        <w:rPr>
          <w:strike/>
        </w:rPr>
        <w:t xml:space="preserve"> </w:t>
      </w:r>
      <w:r>
        <w:rPr>
          <w:strike/>
        </w:rPr>
        <w:t>in accordance with the terms of Section 7.9(b); or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strike/>
        </w:rPr>
        <w:t>(iii)</w:t>
      </w:r>
      <w:r>
        <w:rPr/>
        <w:t xml:space="preserve"> if the Closing has not occurred by the close of business on </w:t>
      </w:r>
      <w:r>
        <w:rPr>
          <w:strike/>
        </w:rPr>
        <w:t>May 15</w:t>
      </w:r>
      <w:r>
        <w:rPr/>
        <w:t xml:space="preserve"> </w:t>
      </w:r>
      <w:r>
        <w:rPr>
          <w:b/>
          <w:u w:val="double"/>
        </w:rPr>
        <w:t>May 1</w:t>
      </w:r>
      <w:r>
        <w:rPr/>
        <w:t xml:space="preserve">, 2001, then by Seller if any condition specified in </w:t>
      </w:r>
      <w:r>
        <w:rPr>
          <w:u w:val="single"/>
        </w:rPr>
        <w:t>Section 8.1</w:t>
      </w:r>
      <w:r>
        <w:rPr/>
        <w:t xml:space="preserve"> has not been satisfied on or before such close of business, and shall not theretofore have been waived by Seller, provided that the failure to consummate the transactions contemplated hereby on or before such date did not result from the failure by Seller to fulfill any undertaking or commitment provided for herein on the part of Seller that is required to be fulfilled on or prior to Closing; or</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strike/>
        </w:rPr>
        <w:t>(iv)</w:t>
      </w:r>
    </w:p>
    <w:p>
      <w:pPr>
        <w:pStyle w:val="Heading4"/>
        <w:numPr>
          <w:ilvl w:val="3"/>
          <w:numId w:val="16"/>
        </w:numPr>
        <w:bidi w:val="0"/>
        <w:ind w:firstLine="720" w:start="1440" w:end="0"/>
        <w:outlineLvl w:val="3"/>
        <w:rPr>
          <w:rFonts w:ascii="Times New Roman" w:hAnsi="Times New Roman"/>
        </w:rPr>
      </w:pPr>
      <w:r>
        <w:rPr/>
        <w:t xml:space="preserve">if the Closing has not occurred by the close of business on </w:t>
      </w:r>
      <w:r>
        <w:rPr>
          <w:strike/>
        </w:rPr>
        <w:t>May 15</w:t>
      </w:r>
      <w:r>
        <w:rPr/>
        <w:t xml:space="preserve"> </w:t>
      </w:r>
      <w:r>
        <w:rPr>
          <w:b/>
          <w:u w:val="double"/>
        </w:rPr>
        <w:t>May 1</w:t>
      </w:r>
      <w:r>
        <w:rPr/>
        <w:t xml:space="preserve">, 2001, then by Buyer if any condition specified in </w:t>
      </w:r>
      <w:r>
        <w:rPr>
          <w:u w:val="single"/>
        </w:rPr>
        <w:t>Section 8.2</w:t>
      </w:r>
      <w:r>
        <w:rPr/>
        <w:t xml:space="preserve"> has not been satisfied or waived on or before such close of business, and shall not theretofore have been waived by Buyer, provided that the failure to consummate the transactions contemplated hereby on or before such date did not result from the failure by Buyer to fulfill any undertaking or commitment provided for herein on the part of Buyer that is required to be fulfilled on or prior to Closing.</w:t>
      </w:r>
    </w:p>
    <w:p>
      <w:pPr>
        <w:pStyle w:val="Heading3"/>
        <w:numPr>
          <w:ilvl w:val="2"/>
          <w:numId w:val="16"/>
        </w:numPr>
        <w:bidi w:val="0"/>
        <w:ind w:firstLine="720" w:start="0" w:end="0"/>
        <w:outlineLvl w:val="2"/>
        <w:rPr>
          <w:rFonts w:ascii="Times New Roman" w:hAnsi="Times New Roman"/>
        </w:rPr>
      </w:pPr>
      <w:r>
        <w:rPr>
          <w:rStyle w:val="Emphasis"/>
          <w:i w:val="false"/>
          <w:u w:val="single"/>
          <w:lang w:val="en-US" w:eastAsia="en-US"/>
        </w:rPr>
        <w:t>Effect of Termination</w:t>
      </w:r>
      <w:r>
        <w:rPr/>
        <w:t xml:space="preserve">.  In the event of termination of this Agreement by Seller or Buyer pursuant to </w:t>
      </w:r>
      <w:r>
        <w:rPr>
          <w:u w:val="single"/>
        </w:rPr>
        <w:t>Section 12.1(a</w:t>
      </w:r>
      <w:r>
        <w:rPr/>
        <w:t xml:space="preserve">), written notice thereof shall promptly be given by the terminating Party to the other Party, and this Agreement shall thereupon terminate; provided, however, that each Party shall continue to be liable for any breach of this Agreement occurring prior to such termination.  Following any such termination, Buyer will continue to be bound by its obligations set forth in </w:t>
      </w:r>
      <w:r>
        <w:rPr>
          <w:u w:val="single"/>
        </w:rPr>
        <w:t>Sections 5.1 and 5.2</w:t>
      </w:r>
      <w:r>
        <w:rPr/>
        <w:t>.  If this Agreement is terminated as provided herein, all filings, applications and other submissions made to any Governmental Authority shall, to the extent practicable, be withdrawn from the Governmental Authority to which they were made.</w:t>
      </w:r>
    </w:p>
    <w:p>
      <w:pPr>
        <w:pStyle w:val="Heading2"/>
        <w:keepNext w:val="true"/>
        <w:numPr>
          <w:ilvl w:val="1"/>
          <w:numId w:val="16"/>
        </w:numPr>
        <w:bidi w:val="0"/>
        <w:ind w:firstLine="720" w:start="0" w:end="0"/>
        <w:outlineLvl w:val="1"/>
        <w:rPr>
          <w:rFonts w:ascii="Times New Roman" w:hAnsi="Times New Roman"/>
        </w:rPr>
      </w:pPr>
      <w:r>
        <w:rPr>
          <w:u w:val="single"/>
        </w:rPr>
        <w:t>Remedies</w:t>
      </w:r>
      <w:r>
        <w:rPr/>
        <w:t xml:space="preserve">.  In addition to any other rights and remedies available to Buyer for any default by Seller under this Agreement, Buyer shall be entitled to specific performance of Seller’s obligations under </w:t>
      </w:r>
      <w:r>
        <w:rPr>
          <w:u w:val="single"/>
        </w:rPr>
        <w:t>Section 9.2</w:t>
      </w:r>
      <w:r>
        <w:rPr/>
        <w:t>.</w:t>
      </w:r>
    </w:p>
    <w:p>
      <w:pPr>
        <w:pStyle w:val="Heading1"/>
        <w:numPr>
          <w:ilvl w:val="0"/>
          <w:numId w:val="16"/>
        </w:numPr>
        <w:bidi w:val="0"/>
        <w:ind w:hanging="0" w:start="0" w:end="0"/>
        <w:outlineLvl w:val="0"/>
        <w:rPr>
          <w:rFonts w:ascii="Times New Roman" w:hAnsi="Times New Roman"/>
        </w:rPr>
      </w:pPr>
      <w:r>
        <w:rPr/>
        <w:br/>
        <w:t>Other Provisions</w:t>
      </w:r>
    </w:p>
    <w:p>
      <w:pPr>
        <w:pStyle w:val="Heading2"/>
        <w:numPr>
          <w:ilvl w:val="1"/>
          <w:numId w:val="16"/>
        </w:numPr>
        <w:bidi w:val="0"/>
        <w:ind w:firstLine="720" w:start="0" w:end="0"/>
        <w:outlineLvl w:val="1"/>
        <w:rPr>
          <w:rFonts w:ascii="Times New Roman" w:hAnsi="Times New Roman"/>
        </w:rPr>
      </w:pPr>
      <w:r>
        <w:rPr>
          <w:u w:val="single"/>
        </w:rPr>
        <w:t>Survival</w:t>
      </w:r>
      <w:r>
        <w:rPr/>
        <w:t xml:space="preserve">.  The representations, warranties, covenants and agreements in this Agreement and any document delivered pursuant hereto shall survive the Closing; provided, however, that a claim may only be brought </w:t>
      </w:r>
      <w:r>
        <w:rPr>
          <w:b/>
          <w:u w:val="double"/>
        </w:rPr>
        <w:t>under Section 11.2(iii)</w:t>
      </w:r>
      <w:r>
        <w:rPr/>
        <w:t xml:space="preserve"> </w:t>
      </w:r>
      <w:r>
        <w:rPr>
          <w:b/>
          <w:u w:val="double"/>
        </w:rPr>
        <w:t>or</w:t>
      </w:r>
      <w:r>
        <w:rPr/>
        <w:t xml:space="preserve"> with respect to a breach of a representation and warranty contained in </w:t>
      </w:r>
      <w:r>
        <w:rPr>
          <w:u w:val="single"/>
        </w:rPr>
        <w:t>Sections 4.1(i)</w:t>
      </w:r>
      <w:r>
        <w:rPr/>
        <w:t xml:space="preserve">, </w:t>
      </w:r>
      <w:r>
        <w:rPr>
          <w:u w:val="single"/>
        </w:rPr>
        <w:t>4.1(j)</w:t>
      </w:r>
      <w:r>
        <w:rPr/>
        <w:t xml:space="preserve"> and </w:t>
      </w:r>
      <w:r>
        <w:rPr>
          <w:u w:val="single"/>
        </w:rPr>
        <w:t>4.1(l)</w:t>
      </w:r>
      <w:r>
        <w:rPr/>
        <w:t xml:space="preserve"> through </w:t>
      </w:r>
      <w:r>
        <w:rPr>
          <w:strike/>
          <w:u w:val="single"/>
        </w:rPr>
        <w:t>4.1(ii)</w:t>
      </w:r>
      <w:r>
        <w:rPr>
          <w:u w:val="single"/>
        </w:rPr>
        <w:t xml:space="preserve"> </w:t>
      </w:r>
      <w:r>
        <w:rPr>
          <w:b/>
          <w:u w:val="double"/>
        </w:rPr>
        <w:t>4.1(gg)</w:t>
      </w:r>
      <w:r>
        <w:rPr/>
        <w:t xml:space="preserve"> or </w:t>
      </w:r>
      <w:r>
        <w:rPr>
          <w:u w:val="single"/>
        </w:rPr>
        <w:t>Sections 4.2(f), and 4.2(h)</w:t>
      </w:r>
      <w:r>
        <w:rPr/>
        <w:t xml:space="preserve"> through </w:t>
      </w:r>
      <w:r>
        <w:rPr>
          <w:strike/>
          <w:u w:val="single"/>
        </w:rPr>
        <w:t>4.2(k)</w:t>
      </w:r>
      <w:r>
        <w:rPr>
          <w:u w:val="single"/>
        </w:rPr>
        <w:t xml:space="preserve"> </w:t>
      </w:r>
      <w:r>
        <w:rPr>
          <w:b/>
          <w:u w:val="double"/>
        </w:rPr>
        <w:t>4.2(l)</w:t>
      </w:r>
      <w:r>
        <w:rPr/>
        <w:t xml:space="preserve"> if notice specifying the breach of the representation or warranty forming the basis of such claim has been delivered to the Party alleged to have breached such representation or warranty on or before two years after the Closing Date; and provided, further, that any assertion by Buyer that Seller is liable to Buyer for indemnity under </w:t>
      </w:r>
      <w:r>
        <w:rPr>
          <w:u w:val="single"/>
        </w:rPr>
        <w:t>Section 6.6</w:t>
      </w:r>
      <w:r>
        <w:rPr/>
        <w:t xml:space="preserve"> must be made in writing on or before 90 days after the applicable statute of limitations has expired (or, if later, has no longer been tolled or extended) with respect to the matters covered thereby.</w:t>
      </w:r>
    </w:p>
    <w:p>
      <w:pPr>
        <w:pStyle w:val="Heading2"/>
        <w:numPr>
          <w:ilvl w:val="1"/>
          <w:numId w:val="16"/>
        </w:numPr>
        <w:bidi w:val="0"/>
        <w:ind w:firstLine="720" w:start="0" w:end="0"/>
        <w:outlineLvl w:val="1"/>
        <w:rPr>
          <w:rFonts w:ascii="Times New Roman" w:hAnsi="Times New Roman"/>
        </w:rPr>
      </w:pPr>
      <w:r>
        <w:rPr>
          <w:u w:val="single"/>
        </w:rPr>
        <w:t>Materiality Threshold; Limitation of Liability</w:t>
      </w:r>
      <w:r>
        <w:rPr/>
        <w:t xml:space="preserve">.  Notwithstanding anything to the contrary in this Agreement, (i) a breach of a representation or warranty in </w:t>
      </w:r>
      <w:r>
        <w:rPr>
          <w:u w:val="single"/>
        </w:rPr>
        <w:t>Section 4.1</w:t>
      </w:r>
      <w:r>
        <w:rPr/>
        <w:t xml:space="preserve"> or the closing certificate provided pursuant to </w:t>
      </w:r>
      <w:r>
        <w:rPr>
          <w:u w:val="single"/>
        </w:rPr>
        <w:t>Section 8.2(b)</w:t>
      </w:r>
      <w:r>
        <w:rPr/>
        <w:t xml:space="preserve"> in connection with any single item or group of related items that results in </w:t>
      </w:r>
      <w:r>
        <w:rPr>
          <w:strike/>
        </w:rPr>
        <w:t>damages</w:t>
      </w:r>
      <w:r>
        <w:rPr/>
        <w:t xml:space="preserve"> </w:t>
      </w:r>
      <w:r>
        <w:rPr>
          <w:b/>
          <w:u w:val="double"/>
        </w:rPr>
        <w:t>Losses</w:t>
      </w:r>
      <w:r>
        <w:rPr/>
        <w:t xml:space="preserve"> of less than $50,000 shall be deemed, for all purposes, not to have been a breach of such representation and warranty, (ii)  Seller shall not be liable for </w:t>
      </w:r>
      <w:r>
        <w:rPr>
          <w:strike/>
        </w:rPr>
        <w:t>damages</w:t>
      </w:r>
      <w:r>
        <w:rPr/>
        <w:t xml:space="preserve"> </w:t>
      </w:r>
      <w:r>
        <w:rPr>
          <w:b/>
          <w:u w:val="double"/>
        </w:rPr>
        <w:t>Losses</w:t>
      </w:r>
      <w:r>
        <w:rPr/>
        <w:t xml:space="preserve"> for breach of any of the representations and warranties contained in </w:t>
      </w:r>
      <w:r>
        <w:rPr>
          <w:u w:val="single"/>
        </w:rPr>
        <w:t>Section 4.1</w:t>
      </w:r>
      <w:r>
        <w:rPr/>
        <w:t xml:space="preserve"> or the closing certificate provided pursuant to </w:t>
      </w:r>
      <w:r>
        <w:rPr>
          <w:u w:val="single"/>
        </w:rPr>
        <w:t>Section 8.2(b)</w:t>
      </w:r>
      <w:r>
        <w:rPr/>
        <w:t xml:space="preserve"> (or the indemnity in </w:t>
      </w:r>
      <w:r>
        <w:rPr>
          <w:u w:val="single"/>
        </w:rPr>
        <w:t>Section 11.2(i)</w:t>
      </w:r>
      <w:r>
        <w:rPr/>
        <w:t xml:space="preserve"> covering any such breach) </w:t>
      </w:r>
      <w:r>
        <w:rPr>
          <w:strike/>
        </w:rPr>
        <w:t>except to the extent that</w:t>
      </w:r>
      <w:r>
        <w:rPr/>
        <w:t xml:space="preserve"> </w:t>
      </w:r>
      <w:r>
        <w:rPr>
          <w:b/>
          <w:u w:val="double"/>
        </w:rPr>
        <w:t>or the indemnity in Section 11.2(iii)</w:t>
      </w:r>
      <w:r>
        <w:rPr/>
        <w:t xml:space="preserve"> </w:t>
      </w:r>
      <w:r>
        <w:rPr>
          <w:b/>
          <w:u w:val="double"/>
        </w:rPr>
        <w:t>unless and until</w:t>
      </w:r>
      <w:r>
        <w:rPr/>
        <w:t xml:space="preserve"> the aggregate of all </w:t>
      </w:r>
      <w:r>
        <w:rPr>
          <w:strike/>
        </w:rPr>
        <w:t>damages</w:t>
      </w:r>
      <w:r>
        <w:rPr/>
        <w:t xml:space="preserve"> </w:t>
      </w:r>
      <w:r>
        <w:rPr>
          <w:b/>
          <w:u w:val="double"/>
        </w:rPr>
        <w:t>Losses</w:t>
      </w:r>
      <w:r>
        <w:rPr/>
        <w:t xml:space="preserve"> for breach of such representations and warranties </w:t>
      </w:r>
      <w:r>
        <w:rPr>
          <w:strike/>
        </w:rPr>
        <w:t>exceeds a cumulative threshold of $3,000,000</w:t>
      </w:r>
      <w:r>
        <w:rPr/>
        <w:t xml:space="preserve"> </w:t>
      </w:r>
      <w:r>
        <w:rPr>
          <w:b/>
          <w:u w:val="double"/>
        </w:rPr>
        <w:t>and for such indemnity exceeds $7,000,000</w:t>
      </w:r>
      <w:r>
        <w:rPr/>
        <w:t xml:space="preserve">, at which time </w:t>
      </w:r>
      <w:r>
        <w:rPr>
          <w:strike/>
        </w:rPr>
        <w:t>such threshold shall no longer be applicable and</w:t>
      </w:r>
      <w:r>
        <w:rPr/>
        <w:t xml:space="preserve"> Seller shall be liable for all </w:t>
      </w:r>
      <w:r>
        <w:rPr>
          <w:strike/>
        </w:rPr>
        <w:t>such damages</w:t>
      </w:r>
      <w:r>
        <w:rPr/>
        <w:t xml:space="preserve"> </w:t>
      </w:r>
      <w:r>
        <w:rPr>
          <w:b/>
          <w:u w:val="double"/>
        </w:rPr>
        <w:t>Losses for breach of such representations and warranties and for such indemnity in excess of the $7,000,000</w:t>
      </w:r>
      <w:r>
        <w:rPr/>
        <w:t xml:space="preserve">, and (iii) Seller shall not be liable for </w:t>
      </w:r>
      <w:r>
        <w:rPr>
          <w:strike/>
        </w:rPr>
        <w:t>damages</w:t>
      </w:r>
      <w:r>
        <w:rPr/>
        <w:t xml:space="preserve"> </w:t>
      </w:r>
      <w:r>
        <w:rPr>
          <w:b/>
          <w:u w:val="double"/>
        </w:rPr>
        <w:t>Losses</w:t>
      </w:r>
      <w:r>
        <w:rPr/>
        <w:t xml:space="preserve"> for breach of this Agreement in an aggregate amount greater than the </w:t>
      </w:r>
      <w:r>
        <w:rPr>
          <w:strike/>
        </w:rPr>
        <w:t>Adjusted</w:t>
      </w:r>
      <w:r>
        <w:rPr/>
        <w:t xml:space="preserve"> Purchase Price (it being understood that specific performance shall not constitute </w:t>
      </w:r>
      <w:r>
        <w:rPr>
          <w:strike/>
        </w:rPr>
        <w:t>damages</w:t>
      </w:r>
      <w:r>
        <w:rPr/>
        <w:t xml:space="preserve"> </w:t>
      </w:r>
      <w:r>
        <w:rPr>
          <w:b/>
          <w:u w:val="double"/>
        </w:rPr>
        <w:t>Losses</w:t>
      </w:r>
      <w:r>
        <w:rPr/>
        <w:t xml:space="preserve"> for purposes of this clause (iii)).</w:t>
      </w:r>
    </w:p>
    <w:p>
      <w:pPr>
        <w:pStyle w:val="Heading2"/>
        <w:numPr>
          <w:ilvl w:val="1"/>
          <w:numId w:val="16"/>
        </w:numPr>
        <w:bidi w:val="0"/>
        <w:ind w:firstLine="720" w:start="0" w:end="0"/>
        <w:outlineLvl w:val="1"/>
        <w:rPr>
          <w:rFonts w:ascii="Times New Roman" w:hAnsi="Times New Roman"/>
        </w:rPr>
      </w:pPr>
      <w:r>
        <w:rPr>
          <w:u w:val="single"/>
        </w:rPr>
        <w:t>Counterparts</w:t>
      </w:r>
      <w:r>
        <w:rPr/>
        <w:t>.  This Agreement may be executed in one or more counterparts, all of which shall be considered one and the same agreement, and shall become effective when one or more counterparts have been signed by each of the Parties and delivered to the other Party.</w:t>
      </w:r>
    </w:p>
    <w:p>
      <w:pPr>
        <w:pStyle w:val="Heading2"/>
        <w:numPr>
          <w:ilvl w:val="1"/>
          <w:numId w:val="16"/>
        </w:numPr>
        <w:bidi w:val="0"/>
        <w:ind w:firstLine="720" w:start="0" w:end="0"/>
        <w:outlineLvl w:val="1"/>
        <w:rPr>
          <w:rStyle w:val="Strong"/>
          <w:rFonts w:ascii="Times New Roman" w:hAnsi="Times New Roman"/>
        </w:rPr>
      </w:pPr>
      <w:r>
        <w:rPr>
          <w:u w:val="single"/>
        </w:rPr>
        <w:t>Governing Law</w:t>
      </w:r>
      <w:r>
        <w:rPr/>
        <w:t xml:space="preserve">.  </w:t>
      </w:r>
      <w:r>
        <w:rPr>
          <w:rStyle w:val="Strong"/>
          <w:lang w:val="en-US" w:eastAsia="en-US"/>
        </w:rPr>
        <w:t>This Agreement and the rights and obligations of the parties hereunder and the transactions contemplated hereby shall be governed by, enforced, and interpreted in accordance with the laws of the State of Texas.</w:t>
      </w:r>
    </w:p>
    <w:p>
      <w:pPr>
        <w:pStyle w:val="Heading2"/>
        <w:numPr>
          <w:ilvl w:val="1"/>
          <w:numId w:val="16"/>
        </w:numPr>
        <w:bidi w:val="0"/>
        <w:ind w:firstLine="720" w:start="0" w:end="0"/>
        <w:outlineLvl w:val="1"/>
        <w:rPr>
          <w:rFonts w:ascii="Times New Roman" w:hAnsi="Times New Roman"/>
        </w:rPr>
      </w:pPr>
      <w:r>
        <w:rPr>
          <w:u w:val="single"/>
        </w:rPr>
        <w:t>Arbitration</w:t>
      </w:r>
      <w:r>
        <w:rPr/>
        <w:t xml:space="preserve">.  </w:t>
      </w:r>
      <w:r>
        <w:rPr>
          <w:strike/>
        </w:rPr>
        <w:t>Except for matters that are covered by Section 3.4, any</w:t>
      </w:r>
      <w:r>
        <w:rPr/>
        <w:t xml:space="preserve"> </w:t>
      </w:r>
      <w:r>
        <w:rPr>
          <w:b/>
          <w:u w:val="double"/>
        </w:rPr>
        <w:t>Any</w:t>
      </w:r>
      <w:r>
        <w:rPr/>
        <w:t xml:space="preserve">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numPr>
          <w:ilvl w:val="1"/>
          <w:numId w:val="16"/>
        </w:numPr>
        <w:bidi w:val="0"/>
        <w:ind w:firstLine="720" w:start="0" w:end="0"/>
        <w:outlineLvl w:val="1"/>
        <w:rPr>
          <w:rFonts w:ascii="Times New Roman" w:hAnsi="Times New Roman"/>
        </w:rPr>
      </w:pPr>
      <w:r>
        <w:rPr>
          <w:u w:val="single"/>
        </w:rPr>
        <w:t>Entire Agreement</w:t>
      </w:r>
      <w:r>
        <w:rPr/>
        <w:t>.  This Agreement and the Schedules and Exhibits hereto contain the entire agreement between the Parties with respect to the subject matter hereof and there are no agreements, understandings, representations, or warranties between the Parties other than those set forth or referred to herein.</w:t>
      </w:r>
    </w:p>
    <w:p>
      <w:pPr>
        <w:pStyle w:val="Heading2"/>
        <w:numPr>
          <w:ilvl w:val="1"/>
          <w:numId w:val="16"/>
        </w:numPr>
        <w:bidi w:val="0"/>
        <w:ind w:firstLine="720" w:start="0" w:end="0"/>
        <w:outlineLvl w:val="1"/>
        <w:rPr>
          <w:rFonts w:ascii="Times New Roman" w:hAnsi="Times New Roman"/>
        </w:rPr>
      </w:pPr>
      <w:r>
        <w:rPr>
          <w:u w:val="single"/>
        </w:rPr>
        <w:t>Notices</w:t>
      </w:r>
      <w:r>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to Seller shall be addressed as follows:</w:t>
      </w:r>
    </w:p>
    <w:p>
      <w:pPr>
        <w:pStyle w:val="BodyTextIndent2"/>
        <w:tabs>
          <w:tab w:val="clear" w:pos="720"/>
          <w:tab w:val="right" w:pos="5040" w:leader="none"/>
        </w:tabs>
        <w:bidi w:val="0"/>
        <w:spacing w:before="0" w:after="0"/>
        <w:rPr>
          <w:rFonts w:ascii="Times New Roman" w:hAnsi="Times New Roman"/>
        </w:rPr>
      </w:pPr>
      <w:r>
        <w:rPr/>
        <w:t>Enron North America Corp.</w:t>
      </w:r>
    </w:p>
    <w:p>
      <w:pPr>
        <w:pStyle w:val="BodyTextIndent2"/>
        <w:tabs>
          <w:tab w:val="clear" w:pos="720"/>
          <w:tab w:val="right" w:pos="5040" w:leader="none"/>
        </w:tabs>
        <w:bidi w:val="0"/>
        <w:spacing w:before="0" w:after="0"/>
        <w:rPr>
          <w:rFonts w:ascii="Times New Roman" w:hAnsi="Times New Roman"/>
        </w:rPr>
      </w:pPr>
      <w:r>
        <w:rPr/>
        <w:t>1400 Smith Street</w:t>
      </w:r>
    </w:p>
    <w:p>
      <w:pPr>
        <w:pStyle w:val="BodyTextIndent2"/>
        <w:tabs>
          <w:tab w:val="clear" w:pos="720"/>
          <w:tab w:val="right" w:pos="5040" w:leader="none"/>
        </w:tabs>
        <w:bidi w:val="0"/>
        <w:spacing w:before="0" w:after="0"/>
        <w:rPr>
          <w:rFonts w:ascii="Times New Roman" w:hAnsi="Times New Roman"/>
        </w:rPr>
      </w:pPr>
      <w:r>
        <w:rPr/>
        <w:t>Houston, Texas  77002</w:t>
      </w:r>
    </w:p>
    <w:p>
      <w:pPr>
        <w:pStyle w:val="BodyTextIndent2"/>
        <w:tabs>
          <w:tab w:val="clear" w:pos="720"/>
          <w:tab w:val="right" w:pos="5040" w:leader="none"/>
        </w:tabs>
        <w:bidi w:val="0"/>
        <w:spacing w:before="0" w:after="0"/>
        <w:rPr>
          <w:rFonts w:ascii="Times New Roman" w:hAnsi="Times New Roman"/>
        </w:rPr>
      </w:pPr>
      <w:r>
        <w:rPr/>
        <w:t>Attention:  President</w:t>
      </w:r>
    </w:p>
    <w:p>
      <w:pPr>
        <w:pStyle w:val="BodyTextIndent2"/>
        <w:tabs>
          <w:tab w:val="clear" w:pos="720"/>
          <w:tab w:val="right" w:pos="5040" w:leader="none"/>
        </w:tabs>
        <w:bidi w:val="0"/>
        <w:spacing w:before="0" w:after="240"/>
        <w:rPr>
          <w:rFonts w:ascii="Times New Roman" w:hAnsi="Times New Roman"/>
        </w:rPr>
      </w:pPr>
      <w:r>
        <w:rPr/>
        <w:t xml:space="preserve">Telecopy No.:  (___) </w:t>
      </w:r>
      <w:r>
        <w:rPr>
          <w:u w:val="single"/>
        </w:rPr>
        <w:tab/>
      </w:r>
    </w:p>
    <w:p>
      <w:pPr>
        <w:pStyle w:val="BodyTextIndent2"/>
        <w:bidi w:val="0"/>
        <w:spacing w:before="0" w:after="0"/>
        <w:rPr>
          <w:rFonts w:ascii="Times New Roman" w:hAnsi="Times New Roman"/>
        </w:rPr>
      </w:pPr>
      <w:r>
        <w:rPr/>
        <w:t>with copies to:</w:t>
      </w:r>
    </w:p>
    <w:p>
      <w:pPr>
        <w:pStyle w:val="BodyTextIndent2"/>
        <w:tabs>
          <w:tab w:val="clear" w:pos="720"/>
          <w:tab w:val="right" w:pos="5040" w:leader="none"/>
        </w:tabs>
        <w:bidi w:val="0"/>
        <w:spacing w:before="0" w:after="0"/>
        <w:rPr>
          <w:rFonts w:ascii="Times New Roman" w:hAnsi="Times New Roman"/>
        </w:rPr>
      </w:pPr>
      <w:r>
        <w:rPr/>
        <w:t>Enron North America Corp.</w:t>
      </w:r>
    </w:p>
    <w:p>
      <w:pPr>
        <w:pStyle w:val="BodyTextIndent2"/>
        <w:tabs>
          <w:tab w:val="clear" w:pos="720"/>
          <w:tab w:val="right" w:pos="5040" w:leader="none"/>
        </w:tabs>
        <w:bidi w:val="0"/>
        <w:spacing w:before="0" w:after="0"/>
        <w:rPr>
          <w:rFonts w:ascii="Times New Roman" w:hAnsi="Times New Roman"/>
        </w:rPr>
      </w:pPr>
      <w:r>
        <w:rPr/>
        <w:t>1400 Smith Street</w:t>
      </w:r>
    </w:p>
    <w:p>
      <w:pPr>
        <w:pStyle w:val="BodyTextIndent2"/>
        <w:tabs>
          <w:tab w:val="clear" w:pos="720"/>
          <w:tab w:val="right" w:pos="5040" w:leader="none"/>
        </w:tabs>
        <w:bidi w:val="0"/>
        <w:spacing w:before="0" w:after="0"/>
        <w:rPr>
          <w:rFonts w:ascii="Times New Roman" w:hAnsi="Times New Roman"/>
        </w:rPr>
      </w:pPr>
      <w:r>
        <w:rPr/>
        <w:t>Houston, Texas  77002</w:t>
      </w:r>
    </w:p>
    <w:p>
      <w:pPr>
        <w:pStyle w:val="BodyTextIndent2"/>
        <w:tabs>
          <w:tab w:val="clear" w:pos="720"/>
          <w:tab w:val="right" w:pos="5040" w:leader="none"/>
        </w:tabs>
        <w:bidi w:val="0"/>
        <w:spacing w:before="0" w:after="0"/>
        <w:rPr>
          <w:rFonts w:ascii="Times New Roman" w:hAnsi="Times New Roman"/>
        </w:rPr>
      </w:pPr>
      <w:r>
        <w:rPr/>
        <w:t>Attention:  Stuart Zisman</w:t>
      </w:r>
    </w:p>
    <w:p>
      <w:pPr>
        <w:pStyle w:val="BodyTextIndent2"/>
        <w:tabs>
          <w:tab w:val="clear" w:pos="720"/>
          <w:tab w:val="right" w:pos="5040" w:leader="none"/>
        </w:tabs>
        <w:bidi w:val="0"/>
        <w:spacing w:before="0" w:after="240"/>
        <w:rPr>
          <w:rFonts w:ascii="Times New Roman" w:hAnsi="Times New Roman"/>
          <w:u w:val="single"/>
        </w:rPr>
      </w:pPr>
      <w:r>
        <w:rPr/>
        <w:t>Telecopy No.:  (713)  646-3490</w:t>
      </w:r>
    </w:p>
    <w:p>
      <w:pPr>
        <w:pStyle w:val="BodyText"/>
        <w:bidi w:val="0"/>
        <w:jc w:val="both"/>
        <w:rPr>
          <w:rFonts w:ascii="Times New Roman" w:hAnsi="Times New Roman"/>
        </w:rPr>
      </w:pPr>
      <w:r>
        <w:rPr/>
        <w:t xml:space="preserve">or at such other address and to the attention of such other Person as Seller may designate by written notice to Buyer.  </w:t>
      </w:r>
    </w:p>
    <w:p>
      <w:pPr>
        <w:pStyle w:val="BodyTextFirstIndent"/>
        <w:keepNext w:val="true"/>
        <w:bidi w:val="0"/>
        <w:rPr>
          <w:rFonts w:ascii="Times New Roman" w:hAnsi="Times New Roman"/>
        </w:rPr>
      </w:pPr>
      <w:r>
        <w:rPr/>
        <w:t>Notices to Buyer shall be addressed to:</w:t>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5040" w:leader="none"/>
        </w:tabs>
        <w:bidi w:val="0"/>
        <w:spacing w:before="0" w:after="240"/>
        <w:rPr>
          <w:rFonts w:ascii="Times New Roman" w:hAnsi="Times New Roman"/>
        </w:rPr>
      </w:pPr>
      <w:r>
        <w:rPr/>
        <w:t xml:space="preserve">Telecopy No.:  (___) </w:t>
      </w:r>
      <w:r>
        <w:rPr>
          <w:u w:val="single"/>
        </w:rPr>
        <w:tab/>
      </w:r>
    </w:p>
    <w:p>
      <w:pPr>
        <w:pStyle w:val="BodyTextIndent2"/>
        <w:keepNext w:val="true"/>
        <w:bidi w:val="0"/>
        <w:spacing w:before="0" w:after="0"/>
        <w:rPr>
          <w:rFonts w:ascii="Times New Roman" w:hAnsi="Times New Roman"/>
        </w:rPr>
      </w:pPr>
      <w:r>
        <w:rPr/>
        <w:t>with copies to:</w:t>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u w:val="single"/>
        </w:rPr>
      </w:pPr>
      <w:r>
        <w:rPr>
          <w:u w:val="single"/>
        </w:rPr>
        <w:tab/>
      </w:r>
    </w:p>
    <w:p>
      <w:pPr>
        <w:pStyle w:val="BodyTextIndent2"/>
        <w:tabs>
          <w:tab w:val="clear" w:pos="720"/>
          <w:tab w:val="right" w:pos="504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5040" w:leader="none"/>
        </w:tabs>
        <w:bidi w:val="0"/>
        <w:spacing w:before="0" w:after="240"/>
        <w:rPr>
          <w:rFonts w:ascii="Times New Roman" w:hAnsi="Times New Roman"/>
          <w:u w:val="single"/>
        </w:rPr>
      </w:pPr>
      <w:r>
        <w:rPr/>
        <w:t xml:space="preserve">Telecopy No.:  (___) </w:t>
      </w:r>
      <w:r>
        <w:rPr>
          <w:u w:val="single"/>
        </w:rPr>
        <w:tab/>
      </w:r>
    </w:p>
    <w:p>
      <w:pPr>
        <w:pStyle w:val="BodyText"/>
        <w:bidi w:val="0"/>
        <w:jc w:val="both"/>
        <w:rPr>
          <w:rFonts w:ascii="Times New Roman" w:hAnsi="Times New Roman"/>
        </w:rPr>
      </w:pPr>
      <w:r>
        <w:rPr/>
        <w:t xml:space="preserve">or at such other address and to the attention of such other Person as Buyer may designate by written notice to Seller.  </w:t>
      </w:r>
    </w:p>
    <w:p>
      <w:pPr>
        <w:pStyle w:val="BodyText"/>
        <w:bidi w:val="0"/>
        <w:jc w:val="both"/>
        <w:rPr>
          <w:rFonts w:ascii="Times New Roman" w:hAnsi="Times New Roman"/>
        </w:rPr>
      </w:pPr>
      <w:r>
        <w:rPr/>
        <w:t>Notice given by overnight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overnight delivery.</w:t>
      </w:r>
    </w:p>
    <w:p>
      <w:pPr>
        <w:pStyle w:val="Heading2"/>
        <w:numPr>
          <w:ilvl w:val="1"/>
          <w:numId w:val="16"/>
        </w:numPr>
        <w:bidi w:val="0"/>
        <w:ind w:firstLine="720" w:start="0" w:end="0"/>
        <w:outlineLvl w:val="1"/>
        <w:rPr>
          <w:rFonts w:ascii="Times New Roman" w:hAnsi="Times New Roman"/>
        </w:rPr>
      </w:pPr>
      <w:r>
        <w:rPr>
          <w:u w:val="single"/>
        </w:rPr>
        <w:t>Successors and Assigns</w:t>
      </w:r>
      <w:r>
        <w:rPr/>
        <w:t xml:space="preserve">.  The rights and obligations of the Parties shall not be assigned or delegated by either Party without the written consent of the other Party, which may be withheld in such Party’s sole discretion; provided, however, Buyer shall have the right to assign or delegate its rights and obligations hereunder, in whole or in part, to one or more of its Affiliates on or after the date hereof without the consent of Seller; provided, however, that no such assignment or delegation by Buyer to an Affiliate shall </w:t>
      </w:r>
      <w:r>
        <w:rPr>
          <w:b/>
          <w:u w:val="double"/>
        </w:rPr>
        <w:t>(i)</w:t>
      </w:r>
      <w:r>
        <w:rPr/>
        <w:t xml:space="preserve"> release Buyer (or any guarantor of Buyer’s obligations hereunder) from its obligations under this Agreement without the written consent of Seller </w:t>
      </w:r>
      <w:r>
        <w:rPr>
          <w:b/>
          <w:u w:val="double"/>
        </w:rPr>
        <w:t>or (ii) adversely affect the ability of the Parties to satisfy the conditions set forth in Sections 8.1(f) and 8.2(f)</w:t>
      </w:r>
      <w:r>
        <w:rPr/>
        <w:t xml:space="preserve"> </w:t>
      </w:r>
      <w:r>
        <w:rPr>
          <w:b/>
          <w:u w:val="double"/>
        </w:rPr>
        <w:t>hereof or otherwise delay the Closing of the transaction contemplated by this Agreement</w:t>
      </w:r>
      <w:r>
        <w:rPr/>
        <w:t>.  Subject to the preceding sentence, this Agreement shall be binding upon and inure to the benefit of the Parties and their successors and assigns.</w:t>
      </w:r>
    </w:p>
    <w:p>
      <w:pPr>
        <w:pStyle w:val="Heading2"/>
        <w:numPr>
          <w:ilvl w:val="1"/>
          <w:numId w:val="16"/>
        </w:numPr>
        <w:bidi w:val="0"/>
        <w:ind w:firstLine="720" w:start="0" w:end="0"/>
        <w:outlineLvl w:val="1"/>
        <w:rPr>
          <w:rFonts w:ascii="Times New Roman" w:hAnsi="Times New Roman"/>
        </w:rPr>
      </w:pPr>
      <w:r>
        <w:rPr>
          <w:u w:val="single"/>
        </w:rPr>
        <w:t>Amendments and Waivers</w:t>
      </w:r>
      <w:r>
        <w:rPr/>
        <w:t>.  This Agreement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Agreement on the part of such other Party to be performed or complied with.  The waiver by a Party of a breach of any term or provision of this Agreement shall not be construed as a waiver of any subsequent breach.</w:t>
      </w:r>
    </w:p>
    <w:p>
      <w:pPr>
        <w:pStyle w:val="Heading2"/>
        <w:numPr>
          <w:ilvl w:val="1"/>
          <w:numId w:val="16"/>
        </w:numPr>
        <w:bidi w:val="0"/>
        <w:ind w:firstLine="720" w:start="0" w:end="0"/>
        <w:outlineLvl w:val="1"/>
        <w:rPr>
          <w:rFonts w:ascii="Times New Roman" w:hAnsi="Times New Roman"/>
        </w:rPr>
      </w:pPr>
      <w:r>
        <w:rPr>
          <w:u w:val="single"/>
        </w:rPr>
        <w:t>Schedules and Exhibits</w:t>
      </w:r>
      <w:r>
        <w:rPr/>
        <w:t>.  All Schedules and Exhibits hereto which are referred to herein are hereby made a part hereof and incorporated herein by such reference.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Heading2"/>
        <w:numPr>
          <w:ilvl w:val="1"/>
          <w:numId w:val="16"/>
        </w:numPr>
        <w:bidi w:val="0"/>
        <w:ind w:firstLine="720" w:start="0" w:end="0"/>
        <w:outlineLvl w:val="1"/>
        <w:rPr>
          <w:rFonts w:ascii="Times New Roman" w:hAnsi="Times New Roman"/>
        </w:rPr>
      </w:pPr>
      <w:r>
        <w:rPr>
          <w:u w:val="single"/>
        </w:rPr>
        <w:t>Interpretation and Rules of Construction</w:t>
      </w:r>
      <w:r>
        <w:rPr/>
        <w:t>.  This Agreement shall not be construed against either Party, and no consideration shall be given or presumption made, on the basis of who drafted this Agreement or any particular provision hereof or who supplied the form of Agreement.  In construing this Agreement:</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examples shall not be construed to limit, expressly or by implication, the matter they illustrate;</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the word “</w:t>
      </w:r>
      <w:r>
        <w:rPr>
          <w:rStyle w:val="Emphasis"/>
          <w:i w:val="false"/>
          <w:lang w:val="en-US" w:eastAsia="en-US"/>
        </w:rPr>
        <w:t>includes</w:t>
      </w:r>
      <w:r>
        <w:rPr/>
        <w:t>” and its derivatives means “includes, but is not limited to” and corresponding derivative expressions;</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a defined term has its defined meaning throughout this Agreement and each Exhibit and Schedule to this Agreement, regardless of whether it appears before or after the place where it is defined;</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 xml:space="preserve">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Heading4"/>
        <w:numPr>
          <w:ilvl w:val="3"/>
          <w:numId w:val="16"/>
        </w:numPr>
        <w:tabs>
          <w:tab w:val="clear" w:pos="2160"/>
          <w:tab w:val="clear" w:pos="2880"/>
        </w:tabs>
        <w:bidi w:val="0"/>
        <w:ind w:firstLine="720" w:start="1440" w:end="0"/>
        <w:outlineLvl w:val="3"/>
        <w:rPr>
          <w:rFonts w:ascii="Times New Roman" w:hAnsi="Times New Roman"/>
        </w:rPr>
      </w:pPr>
      <w:r>
        <w:rPr/>
        <w:t>the headings and titles herein are for convenience only and shall have no significance in the interpretation hereof.</w:t>
      </w:r>
    </w:p>
    <w:p>
      <w:pPr>
        <w:pStyle w:val="Heading2"/>
        <w:numPr>
          <w:ilvl w:val="1"/>
          <w:numId w:val="16"/>
        </w:numPr>
        <w:bidi w:val="0"/>
        <w:ind w:firstLine="720" w:start="0" w:end="0"/>
        <w:outlineLvl w:val="1"/>
        <w:rPr>
          <w:rFonts w:ascii="Times New Roman" w:hAnsi="Times New Roman"/>
        </w:rPr>
      </w:pPr>
      <w:r>
        <w:rPr>
          <w:u w:val="single"/>
        </w:rPr>
        <w:t>Agreement for the Parties’ Benefit Only</w:t>
      </w:r>
      <w:r>
        <w:rPr/>
        <w:t xml:space="preserve">.  Except as specified in </w:t>
      </w:r>
      <w:r>
        <w:rPr>
          <w:u w:val="single"/>
        </w:rPr>
        <w:t>Section 5.1</w:t>
      </w:r>
      <w:r>
        <w:rPr/>
        <w:t xml:space="preserve"> and </w:t>
      </w:r>
      <w:r>
        <w:rPr>
          <w:u w:val="single"/>
        </w:rPr>
        <w:t>Article 11</w:t>
      </w:r>
      <w:r>
        <w:rPr/>
        <w:t xml:space="preserve">, which are also intended to benefit and to be enforceable by the Indemnified Parties, this Agreement is not intended to confer upon any Person not a party hereto any rights or remedies hereunder, and no Person, other than the Parties or the Indemnified Parties, is entitled to rely on any representation, warranty, covenant, or agreement contained herein.  </w:t>
      </w:r>
    </w:p>
    <w:p>
      <w:pPr>
        <w:pStyle w:val="Heading2"/>
        <w:numPr>
          <w:ilvl w:val="1"/>
          <w:numId w:val="16"/>
        </w:numPr>
        <w:bidi w:val="0"/>
        <w:ind w:firstLine="720" w:start="0" w:end="0"/>
        <w:outlineLvl w:val="1"/>
        <w:rPr>
          <w:rFonts w:ascii="Times New Roman" w:hAnsi="Times New Roman"/>
        </w:rPr>
      </w:pPr>
      <w:r>
        <w:rPr>
          <w:u w:val="single"/>
        </w:rPr>
        <w:t>Attorneys’ Fees</w:t>
      </w:r>
      <w:r>
        <w:rPr/>
        <w:t>.  The prevailing Party in any legal proceeding brought under or to enforce this Agreement shall be additionally entitled to recover court costs and reasonable attorneys’ fees from the nonprevailing Party.</w:t>
      </w:r>
    </w:p>
    <w:p>
      <w:pPr>
        <w:pStyle w:val="Heading2"/>
        <w:numPr>
          <w:ilvl w:val="1"/>
          <w:numId w:val="16"/>
        </w:numPr>
        <w:bidi w:val="0"/>
        <w:ind w:firstLine="720" w:start="0" w:end="0"/>
        <w:outlineLvl w:val="1"/>
        <w:rPr>
          <w:rFonts w:ascii="Times New Roman" w:hAnsi="Times New Roman"/>
        </w:rPr>
      </w:pPr>
      <w:r>
        <w:rPr>
          <w:u w:val="single"/>
        </w:rPr>
        <w:t>Severability</w:t>
      </w:r>
      <w:r>
        <w:rPr/>
        <w:t>.  If any term or other provision of this Agreement is invalid, illegal, or incapable of being enforced by any Law or public policy, all other conditions and provisions of this Agreement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numPr>
          <w:ilvl w:val="1"/>
          <w:numId w:val="16"/>
        </w:numPr>
        <w:bidi w:val="0"/>
        <w:ind w:firstLine="720" w:start="0" w:end="0"/>
        <w:outlineLvl w:val="1"/>
        <w:rPr>
          <w:rFonts w:ascii="Times New Roman" w:hAnsi="Times New Roman"/>
        </w:rPr>
      </w:pPr>
      <w:r>
        <w:rPr>
          <w:u w:val="single"/>
        </w:rPr>
        <w:t>Time of Essence</w:t>
      </w:r>
      <w:r>
        <w:rPr/>
        <w:t xml:space="preserve">.  Time is of the essence in this Agreement.  If the date specified in this Agreement for giving any notice or taking any action is not a Business Day (or if the period during which any notice is required to be given or any action taken expires on a date which is not a Business Day), then the date for giving such notice or taking such action (and the expiration date of such period during which notice is required to be given or action taken) shall be the next day which is a Business Day.  </w:t>
      </w:r>
    </w:p>
    <w:p>
      <w:pPr>
        <w:pStyle w:val="BodyTextFirstIndent"/>
        <w:bidi w:val="0"/>
        <w:rPr>
          <w:rFonts w:ascii="Times New Roman" w:hAnsi="Times New Roman"/>
        </w:rPr>
      </w:pPr>
      <w:r>
        <w:rPr/>
        <w:t>IN WITNESS WHEREOF, this Agreement has been signed by or on behalf of each of the Parties as of the day first above written.</w:t>
      </w:r>
    </w:p>
    <w:p>
      <w:pPr>
        <w:pStyle w:val="SignatureLines"/>
        <w:bidi w:val="0"/>
        <w:spacing w:lineRule="auto" w:line="360"/>
        <w:jc w:val="start"/>
        <w:rPr>
          <w:rFonts w:ascii="Times New Roman" w:hAnsi="Times New Roman"/>
        </w:rPr>
      </w:pPr>
      <w:r>
        <w:rPr>
          <w:rStyle w:val="Emphasis"/>
          <w:lang w:val="en-US" w:eastAsia="en-US"/>
        </w:rPr>
        <w:t>Seller</w:t>
      </w:r>
      <w:r>
        <w:rPr/>
        <w:t>:</w:t>
      </w:r>
    </w:p>
    <w:p>
      <w:pPr>
        <w:pStyle w:val="SignatureLines"/>
        <w:bidi w:val="0"/>
        <w:spacing w:lineRule="auto" w:line="360"/>
        <w:jc w:val="start"/>
        <w:rPr>
          <w:rStyle w:val="Strong"/>
          <w:rFonts w:ascii="Times New Roman" w:hAnsi="Times New Roman"/>
        </w:rPr>
      </w:pPr>
      <w:r>
        <w:rPr>
          <w:rStyle w:val="Strong"/>
          <w:lang w:val="en-US" w:eastAsia="en-US"/>
        </w:rPr>
        <w:t>Enron North America Corp.</w:t>
      </w:r>
    </w:p>
    <w:p>
      <w:pPr>
        <w:pStyle w:val="SignatureLines"/>
        <w:bidi w:val="0"/>
        <w:spacing w:lineRule="auto" w:line="360"/>
        <w:jc w:val="start"/>
        <w:rPr>
          <w:rFonts w:ascii="Times New Roman" w:hAnsi="Times New Roman"/>
        </w:rPr>
      </w:pPr>
      <w:r>
        <w:rPr/>
      </w:r>
    </w:p>
    <w:p>
      <w:pPr>
        <w:pStyle w:val="SignatureLines"/>
        <w:bidi w:val="0"/>
        <w:spacing w:lineRule="auto" w:line="360"/>
        <w:jc w:val="start"/>
        <w:rPr>
          <w:rFonts w:ascii="Times New Roman" w:hAnsi="Times New Roman"/>
        </w:rPr>
      </w:pPr>
      <w:r>
        <w:rPr/>
        <w:t xml:space="preserve">By: </w:t>
      </w:r>
      <w:r>
        <w:rPr>
          <w:u w:val="single"/>
        </w:rPr>
        <w:tab/>
      </w:r>
    </w:p>
    <w:p>
      <w:pPr>
        <w:pStyle w:val="SignatureLines"/>
        <w:bidi w:val="0"/>
        <w:spacing w:lineRule="auto" w:line="360"/>
        <w:jc w:val="start"/>
        <w:rPr>
          <w:rFonts w:ascii="Times New Roman" w:hAnsi="Times New Roman"/>
        </w:rPr>
      </w:pPr>
      <w:r>
        <w:rPr/>
        <w:t xml:space="preserve">Name: </w:t>
      </w:r>
      <w:r>
        <w:rPr>
          <w:u w:val="single"/>
        </w:rPr>
        <w:tab/>
      </w:r>
    </w:p>
    <w:p>
      <w:pPr>
        <w:pStyle w:val="SignatureLines"/>
        <w:bidi w:val="0"/>
        <w:spacing w:lineRule="auto" w:line="360"/>
        <w:jc w:val="start"/>
        <w:rPr>
          <w:rFonts w:ascii="Times New Roman" w:hAnsi="Times New Roman"/>
          <w:u w:val="single"/>
        </w:rPr>
      </w:pPr>
      <w:r>
        <w:rPr/>
        <w:t xml:space="preserve">Title: </w:t>
      </w:r>
      <w:r>
        <w:rPr>
          <w:u w:val="single"/>
        </w:rPr>
        <w:tab/>
      </w:r>
    </w:p>
    <w:p>
      <w:pPr>
        <w:pStyle w:val="SignatureLines"/>
        <w:bidi w:val="0"/>
        <w:spacing w:lineRule="auto" w:line="360"/>
        <w:jc w:val="start"/>
        <w:rPr>
          <w:rFonts w:ascii="Times New Roman" w:hAnsi="Times New Roman"/>
        </w:rPr>
      </w:pPr>
      <w:r>
        <w:rPr/>
      </w:r>
    </w:p>
    <w:p>
      <w:pPr>
        <w:pStyle w:val="SignatureLines"/>
        <w:bidi w:val="0"/>
        <w:spacing w:lineRule="auto" w:line="360"/>
        <w:jc w:val="start"/>
        <w:rPr>
          <w:rFonts w:ascii="Times New Roman" w:hAnsi="Times New Roman"/>
        </w:rPr>
      </w:pPr>
      <w:r>
        <w:rPr>
          <w:rStyle w:val="Emphasis"/>
          <w:lang w:val="en-US" w:eastAsia="en-US"/>
        </w:rPr>
        <w:t>Buyer</w:t>
      </w:r>
      <w:r>
        <w:rPr/>
        <w:t>:</w:t>
      </w:r>
    </w:p>
    <w:p>
      <w:pPr>
        <w:pStyle w:val="SignatureLines"/>
        <w:bidi w:val="0"/>
        <w:spacing w:lineRule="auto" w:line="360"/>
        <w:jc w:val="start"/>
        <w:rPr>
          <w:rFonts w:ascii="Times New Roman" w:hAnsi="Times New Roman"/>
          <w:u w:val="single"/>
        </w:rPr>
      </w:pPr>
      <w:r>
        <w:rPr>
          <w:u w:val="single"/>
        </w:rPr>
        <w:tab/>
      </w:r>
    </w:p>
    <w:p>
      <w:pPr>
        <w:pStyle w:val="SignatureLines"/>
        <w:bidi w:val="0"/>
        <w:spacing w:lineRule="auto" w:line="360"/>
        <w:jc w:val="start"/>
        <w:rPr>
          <w:rFonts w:ascii="Times New Roman" w:hAnsi="Times New Roman"/>
        </w:rPr>
      </w:pPr>
      <w:r>
        <w:rPr/>
        <w:t xml:space="preserve">By: </w:t>
      </w:r>
      <w:r>
        <w:rPr>
          <w:u w:val="single"/>
        </w:rPr>
        <w:tab/>
      </w:r>
    </w:p>
    <w:p>
      <w:pPr>
        <w:pStyle w:val="SignatureLines"/>
        <w:bidi w:val="0"/>
        <w:spacing w:lineRule="auto" w:line="360"/>
        <w:jc w:val="start"/>
        <w:rPr>
          <w:rFonts w:ascii="Times New Roman" w:hAnsi="Times New Roman"/>
        </w:rPr>
      </w:pPr>
      <w:r>
        <w:rPr/>
        <w:t xml:space="preserve">Name: </w:t>
      </w:r>
      <w:r>
        <w:rPr>
          <w:u w:val="single"/>
        </w:rPr>
        <w:tab/>
      </w:r>
    </w:p>
    <w:p>
      <w:pPr>
        <w:pStyle w:val="SignatureLines"/>
        <w:bidi w:val="0"/>
        <w:spacing w:lineRule="auto" w:line="360"/>
        <w:jc w:val="start"/>
        <w:rPr>
          <w:rFonts w:ascii="Times New Roman" w:hAnsi="Times New Roman"/>
        </w:rPr>
      </w:pPr>
      <w:r>
        <w:rPr/>
        <w:t xml:space="preserve">Title: </w:t>
      </w:r>
      <w:r>
        <w:rPr>
          <w:u w:val="single"/>
        </w:rPr>
        <w:tab/>
      </w:r>
    </w:p>
    <w:p>
      <w:pPr>
        <w:pStyle w:val="BodyText"/>
        <w:bidi w:val="0"/>
        <w:jc w:val="start"/>
        <w:rPr>
          <w:rFonts w:ascii="Times New Roman" w:hAnsi="Times New Roman"/>
        </w:rPr>
      </w:pPr>
      <w:r>
        <w:rPr>
          <w:u w:val="single"/>
        </w:rPr>
        <w:t>LIST OF EXHIBITS AND SCHEDULES</w:t>
      </w:r>
      <w:r>
        <w:rPr/>
        <w:t>:</w:t>
      </w:r>
    </w:p>
    <w:p>
      <w:pPr>
        <w:pStyle w:val="BodyText"/>
        <w:bidi w:val="0"/>
        <w:spacing w:before="0" w:after="0"/>
        <w:jc w:val="start"/>
        <w:rPr>
          <w:rFonts w:ascii="Times New Roman" w:hAnsi="Times New Roman"/>
        </w:rPr>
      </w:pPr>
      <w:r>
        <w:rPr>
          <w:u w:val="single"/>
        </w:rPr>
        <w:t>List of Exhibits</w:t>
      </w:r>
      <w:r>
        <w:rPr/>
        <w:t>:</w:t>
      </w:r>
    </w:p>
    <w:p>
      <w:pPr>
        <w:pStyle w:val="BodyText"/>
        <w:tabs>
          <w:tab w:val="clear" w:pos="720"/>
          <w:tab w:val="left" w:pos="2160" w:leader="none"/>
        </w:tabs>
        <w:bidi w:val="0"/>
        <w:spacing w:before="0" w:after="0"/>
        <w:jc w:val="start"/>
        <w:rPr>
          <w:rFonts w:ascii="Times New Roman" w:hAnsi="Times New Roman"/>
        </w:rPr>
      </w:pPr>
      <w:r>
        <w:rPr/>
        <w:t>Exhibit A</w:t>
        <w:tab/>
        <w:t>-</w:t>
        <w:tab/>
        <w:t>List of LLCs and Facilities</w:t>
      </w:r>
    </w:p>
    <w:p>
      <w:pPr>
        <w:pStyle w:val="BodyText"/>
        <w:tabs>
          <w:tab w:val="clear" w:pos="720"/>
          <w:tab w:val="left" w:pos="2160" w:leader="none"/>
        </w:tabs>
        <w:bidi w:val="0"/>
        <w:spacing w:before="0" w:after="0"/>
        <w:jc w:val="start"/>
        <w:rPr>
          <w:rFonts w:ascii="Times New Roman" w:hAnsi="Times New Roman"/>
        </w:rPr>
      </w:pPr>
      <w:r>
        <w:rPr/>
        <w:t>Exhibit 5.2</w:t>
        <w:tab/>
        <w:t>-</w:t>
        <w:tab/>
        <w:t>Confidentiality Agreement</w:t>
      </w:r>
    </w:p>
    <w:p>
      <w:pPr>
        <w:pStyle w:val="BodyText"/>
        <w:tabs>
          <w:tab w:val="clear" w:pos="720"/>
          <w:tab w:val="left" w:pos="2160" w:leader="none"/>
        </w:tabs>
        <w:bidi w:val="0"/>
        <w:spacing w:before="0" w:after="0"/>
        <w:jc w:val="start"/>
        <w:rPr>
          <w:rFonts w:ascii="Times New Roman" w:hAnsi="Times New Roman"/>
        </w:rPr>
      </w:pPr>
      <w:r>
        <w:rPr/>
        <w:t>Exhibit 7.14</w:t>
        <w:tab/>
        <w:t>-</w:t>
        <w:tab/>
        <w:t>Guaranty Agreement</w:t>
      </w:r>
    </w:p>
    <w:p>
      <w:pPr>
        <w:pStyle w:val="BodyText"/>
        <w:tabs>
          <w:tab w:val="clear" w:pos="720"/>
          <w:tab w:val="left" w:pos="2160" w:leader="none"/>
        </w:tabs>
        <w:bidi w:val="0"/>
        <w:spacing w:before="0" w:after="480"/>
        <w:jc w:val="start"/>
        <w:rPr>
          <w:rFonts w:ascii="Times New Roman" w:hAnsi="Times New Roman"/>
        </w:rPr>
      </w:pPr>
      <w:r>
        <w:rPr/>
        <w:t>Exhibit 9.2</w:t>
        <w:tab/>
        <w:t>-</w:t>
        <w:tab/>
        <w:t>Assignment and Assumption Agreement</w:t>
      </w:r>
    </w:p>
    <w:p>
      <w:pPr>
        <w:pStyle w:val="BodyText"/>
        <w:tabs>
          <w:tab w:val="clear" w:pos="720"/>
          <w:tab w:val="left" w:pos="2160" w:leader="none"/>
        </w:tabs>
        <w:bidi w:val="0"/>
        <w:jc w:val="start"/>
        <w:rPr>
          <w:rFonts w:ascii="Times New Roman" w:hAnsi="Times New Roman"/>
        </w:rPr>
      </w:pPr>
      <w:r>
        <w:rPr>
          <w:u w:val="single"/>
        </w:rPr>
        <w:t>List of Schedules</w:t>
      </w:r>
      <w:r>
        <w:rPr/>
        <w:t>:</w:t>
      </w:r>
    </w:p>
    <w:p>
      <w:pPr>
        <w:pStyle w:val="BodyText"/>
        <w:tabs>
          <w:tab w:val="clear" w:pos="720"/>
          <w:tab w:val="left" w:pos="2160" w:leader="none"/>
        </w:tabs>
        <w:bidi w:val="0"/>
        <w:spacing w:before="0" w:after="0"/>
        <w:jc w:val="start"/>
        <w:rPr>
          <w:rFonts w:ascii="Times New Roman" w:hAnsi="Times New Roman"/>
        </w:rPr>
      </w:pPr>
      <w:r>
        <w:rPr/>
        <w:t>Schedule 4.1(h)</w:t>
        <w:tab/>
        <w:t>-</w:t>
        <w:tab/>
        <w:t>Consents</w:t>
      </w:r>
    </w:p>
    <w:p>
      <w:pPr>
        <w:pStyle w:val="BodyText"/>
        <w:tabs>
          <w:tab w:val="clear" w:pos="720"/>
          <w:tab w:val="left" w:pos="2160" w:leader="none"/>
        </w:tabs>
        <w:bidi w:val="0"/>
        <w:spacing w:before="0" w:after="0"/>
        <w:jc w:val="start"/>
        <w:rPr>
          <w:rFonts w:ascii="Times New Roman" w:hAnsi="Times New Roman"/>
        </w:rPr>
      </w:pPr>
      <w:r>
        <w:rPr/>
        <w:t>Schedule 4.1(i)</w:t>
        <w:tab/>
        <w:t>-</w:t>
        <w:tab/>
        <w:t>Actions</w:t>
      </w:r>
    </w:p>
    <w:p>
      <w:pPr>
        <w:pStyle w:val="BodyText"/>
        <w:tabs>
          <w:tab w:val="clear" w:pos="720"/>
          <w:tab w:val="left" w:pos="2160" w:leader="none"/>
        </w:tabs>
        <w:bidi w:val="0"/>
        <w:spacing w:before="0" w:after="0"/>
        <w:jc w:val="start"/>
        <w:rPr>
          <w:rFonts w:ascii="Times New Roman" w:hAnsi="Times New Roman"/>
        </w:rPr>
      </w:pPr>
      <w:r>
        <w:rPr/>
        <w:t>Schedule 4.1(j)</w:t>
        <w:tab/>
        <w:t>-</w:t>
        <w:tab/>
        <w:t>Compliance with Laws</w:t>
      </w:r>
    </w:p>
    <w:p>
      <w:pPr>
        <w:pStyle w:val="BodyText"/>
        <w:tabs>
          <w:tab w:val="clear" w:pos="720"/>
          <w:tab w:val="left" w:pos="2160" w:leader="none"/>
        </w:tabs>
        <w:bidi w:val="0"/>
        <w:spacing w:before="0" w:after="0"/>
        <w:jc w:val="start"/>
        <w:rPr>
          <w:rFonts w:ascii="Times New Roman" w:hAnsi="Times New Roman"/>
        </w:rPr>
      </w:pPr>
      <w:r>
        <w:rPr/>
        <w:t>Schedule 4.1(m)</w:t>
        <w:tab/>
        <w:t>-</w:t>
        <w:tab/>
        <w:t>Project Documents</w:t>
      </w:r>
    </w:p>
    <w:p>
      <w:pPr>
        <w:pStyle w:val="BodyText"/>
        <w:tabs>
          <w:tab w:val="clear" w:pos="720"/>
          <w:tab w:val="left" w:pos="2160" w:leader="none"/>
        </w:tabs>
        <w:bidi w:val="0"/>
        <w:spacing w:before="0" w:after="0"/>
        <w:jc w:val="start"/>
        <w:rPr>
          <w:rFonts w:ascii="Times New Roman" w:hAnsi="Times New Roman"/>
        </w:rPr>
      </w:pPr>
      <w:r>
        <w:rPr/>
        <w:t>Schedule 4.1(n)</w:t>
        <w:tab/>
        <w:t>-</w:t>
        <w:tab/>
        <w:t>Environmental Matters</w:t>
      </w:r>
    </w:p>
    <w:p>
      <w:pPr>
        <w:pStyle w:val="BodyText"/>
        <w:tabs>
          <w:tab w:val="clear" w:pos="720"/>
          <w:tab w:val="left" w:pos="2160" w:leader="none"/>
        </w:tabs>
        <w:bidi w:val="0"/>
        <w:spacing w:before="0" w:after="0"/>
        <w:jc w:val="start"/>
        <w:rPr>
          <w:rFonts w:ascii="Times New Roman" w:hAnsi="Times New Roman"/>
        </w:rPr>
      </w:pPr>
      <w:r>
        <w:rPr/>
        <w:t>Schedule 4.1(o)</w:t>
        <w:tab/>
        <w:t>-</w:t>
        <w:tab/>
        <w:t>Tax Matters</w:t>
      </w:r>
    </w:p>
    <w:p>
      <w:pPr>
        <w:pStyle w:val="BodyText"/>
        <w:tabs>
          <w:tab w:val="clear" w:pos="720"/>
          <w:tab w:val="left" w:pos="2160" w:leader="none"/>
        </w:tabs>
        <w:bidi w:val="0"/>
        <w:spacing w:before="0" w:after="0"/>
        <w:jc w:val="start"/>
        <w:rPr>
          <w:rFonts w:ascii="Times New Roman" w:hAnsi="Times New Roman"/>
        </w:rPr>
      </w:pPr>
      <w:r>
        <w:rPr/>
        <w:t>Schedule 4.1(p)</w:t>
        <w:tab/>
        <w:t>-</w:t>
        <w:tab/>
        <w:t>Employee Matters</w:t>
      </w:r>
    </w:p>
    <w:p>
      <w:pPr>
        <w:pStyle w:val="BodyText"/>
        <w:tabs>
          <w:tab w:val="clear" w:pos="720"/>
          <w:tab w:val="left" w:pos="2160" w:leader="none"/>
        </w:tabs>
        <w:bidi w:val="0"/>
        <w:spacing w:before="0" w:after="0"/>
        <w:jc w:val="start"/>
        <w:rPr>
          <w:rFonts w:ascii="Times New Roman" w:hAnsi="Times New Roman"/>
        </w:rPr>
      </w:pPr>
      <w:r>
        <w:rPr/>
        <w:t>Schedule 4.1(r)</w:t>
        <w:tab/>
        <w:t>-</w:t>
        <w:tab/>
        <w:t>Personal Property</w:t>
      </w:r>
    </w:p>
    <w:p>
      <w:pPr>
        <w:pStyle w:val="BodyText"/>
        <w:tabs>
          <w:tab w:val="clear" w:pos="720"/>
          <w:tab w:val="left" w:pos="2160" w:leader="none"/>
        </w:tabs>
        <w:bidi w:val="0"/>
        <w:spacing w:before="0" w:after="0"/>
        <w:jc w:val="start"/>
        <w:rPr>
          <w:rFonts w:ascii="Times New Roman" w:hAnsi="Times New Roman"/>
        </w:rPr>
      </w:pPr>
      <w:r>
        <w:rPr/>
        <w:t>Schedule 4.1(s)</w:t>
        <w:tab/>
        <w:t>-</w:t>
        <w:tab/>
        <w:t>Real Property</w:t>
      </w:r>
    </w:p>
    <w:p>
      <w:pPr>
        <w:pStyle w:val="BodyText"/>
        <w:tabs>
          <w:tab w:val="clear" w:pos="720"/>
          <w:tab w:val="left" w:pos="2160" w:leader="none"/>
        </w:tabs>
        <w:bidi w:val="0"/>
        <w:spacing w:before="0" w:after="0"/>
        <w:jc w:val="start"/>
        <w:rPr>
          <w:rFonts w:ascii="Times New Roman" w:hAnsi="Times New Roman"/>
        </w:rPr>
      </w:pPr>
      <w:r>
        <w:rPr/>
        <w:t>Schedule 4.1(t)</w:t>
        <w:tab/>
        <w:t>-</w:t>
        <w:tab/>
        <w:t>Leases</w:t>
      </w:r>
    </w:p>
    <w:p>
      <w:pPr>
        <w:pStyle w:val="BodyText"/>
        <w:tabs>
          <w:tab w:val="clear" w:pos="720"/>
          <w:tab w:val="left" w:pos="2160" w:leader="none"/>
        </w:tabs>
        <w:bidi w:val="0"/>
        <w:spacing w:before="0" w:after="0"/>
        <w:jc w:val="start"/>
        <w:rPr>
          <w:rFonts w:ascii="Times New Roman" w:hAnsi="Times New Roman"/>
        </w:rPr>
      </w:pPr>
      <w:r>
        <w:rPr/>
        <w:t>Schedule 4.1(u)</w:t>
        <w:tab/>
        <w:t>-</w:t>
        <w:tab/>
        <w:t>Permits</w:t>
      </w:r>
    </w:p>
    <w:p>
      <w:pPr>
        <w:pStyle w:val="BodyText"/>
        <w:tabs>
          <w:tab w:val="clear" w:pos="720"/>
          <w:tab w:val="left" w:pos="2160" w:leader="none"/>
        </w:tabs>
        <w:bidi w:val="0"/>
        <w:spacing w:before="0" w:after="0"/>
        <w:jc w:val="start"/>
        <w:rPr>
          <w:rFonts w:ascii="Times New Roman" w:hAnsi="Times New Roman"/>
        </w:rPr>
      </w:pPr>
      <w:r>
        <w:rPr/>
        <w:t>Schedule 4.1(v)</w:t>
        <w:tab/>
        <w:t>-</w:t>
        <w:tab/>
        <w:t>Condition of Facility</w:t>
      </w:r>
    </w:p>
    <w:p>
      <w:pPr>
        <w:pStyle w:val="BodyText"/>
        <w:tabs>
          <w:tab w:val="clear" w:pos="720"/>
          <w:tab w:val="left" w:pos="2160" w:leader="none"/>
        </w:tabs>
        <w:bidi w:val="0"/>
        <w:spacing w:before="0" w:after="0"/>
        <w:jc w:val="start"/>
        <w:rPr>
          <w:rFonts w:ascii="Times New Roman" w:hAnsi="Times New Roman"/>
        </w:rPr>
      </w:pPr>
      <w:r>
        <w:rPr/>
        <w:t>Schedule 4.1(w)</w:t>
        <w:tab/>
        <w:t>-</w:t>
        <w:tab/>
        <w:t>Officers</w:t>
      </w:r>
    </w:p>
    <w:p>
      <w:pPr>
        <w:pStyle w:val="BodyText"/>
        <w:tabs>
          <w:tab w:val="clear" w:pos="720"/>
          <w:tab w:val="left" w:pos="2160" w:leader="none"/>
        </w:tabs>
        <w:bidi w:val="0"/>
        <w:spacing w:before="0" w:after="0"/>
        <w:jc w:val="start"/>
        <w:rPr>
          <w:rFonts w:ascii="Times New Roman" w:hAnsi="Times New Roman"/>
        </w:rPr>
      </w:pPr>
      <w:r>
        <w:rPr/>
        <w:t>Schedule 4.1(y)</w:t>
        <w:tab/>
        <w:t>-</w:t>
        <w:tab/>
        <w:t>Affiliate Assets</w:t>
      </w:r>
    </w:p>
    <w:p>
      <w:pPr>
        <w:pStyle w:val="BodyText"/>
        <w:tabs>
          <w:tab w:val="clear" w:pos="720"/>
          <w:tab w:val="left" w:pos="2160" w:leader="none"/>
        </w:tabs>
        <w:bidi w:val="0"/>
        <w:spacing w:before="0" w:after="0"/>
        <w:jc w:val="start"/>
        <w:rPr>
          <w:rFonts w:ascii="Times New Roman" w:hAnsi="Times New Roman"/>
        </w:rPr>
      </w:pPr>
      <w:r>
        <w:rPr/>
        <w:t xml:space="preserve">Schedule </w:t>
      </w:r>
      <w:r>
        <w:rPr>
          <w:strike/>
        </w:rPr>
        <w:t>4.1(ee)</w:t>
      </w:r>
      <w:r>
        <w:rPr/>
        <w:t xml:space="preserve"> </w:t>
      </w:r>
      <w:r>
        <w:rPr>
          <w:b/>
          <w:u w:val="double"/>
        </w:rPr>
        <w:t>4.1(dd)</w:t>
      </w:r>
      <w:r>
        <w:rPr/>
        <w:tab/>
        <w:t xml:space="preserve">- </w:t>
        <w:tab/>
        <w:t>Certain Changes or Events</w:t>
      </w:r>
    </w:p>
    <w:p>
      <w:pPr>
        <w:pStyle w:val="BodyText"/>
        <w:tabs>
          <w:tab w:val="clear" w:pos="720"/>
          <w:tab w:val="left" w:pos="2160" w:leader="none"/>
        </w:tabs>
        <w:bidi w:val="0"/>
        <w:spacing w:before="0" w:after="0"/>
        <w:jc w:val="start"/>
        <w:rPr>
          <w:rFonts w:ascii="Times New Roman" w:hAnsi="Times New Roman"/>
        </w:rPr>
      </w:pPr>
      <w:r>
        <w:rPr/>
        <w:t>Schedule 7.1</w:t>
        <w:tab/>
        <w:t>-</w:t>
        <w:tab/>
        <w:t>Preclosing Matters; Transferred Contracts</w:t>
      </w:r>
    </w:p>
    <w:p>
      <w:pPr>
        <w:pStyle w:val="BodyText"/>
        <w:tabs>
          <w:tab w:val="clear" w:pos="720"/>
          <w:tab w:val="left" w:pos="2160" w:leader="none"/>
        </w:tabs>
        <w:bidi w:val="0"/>
        <w:spacing w:before="0" w:after="0"/>
        <w:jc w:val="start"/>
        <w:rPr>
          <w:rFonts w:ascii="Times New Roman" w:hAnsi="Times New Roman"/>
        </w:rPr>
      </w:pPr>
      <w:r>
        <w:rPr>
          <w:b/>
          <w:u w:val="double"/>
        </w:rPr>
        <w:t>Schedule 7.9</w:t>
      </w:r>
      <w:r>
        <w:rPr/>
        <w:tab/>
      </w:r>
      <w:r>
        <w:rPr>
          <w:b/>
          <w:u w:val="double"/>
        </w:rPr>
        <w:t>-</w:t>
      </w:r>
      <w:r>
        <w:rPr/>
        <w:tab/>
      </w:r>
      <w:r>
        <w:rPr>
          <w:b/>
          <w:u w:val="double"/>
        </w:rPr>
        <w:t>Casualty Loss Amount</w:t>
      </w:r>
    </w:p>
    <w:p>
      <w:pPr>
        <w:pStyle w:val="BodyText"/>
        <w:tabs>
          <w:tab w:val="clear" w:pos="720"/>
          <w:tab w:val="left" w:pos="2160" w:leader="none"/>
        </w:tabs>
        <w:bidi w:val="0"/>
        <w:spacing w:before="0" w:after="0"/>
        <w:jc w:val="start"/>
        <w:rPr>
          <w:rFonts w:ascii="Times New Roman" w:hAnsi="Times New Roman"/>
        </w:rPr>
      </w:pPr>
      <w:r>
        <w:rPr/>
        <w:t>Schedule 7.10</w:t>
        <w:tab/>
        <w:t>-</w:t>
        <w:tab/>
        <w:t>Excluded Assets</w:t>
      </w:r>
    </w:p>
    <w:p>
      <w:pPr>
        <w:pStyle w:val="BodyText"/>
        <w:tabs>
          <w:tab w:val="clear" w:pos="720"/>
          <w:tab w:val="left" w:pos="2160" w:leader="none"/>
        </w:tabs>
        <w:bidi w:val="0"/>
        <w:spacing w:before="0" w:after="0"/>
        <w:jc w:val="start"/>
        <w:rPr>
          <w:rFonts w:ascii="Times New Roman" w:hAnsi="Times New Roman"/>
        </w:rPr>
      </w:pPr>
      <w:r>
        <w:rPr/>
        <w:t>Schedule 7.11</w:t>
        <w:tab/>
        <w:t>-</w:t>
        <w:tab/>
        <w:t>Guarantees</w:t>
      </w:r>
    </w:p>
    <w:p>
      <w:pPr>
        <w:pStyle w:val="BodyText"/>
        <w:tabs>
          <w:tab w:val="clear" w:pos="720"/>
          <w:tab w:val="left" w:pos="2160" w:leader="none"/>
        </w:tabs>
        <w:bidi w:val="0"/>
        <w:spacing w:before="0" w:after="0"/>
        <w:jc w:val="start"/>
        <w:rPr>
          <w:rFonts w:ascii="Times New Roman" w:hAnsi="Times New Roman"/>
        </w:rPr>
      </w:pPr>
      <w:r>
        <w:rPr/>
        <w:t xml:space="preserve">Schedule </w:t>
      </w:r>
      <w:r>
        <w:rPr>
          <w:strike/>
        </w:rPr>
        <w:t>8.2(h)</w:t>
      </w:r>
      <w:r>
        <w:rPr/>
        <w:t xml:space="preserve"> </w:t>
      </w:r>
      <w:r>
        <w:rPr>
          <w:b/>
          <w:u w:val="double"/>
        </w:rPr>
        <w:t>8.2(g)</w:t>
      </w:r>
      <w:r>
        <w:rPr/>
        <w:tab/>
        <w:t>-</w:t>
        <w:tab/>
        <w:t>Liens</w:t>
      </w:r>
    </w:p>
    <w:p>
      <w:pPr>
        <w:pStyle w:val="BodyText"/>
        <w:tabs>
          <w:tab w:val="clear" w:pos="720"/>
          <w:tab w:val="left" w:pos="2160" w:leader="none"/>
        </w:tabs>
        <w:bidi w:val="0"/>
        <w:spacing w:before="0" w:after="0"/>
        <w:jc w:val="start"/>
        <w:rPr>
          <w:rFonts w:ascii="Times New Roman" w:hAnsi="Times New Roman"/>
        </w:rPr>
      </w:pPr>
      <w:r>
        <w:rPr/>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pStyle w:val="BodyText"/>
        <w:tabs>
          <w:tab w:val="clear" w:pos="720"/>
          <w:tab w:val="left" w:pos="2160" w:leader="none"/>
        </w:tabs>
        <w:bidi w:val="0"/>
        <w:spacing w:before="0" w:after="0"/>
        <w:jc w:val="start"/>
        <w:rPr>
          <w:rFonts w:ascii="Times New Roman" w:hAnsi="Times New Roman"/>
        </w:rPr>
      </w:pPr>
      <w:r>
        <w:rPr/>
      </w:r>
    </w:p>
    <w:p>
      <w:pPr>
        <w:pStyle w:val="Title"/>
        <w:bidi w:val="0"/>
        <w:spacing w:before="0" w:after="0"/>
        <w:rPr>
          <w:rFonts w:ascii="Times New Roman" w:hAnsi="Times New Roman"/>
        </w:rPr>
      </w:pPr>
      <w:r>
        <w:rPr/>
        <w:t>Exhibit A</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spacing w:before="0" w:after="480"/>
        <w:rPr>
          <w:rFonts w:ascii="Times New Roman" w:hAnsi="Times New Roman"/>
        </w:rPr>
      </w:pPr>
      <w:r>
        <w:rPr/>
        <w:t>LIST OF LLCs AND FACILITIES</w:t>
      </w:r>
    </w:p>
    <w:p>
      <w:pPr>
        <w:pStyle w:val="BodyText"/>
        <w:bidi w:val="0"/>
        <w:jc w:val="start"/>
        <w:rPr>
          <w:rFonts w:ascii="Times New Roman" w:hAnsi="Times New Roman"/>
        </w:rPr>
      </w:pPr>
      <w:r>
        <w:rPr/>
        <w:t>1.</w:t>
        <w:tab/>
      </w:r>
      <w:r>
        <w:rPr>
          <w:u w:val="single"/>
        </w:rPr>
        <w:t>LLCs</w:t>
      </w:r>
      <w:r>
        <w:rPr/>
        <w:t>. - [list LLCs to be sold under Agreement].</w:t>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BodyText"/>
        <w:bidi w:val="0"/>
        <w:jc w:val="start"/>
        <w:rPr>
          <w:rFonts w:ascii="Times New Roman" w:hAnsi="Times New Roman"/>
        </w:rPr>
      </w:pPr>
      <w:r>
        <w:rPr/>
        <w:t>2.</w:t>
        <w:tab/>
      </w:r>
      <w:r>
        <w:rPr>
          <w:u w:val="single"/>
        </w:rPr>
        <w:t>Facilities</w:t>
      </w:r>
      <w:r>
        <w:rPr/>
        <w:t>.- [insert description of Facilities owned by LLCs].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100" w:charSpace="0"/>
        </w:sectPr>
        <w:pStyle w:val="BodyText"/>
        <w:bidi w:val="0"/>
        <w:jc w:val="start"/>
        <w:rPr>
          <w:rFonts w:ascii="Times New Roman" w:hAnsi="Times New Roman"/>
        </w:rPr>
      </w:pPr>
      <w:r>
        <w:rPr/>
      </w:r>
    </w:p>
    <w:p>
      <w:pPr>
        <w:pStyle w:val="Title"/>
        <w:bidi w:val="0"/>
        <w:spacing w:before="0" w:after="0"/>
        <w:rPr>
          <w:rFonts w:ascii="Times New Roman" w:hAnsi="Times New Roman"/>
        </w:rPr>
      </w:pPr>
      <w:r>
        <w:rPr/>
        <w:t>Exhibit 5.2</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spacing w:before="0" w:after="480"/>
        <w:rPr>
          <w:rFonts w:ascii="Times New Roman" w:hAnsi="Times New Roman"/>
        </w:rPr>
      </w:pPr>
      <w:r>
        <w:rPr/>
        <w:t>CONFIDENTIALITY AGREEMENT</w:t>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fmt="decimal"/>
          <w:formProt w:val="false"/>
          <w:titlePg/>
          <w:textDirection w:val="lrTb"/>
          <w:docGrid w:type="default" w:linePitch="100" w:charSpace="0"/>
        </w:sectPr>
        <w:pStyle w:val="Title"/>
        <w:bidi w:val="0"/>
        <w:rPr>
          <w:rFonts w:ascii="Times New Roman" w:hAnsi="Times New Roman"/>
          <w:b w:val="false"/>
        </w:rPr>
      </w:pPr>
      <w:r>
        <w:rPr>
          <w:b w:val="false"/>
        </w:rPr>
        <w:t>[attached behind this page]</w:t>
      </w:r>
    </w:p>
    <w:p>
      <w:pPr>
        <w:pStyle w:val="Title"/>
        <w:bidi w:val="0"/>
        <w:spacing w:before="0" w:after="0"/>
        <w:rPr>
          <w:rFonts w:ascii="Times New Roman" w:hAnsi="Times New Roman"/>
        </w:rPr>
      </w:pPr>
      <w:r>
        <w:rPr/>
        <w:t>Exhibit 7.14</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rPr>
          <w:rFonts w:ascii="Times New Roman" w:hAnsi="Times New Roman"/>
        </w:rPr>
      </w:pPr>
      <w:r>
        <w:rPr/>
        <w:t>GUARANTY AGREEMENT</w:t>
      </w:r>
    </w:p>
    <w:p>
      <w:pPr>
        <w:pStyle w:val="BodyTextFirstIndent"/>
        <w:bidi w:val="0"/>
        <w:rPr>
          <w:rFonts w:ascii="Times New Roman" w:hAnsi="Times New Roman"/>
        </w:rPr>
      </w:pPr>
      <w:r>
        <w:rPr/>
        <w:t>THIS GUARANTY AGREEMENT (this “</w:t>
      </w:r>
      <w:r>
        <w:rPr>
          <w:rStyle w:val="Emphasis"/>
          <w:lang w:val="en-US" w:eastAsia="en-US"/>
        </w:rPr>
        <w:t>Guaranty</w:t>
      </w:r>
      <w:r>
        <w:rPr/>
        <w:t>”), dated as of __________, 2000, is by _______________, a _______________ (“</w:t>
      </w:r>
      <w:r>
        <w:rPr>
          <w:rStyle w:val="Emphasis"/>
          <w:lang w:val="en-US" w:eastAsia="en-US"/>
        </w:rPr>
        <w:t>Guarantor</w:t>
      </w:r>
      <w:r>
        <w:rPr/>
        <w:t>”), for the benefit of __________., a ________________ (“[</w:t>
      </w:r>
      <w:r>
        <w:rPr>
          <w:i/>
        </w:rPr>
        <w:t xml:space="preserve">Buyer / </w:t>
      </w:r>
      <w:r>
        <w:rPr>
          <w:rStyle w:val="Emphasis"/>
          <w:lang w:val="en-US" w:eastAsia="en-US"/>
        </w:rPr>
        <w:t>Seller</w:t>
      </w:r>
      <w:r>
        <w:rPr>
          <w:rStyle w:val="Emphasis"/>
          <w:i w:val="false"/>
          <w:lang w:val="en-US" w:eastAsia="en-US"/>
        </w:rPr>
        <w:t>]</w:t>
      </w:r>
      <w:r>
        <w:rPr/>
        <w:t>”).</w:t>
      </w:r>
    </w:p>
    <w:p>
      <w:pPr>
        <w:pStyle w:val="Title"/>
        <w:bidi w:val="0"/>
        <w:rPr>
          <w:rFonts w:ascii="Times New Roman" w:hAnsi="Times New Roman"/>
        </w:rPr>
      </w:pPr>
      <w:r>
        <w:rPr/>
        <w:t>Recitals:</w:t>
      </w:r>
    </w:p>
    <w:p>
      <w:pPr>
        <w:pStyle w:val="BodyTextFirstIndent"/>
        <w:bidi w:val="0"/>
        <w:rPr>
          <w:rFonts w:ascii="Times New Roman" w:hAnsi="Times New Roman"/>
        </w:rPr>
      </w:pPr>
      <w:bookmarkStart w:id="0" w:name="DocXparanum"/>
      <w:r>
        <w:rPr/>
        <w:t>A.</w:t>
      </w:r>
      <w:bookmarkEnd w:id="0"/>
      <w:r>
        <w:rPr/>
        <w:tab/>
        <w:t>_______________, a _______________ (“[</w:t>
      </w:r>
      <w:r>
        <w:rPr>
          <w:rStyle w:val="Emphasis"/>
          <w:lang w:val="en-US" w:eastAsia="en-US"/>
        </w:rPr>
        <w:t>Buyer / Seller</w:t>
      </w:r>
      <w:r>
        <w:rPr>
          <w:rStyle w:val="Emphasis"/>
          <w:i w:val="false"/>
          <w:lang w:val="en-US" w:eastAsia="en-US"/>
        </w:rPr>
        <w:t>]</w:t>
      </w:r>
      <w:r>
        <w:rPr/>
        <w:t>”) is a wholly owned subsidiary of Guarantor.</w:t>
      </w:r>
    </w:p>
    <w:p>
      <w:pPr>
        <w:pStyle w:val="BodyTextFirstIndent"/>
        <w:bidi w:val="0"/>
        <w:rPr>
          <w:rFonts w:ascii="Times New Roman" w:hAnsi="Times New Roman"/>
        </w:rPr>
      </w:pPr>
      <w:r>
        <w:rPr/>
        <w:t>B.</w:t>
        <w:tab/>
        <w:t>Under the Purchase and Sale Agreement, dated as of __________, 2000 (the “</w:t>
      </w:r>
      <w:r>
        <w:rPr>
          <w:rStyle w:val="Emphasis"/>
          <w:lang w:val="en-US" w:eastAsia="en-US"/>
        </w:rPr>
        <w:t>Purchase and Sale Agreement</w:t>
      </w:r>
      <w:r>
        <w:rPr/>
        <w:t>”), by and between Seller and Buyer, Seller will sell and convey to Buyer, and Buyer will purchase from Seller, the LLC Interests (as defined in the Purchase and Sale Agreement).</w:t>
      </w:r>
    </w:p>
    <w:p>
      <w:pPr>
        <w:pStyle w:val="BodyTextFirstIndent"/>
        <w:bidi w:val="0"/>
        <w:rPr>
          <w:rFonts w:ascii="Times New Roman" w:hAnsi="Times New Roman"/>
        </w:rPr>
      </w:pPr>
      <w:r>
        <w:rPr/>
        <w:t>C.</w:t>
        <w:tab/>
        <w:t>Guarantor will derive a substantial benefit from the [sale / purchase] by [Seller / Buyer] of the LLC Interests.</w:t>
      </w:r>
    </w:p>
    <w:p>
      <w:pPr>
        <w:pStyle w:val="BodyTextFirstIndent"/>
        <w:bidi w:val="0"/>
        <w:rPr>
          <w:rFonts w:ascii="Times New Roman" w:hAnsi="Times New Roman"/>
        </w:rPr>
      </w:pPr>
      <w:r>
        <w:rPr/>
        <w:t>D.</w:t>
        <w:tab/>
        <w:t xml:space="preserve">Under </w:t>
      </w:r>
      <w:r>
        <w:rPr>
          <w:u w:val="single"/>
        </w:rPr>
        <w:t>Section 7.14</w:t>
      </w:r>
      <w:r>
        <w:rPr/>
        <w:t xml:space="preserve"> of the Purchase and Sale Agreement, [Seller / Buyer] agreed to cause Guarantor to enter into and deliver this Guaranty to [Buyer / Seller].</w:t>
      </w:r>
    </w:p>
    <w:p>
      <w:pPr>
        <w:pStyle w:val="BodyTextFirstIndent"/>
        <w:bidi w:val="0"/>
        <w:rPr>
          <w:rFonts w:ascii="Times New Roman" w:hAnsi="Times New Roman"/>
        </w:rPr>
      </w:pPr>
      <w:r>
        <w:rPr/>
        <w:t>E.</w:t>
        <w:tab/>
        <w:t>Capitalized terms used in this Guaranty, but not defined herein, shall have the meanings given to such terms in the Purchase and Sale Agreement.</w:t>
      </w:r>
    </w:p>
    <w:p>
      <w:pPr>
        <w:pStyle w:val="BodyTextFirstIndent"/>
        <w:bidi w:val="0"/>
        <w:rPr>
          <w:rFonts w:ascii="Times New Roman" w:hAnsi="Times New Roman"/>
        </w:rPr>
      </w:pPr>
      <w:r>
        <w:rPr/>
        <w:t>NOW, THEREFORE, Guarantor covenants and agrees with [Buyer / Seller] as follows:</w:t>
      </w:r>
    </w:p>
    <w:p>
      <w:pPr>
        <w:pStyle w:val="Heading6"/>
        <w:numPr>
          <w:ilvl w:val="5"/>
          <w:numId w:val="22"/>
        </w:numPr>
        <w:tabs>
          <w:tab w:val="clear" w:pos="1080"/>
          <w:tab w:val="left" w:pos="720" w:leader="none"/>
        </w:tabs>
        <w:bidi w:val="0"/>
        <w:ind w:firstLine="720" w:start="0" w:end="0"/>
        <w:outlineLvl w:val="5"/>
        <w:rPr>
          <w:rFonts w:ascii="Times New Roman" w:hAnsi="Times New Roman"/>
        </w:rPr>
      </w:pPr>
      <w:r>
        <w:rPr>
          <w:u w:val="single"/>
        </w:rPr>
        <w:t>Guaranty</w:t>
      </w:r>
      <w:r>
        <w:rPr/>
        <w:t>.  Guarantor hereby irrevocably and unconditionally guarantees the full, complete, and timely performance by [Seller / Buyer] of all of [Seller / Buyer]’s obligations under the Purchase and Sale Agreement and the other documents executed and delivered by [Seller / Buyer] in connection with the Closing of the transactions contemplated thereunder (the “</w:t>
      </w:r>
      <w:r>
        <w:rPr>
          <w:i/>
        </w:rPr>
        <w:t>Closing Documents</w:t>
      </w:r>
      <w:r>
        <w:rPr/>
        <w:t xml:space="preserve">”), whether for the payment of money, the giving of indemnification, or otherwise.  </w:t>
      </w:r>
    </w:p>
    <w:p>
      <w:pPr>
        <w:pStyle w:val="Heading6"/>
        <w:numPr>
          <w:ilvl w:val="5"/>
          <w:numId w:val="16"/>
        </w:numPr>
        <w:bidi w:val="0"/>
        <w:ind w:firstLine="720" w:start="0" w:end="0"/>
        <w:outlineLvl w:val="5"/>
        <w:rPr>
          <w:rFonts w:ascii="Times New Roman" w:hAnsi="Times New Roman"/>
        </w:rPr>
      </w:pPr>
      <w:r>
        <w:rPr>
          <w:u w:val="single"/>
        </w:rPr>
        <w:t>Representations and Warranties</w:t>
      </w:r>
      <w:r>
        <w:rPr/>
        <w:t>.  Guarantor represents and warrants to [Buyer / Seller] that the following are true and correct as of the date hereof and will be true and correct at the time of Closing.</w:t>
      </w:r>
    </w:p>
    <w:p>
      <w:pPr>
        <w:pStyle w:val="Heading4"/>
        <w:numPr>
          <w:ilvl w:val="3"/>
          <w:numId w:val="23"/>
        </w:numPr>
        <w:tabs>
          <w:tab w:val="clear" w:pos="2160"/>
          <w:tab w:val="left" w:pos="2880" w:leader="none"/>
        </w:tabs>
        <w:bidi w:val="0"/>
        <w:ind w:firstLine="720" w:start="1440" w:end="0"/>
        <w:outlineLvl w:val="3"/>
        <w:rPr>
          <w:rFonts w:ascii="Times New Roman" w:hAnsi="Times New Roman"/>
        </w:rPr>
      </w:pPr>
      <w:r>
        <w:rPr/>
        <w:t>Guarantor is duly organized, validly existing, and in good standing under the laws of ____________.</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Guarantor has full power and authority (including full corporate power and authority and all necessary board approvals) to execute and deliver this Guaranty and to perform its obligations hereunder.  This Guaranty constitutes the valid and legally binding obligation of Guarantor, enforceable against Guarantor in accordance with its terms and conditions except as such enforceability may be limited by or subject to (i) any bankruptcy, insolvency, reorganization, moratorium, or other similar Laws relating to creditors’ rights generally and (ii) general principles of equity (regardless of whether such enforceability is considered in a proceeding in equity or at law).  Guarantor is not required to give any notice to, make any filing with, or obtain any authorization, consent or approval of, any Governmental Authority or any other Person to perform its obligations under this Guaranty.</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Neither the execution and the delivery of this Guaranty, nor the performance by Guarantor of its obligations hereunder, will in any material respect violate any statute, regulation, rule, injunction, judgment, order, decree or ruling of any Governmental Authority to which Guarantor is subject, or any provision of its charter or bylaws or any material agreement or instrument to which Guarantor is a party.</w:t>
      </w:r>
    </w:p>
    <w:p>
      <w:pPr>
        <w:pStyle w:val="Heading6"/>
        <w:numPr>
          <w:ilvl w:val="5"/>
          <w:numId w:val="24"/>
        </w:numPr>
        <w:tabs>
          <w:tab w:val="clear" w:pos="1080"/>
          <w:tab w:val="left" w:pos="720" w:leader="none"/>
        </w:tabs>
        <w:bidi w:val="0"/>
        <w:ind w:firstLine="720" w:start="0" w:end="0"/>
        <w:outlineLvl w:val="5"/>
        <w:rPr>
          <w:rFonts w:ascii="Times New Roman" w:hAnsi="Times New Roman"/>
        </w:rPr>
      </w:pPr>
      <w:r>
        <w:rPr>
          <w:u w:val="single"/>
        </w:rPr>
        <w:t>Guarantor’s Obligations Unconditional</w:t>
      </w:r>
      <w:r>
        <w:rPr/>
        <w:t>.  The obligations of Guarantor hereunder shall remain in full force and effect without regard to, and shall not be affected or impaired by any of the following, any of which may be taken without the consent of, or notice to, Guarantor:</w:t>
      </w:r>
    </w:p>
    <w:p>
      <w:pPr>
        <w:pStyle w:val="Heading4"/>
        <w:numPr>
          <w:ilvl w:val="3"/>
          <w:numId w:val="25"/>
        </w:numPr>
        <w:tabs>
          <w:tab w:val="clear" w:pos="2160"/>
          <w:tab w:val="left" w:pos="2880" w:leader="none"/>
        </w:tabs>
        <w:bidi w:val="0"/>
        <w:ind w:firstLine="720" w:start="1440" w:end="0"/>
        <w:outlineLvl w:val="3"/>
        <w:rPr>
          <w:rFonts w:ascii="Times New Roman" w:hAnsi="Times New Roman"/>
        </w:rPr>
      </w:pPr>
      <w:r>
        <w:rPr/>
        <w:t>any amendment, modification, addition, supplement, extension, or acceleration of or to any part of the Purchase and Sale Agreement or any Closing Document;</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 xml:space="preserve">any exercise or non-exercise by [Buyer / Seller] of any right or privilege under the Purchase and Sale Agreement or the Closing Documents; </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bankruptcy, insolvency, reorganization, dissolution, liquidation, or other similar proceeding relating to [Seller / Buyer] or any Affiliate of either [Seller / Buyer] or Guarantor; or</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the existence of any facts or circumstances which cause (or result in) any of the representations or warranties of [Seller / Buyer] under the Purchase and Sale Agreement to be (or being) inaccurate.</w:t>
      </w:r>
    </w:p>
    <w:p>
      <w:pPr>
        <w:pStyle w:val="Heading6"/>
        <w:numPr>
          <w:ilvl w:val="5"/>
          <w:numId w:val="26"/>
        </w:numPr>
        <w:tabs>
          <w:tab w:val="clear" w:pos="1080"/>
          <w:tab w:val="left" w:pos="720" w:leader="none"/>
        </w:tabs>
        <w:bidi w:val="0"/>
        <w:ind w:firstLine="720" w:start="0" w:end="0"/>
        <w:outlineLvl w:val="5"/>
        <w:rPr>
          <w:rFonts w:ascii="Times New Roman" w:hAnsi="Times New Roman"/>
        </w:rPr>
      </w:pPr>
      <w:r>
        <w:rPr>
          <w:u w:val="single"/>
        </w:rPr>
        <w:t>Independent Obligations</w:t>
      </w:r>
      <w:r>
        <w:rPr/>
        <w:t>.  The obligations of Guarantor hereunder are independent of the obligations of [Seller / Buyer] and, in the event of any default hereunder, a separate action or actions may be brought and prosecuted against Guarantor whether or not [Seller / Buyer] is joined therein or a separate action or actions are brought against [Seller / Buyer].  All remedies of [Buyer / Seller] are cumulative.</w:t>
      </w:r>
    </w:p>
    <w:p>
      <w:pPr>
        <w:pStyle w:val="Heading6"/>
        <w:numPr>
          <w:ilvl w:val="5"/>
          <w:numId w:val="16"/>
        </w:numPr>
        <w:bidi w:val="0"/>
        <w:ind w:firstLine="720" w:start="0" w:end="0"/>
        <w:outlineLvl w:val="5"/>
        <w:rPr>
          <w:rFonts w:ascii="Times New Roman" w:hAnsi="Times New Roman"/>
        </w:rPr>
      </w:pPr>
      <w:r>
        <w:rPr>
          <w:u w:val="single"/>
        </w:rPr>
        <w:t>Waiver</w:t>
      </w:r>
      <w:r>
        <w:rPr/>
        <w:t>.  Guarantor unconditionally waives:</w:t>
      </w:r>
    </w:p>
    <w:p>
      <w:pPr>
        <w:pStyle w:val="Heading4"/>
        <w:numPr>
          <w:ilvl w:val="3"/>
          <w:numId w:val="27"/>
        </w:numPr>
        <w:tabs>
          <w:tab w:val="clear" w:pos="2160"/>
          <w:tab w:val="left" w:pos="2880" w:leader="none"/>
        </w:tabs>
        <w:bidi w:val="0"/>
        <w:ind w:firstLine="720" w:start="1440" w:end="0"/>
        <w:outlineLvl w:val="3"/>
        <w:rPr>
          <w:rFonts w:ascii="Times New Roman" w:hAnsi="Times New Roman"/>
        </w:rPr>
      </w:pPr>
      <w:r>
        <w:rPr/>
        <w:t xml:space="preserve">demands, protests, or notices as the same pertain to [Seller / Buyer]; </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right to require [Buyer / Seller] to proceed against [Seller / Buyer] or to exhaust any security held by [Buyer / Seller] or to pursue any other remedy;</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defense based upon an election of remedies by [Buyer / Seller], unless the same would excuse performance by [Seller / Buyer] under the Purchase and Sale Agreement or the Closing Documents; and</w:t>
      </w:r>
    </w:p>
    <w:p>
      <w:pPr>
        <w:pStyle w:val="Heading4"/>
        <w:numPr>
          <w:ilvl w:val="3"/>
          <w:numId w:val="16"/>
        </w:numPr>
        <w:tabs>
          <w:tab w:val="clear" w:pos="2160"/>
          <w:tab w:val="left" w:pos="2880" w:leader="none"/>
        </w:tabs>
        <w:bidi w:val="0"/>
        <w:ind w:firstLine="720" w:start="1440" w:end="0"/>
        <w:outlineLvl w:val="3"/>
        <w:rPr>
          <w:rFonts w:ascii="Times New Roman" w:hAnsi="Times New Roman"/>
        </w:rPr>
      </w:pPr>
      <w:r>
        <w:rPr/>
        <w:t>any duty of [Buyer / Seller] to advise Guarantor of any information known to [Buyer / Seller] regarding [Seller / Buyer] or its ability to perform under the Purchase and Sale Agreement and the Closing Documents.</w:t>
      </w:r>
    </w:p>
    <w:p>
      <w:pPr>
        <w:pStyle w:val="Heading6"/>
        <w:numPr>
          <w:ilvl w:val="5"/>
          <w:numId w:val="28"/>
        </w:numPr>
        <w:tabs>
          <w:tab w:val="clear" w:pos="1080"/>
          <w:tab w:val="left" w:pos="720" w:leader="none"/>
        </w:tabs>
        <w:bidi w:val="0"/>
        <w:ind w:firstLine="720" w:start="0" w:end="0"/>
        <w:outlineLvl w:val="5"/>
        <w:rPr>
          <w:rFonts w:ascii="Times New Roman" w:hAnsi="Times New Roman"/>
        </w:rPr>
      </w:pPr>
      <w:r>
        <w:rPr>
          <w:u w:val="single"/>
        </w:rPr>
        <w:t>Continuing Guaranty</w:t>
      </w:r>
      <w:r>
        <w:rPr/>
        <w:t xml:space="preserve">.  Guarantor’s obligations under </w:t>
      </w:r>
      <w:r>
        <w:rPr>
          <w:u w:val="single"/>
        </w:rPr>
        <w:t>Section 1</w:t>
      </w:r>
      <w:r>
        <w:rPr/>
        <w:t xml:space="preserve"> of this Guaranty constitute a continuing guaranty and shall continue in full force and effect until [Seller / Buyer]’s obligations under the Purchase and Sale Agreement and the Closing Documents shall have been fully performed or otherwise extinguished under the Purchase and Sale Agreement and the Closing Documents, at which time this Guaranty and all of the Guarantor’s obligations hereunder shall terminate and expire.</w:t>
      </w:r>
    </w:p>
    <w:p>
      <w:pPr>
        <w:pStyle w:val="Heading6"/>
        <w:numPr>
          <w:ilvl w:val="5"/>
          <w:numId w:val="16"/>
        </w:numPr>
        <w:bidi w:val="0"/>
        <w:ind w:firstLine="720" w:start="0" w:end="0"/>
        <w:outlineLvl w:val="5"/>
        <w:rPr>
          <w:rFonts w:ascii="Times New Roman" w:hAnsi="Times New Roman"/>
        </w:rPr>
      </w:pPr>
      <w:r>
        <w:rPr>
          <w:u w:val="single"/>
        </w:rPr>
        <w:t>Third Parties</w:t>
      </w:r>
      <w:r>
        <w:rPr/>
        <w:t>.  This Guaranty shall not confer any rights or remedies upon any Person, other than the parties hereto and their successors and assigns, and the [Buyer / Seller] Indemnified Parties under the Purchase and Sale Agreement.</w:t>
      </w:r>
    </w:p>
    <w:p>
      <w:pPr>
        <w:pStyle w:val="Heading6"/>
        <w:numPr>
          <w:ilvl w:val="5"/>
          <w:numId w:val="16"/>
        </w:numPr>
        <w:bidi w:val="0"/>
        <w:ind w:firstLine="720" w:start="0" w:end="0"/>
        <w:outlineLvl w:val="5"/>
        <w:rPr>
          <w:rFonts w:ascii="Times New Roman" w:hAnsi="Times New Roman"/>
        </w:rPr>
      </w:pPr>
      <w:r>
        <w:rPr>
          <w:u w:val="single"/>
        </w:rPr>
        <w:t>Successors and Assigns</w:t>
      </w:r>
      <w:r>
        <w:rPr/>
        <w:t xml:space="preserve">.  This Guaranty shall be binding upon and inure to the benefit of the parties hereto and their successors and assigns.  </w:t>
      </w:r>
    </w:p>
    <w:p>
      <w:pPr>
        <w:pStyle w:val="Heading6"/>
        <w:numPr>
          <w:ilvl w:val="5"/>
          <w:numId w:val="16"/>
        </w:numPr>
        <w:bidi w:val="0"/>
        <w:ind w:firstLine="720" w:start="0" w:end="0"/>
        <w:outlineLvl w:val="5"/>
        <w:rPr>
          <w:rFonts w:ascii="Times New Roman" w:hAnsi="Times New Roman"/>
        </w:rPr>
      </w:pPr>
      <w:r>
        <w:rPr>
          <w:u w:val="single"/>
        </w:rPr>
        <w:t>Counterparts</w:t>
      </w:r>
      <w:r>
        <w:rPr/>
        <w:t>.  This Guaranty may be executed in one or more counterparts, each of which shall be deemed an original but all of which together will constitute one and the same instrument.</w:t>
      </w:r>
    </w:p>
    <w:p>
      <w:pPr>
        <w:pStyle w:val="Heading6"/>
        <w:numPr>
          <w:ilvl w:val="5"/>
          <w:numId w:val="16"/>
        </w:numPr>
        <w:bidi w:val="0"/>
        <w:ind w:firstLine="720" w:start="0" w:end="0"/>
        <w:outlineLvl w:val="5"/>
        <w:rPr>
          <w:rFonts w:ascii="Times New Roman" w:hAnsi="Times New Roman"/>
        </w:rPr>
      </w:pPr>
      <w:r>
        <w:rPr>
          <w:u w:val="single"/>
        </w:rPr>
        <w:t>Notices</w:t>
      </w:r>
      <w:r>
        <w:rPr/>
        <w:t>.  All notices, requests, demands, claims, and other communications hereunder will be in writing.  Any notice, request, demand, claim, or other communication hereunder shall be deemed duly given if (and then two (2) Business Days after) it is sent by registered or certified mail, return receipt requested, postage prepaid, and addressed to the intended recipient as set forth below:</w:t>
      </w:r>
    </w:p>
    <w:p>
      <w:pPr>
        <w:pStyle w:val="BodyText2"/>
        <w:keepNext w:val="true"/>
        <w:bidi w:val="0"/>
        <w:spacing w:before="0" w:after="240"/>
        <w:ind w:hanging="0" w:start="360" w:end="0"/>
        <w:jc w:val="start"/>
        <w:rPr>
          <w:rFonts w:ascii="Times New Roman" w:hAnsi="Times New Roman"/>
          <w:sz w:val="24"/>
        </w:rPr>
      </w:pPr>
      <w:r>
        <w:rPr>
          <w:sz w:val="24"/>
        </w:rPr>
        <w:t>If to [Buyer / Seller], to:</w:t>
      </w:r>
    </w:p>
    <w:p>
      <w:pPr>
        <w:pStyle w:val="BodyTextIndent2"/>
        <w:tabs>
          <w:tab w:val="clear" w:pos="720"/>
          <w:tab w:val="right" w:pos="4320" w:leader="none"/>
        </w:tabs>
        <w:bidi w:val="0"/>
        <w:spacing w:before="0" w:after="0"/>
        <w:rPr>
          <w:rFonts w:ascii="Times New Roman" w:hAnsi="Times New Roman"/>
          <w:u w:val="single"/>
        </w:rPr>
      </w:pPr>
      <w:r>
        <w:rPr>
          <w:u w:val="single"/>
        </w:rPr>
        <w:tab/>
      </w:r>
    </w:p>
    <w:p>
      <w:pPr>
        <w:pStyle w:val="BodyTextIndent2"/>
        <w:tabs>
          <w:tab w:val="clear" w:pos="720"/>
          <w:tab w:val="right" w:pos="4320" w:leader="none"/>
        </w:tabs>
        <w:bidi w:val="0"/>
        <w:spacing w:before="0" w:after="0"/>
        <w:rPr>
          <w:rFonts w:ascii="Times New Roman" w:hAnsi="Times New Roman"/>
          <w:u w:val="single"/>
        </w:rPr>
      </w:pPr>
      <w:r>
        <w:rPr>
          <w:u w:val="single"/>
        </w:rPr>
        <w:tab/>
      </w:r>
    </w:p>
    <w:p>
      <w:pPr>
        <w:pStyle w:val="BodyTextIndent2"/>
        <w:tabs>
          <w:tab w:val="clear" w:pos="720"/>
          <w:tab w:val="right" w:pos="4320" w:leader="none"/>
        </w:tabs>
        <w:bidi w:val="0"/>
        <w:spacing w:before="0" w:after="0"/>
        <w:rPr>
          <w:rFonts w:ascii="Times New Roman" w:hAnsi="Times New Roman"/>
        </w:rPr>
      </w:pPr>
      <w:r>
        <w:rPr>
          <w:u w:val="single"/>
        </w:rPr>
        <w:tab/>
      </w:r>
    </w:p>
    <w:p>
      <w:pPr>
        <w:pStyle w:val="BodyTextIndent2"/>
        <w:tabs>
          <w:tab w:val="clear" w:pos="720"/>
          <w:tab w:val="right" w:pos="432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4320" w:leader="none"/>
        </w:tabs>
        <w:bidi w:val="0"/>
        <w:spacing w:before="0" w:after="240"/>
        <w:rPr>
          <w:rFonts w:ascii="Times New Roman" w:hAnsi="Times New Roman"/>
        </w:rPr>
      </w:pPr>
      <w:r>
        <w:rPr/>
        <w:t xml:space="preserve">Telecopy No.: (____) </w:t>
      </w:r>
      <w:r>
        <w:rPr>
          <w:u w:val="single"/>
        </w:rPr>
        <w:tab/>
      </w:r>
    </w:p>
    <w:p>
      <w:pPr>
        <w:pStyle w:val="BodyText2"/>
        <w:keepNext w:val="true"/>
        <w:bidi w:val="0"/>
        <w:spacing w:before="0" w:after="240"/>
        <w:ind w:hanging="0" w:start="360" w:end="0"/>
        <w:jc w:val="start"/>
        <w:rPr>
          <w:rFonts w:ascii="Times New Roman" w:hAnsi="Times New Roman"/>
          <w:sz w:val="24"/>
        </w:rPr>
      </w:pPr>
      <w:r>
        <w:rPr>
          <w:sz w:val="24"/>
        </w:rPr>
        <w:t>If to Guarantor, to:</w:t>
      </w:r>
    </w:p>
    <w:p>
      <w:pPr>
        <w:pStyle w:val="BodyTextIndent2"/>
        <w:tabs>
          <w:tab w:val="clear" w:pos="720"/>
          <w:tab w:val="right" w:pos="4320" w:leader="none"/>
        </w:tabs>
        <w:bidi w:val="0"/>
        <w:spacing w:before="0" w:after="0"/>
        <w:rPr>
          <w:rFonts w:ascii="Times New Roman" w:hAnsi="Times New Roman"/>
        </w:rPr>
      </w:pPr>
      <w:r>
        <w:rPr>
          <w:u w:val="single"/>
        </w:rPr>
        <w:tab/>
      </w:r>
    </w:p>
    <w:p>
      <w:pPr>
        <w:pStyle w:val="BodyTextIndent2"/>
        <w:tabs>
          <w:tab w:val="clear" w:pos="720"/>
          <w:tab w:val="right" w:pos="4320" w:leader="none"/>
        </w:tabs>
        <w:bidi w:val="0"/>
        <w:spacing w:before="0" w:after="0"/>
        <w:rPr>
          <w:rFonts w:ascii="Times New Roman" w:hAnsi="Times New Roman"/>
          <w:u w:val="single"/>
        </w:rPr>
      </w:pPr>
      <w:r>
        <w:rPr>
          <w:u w:val="single"/>
        </w:rPr>
        <w:tab/>
      </w:r>
    </w:p>
    <w:p>
      <w:pPr>
        <w:pStyle w:val="BodyTextIndent2"/>
        <w:tabs>
          <w:tab w:val="clear" w:pos="720"/>
          <w:tab w:val="right" w:pos="4320" w:leader="none"/>
        </w:tabs>
        <w:bidi w:val="0"/>
        <w:spacing w:before="0" w:after="0"/>
        <w:rPr>
          <w:rFonts w:ascii="Times New Roman" w:hAnsi="Times New Roman"/>
        </w:rPr>
      </w:pPr>
      <w:r>
        <w:rPr>
          <w:u w:val="single"/>
        </w:rPr>
        <w:tab/>
      </w:r>
    </w:p>
    <w:p>
      <w:pPr>
        <w:pStyle w:val="BodyTextIndent2"/>
        <w:tabs>
          <w:tab w:val="clear" w:pos="720"/>
          <w:tab w:val="right" w:pos="4320" w:leader="none"/>
        </w:tabs>
        <w:bidi w:val="0"/>
        <w:spacing w:before="0" w:after="0"/>
        <w:rPr>
          <w:rFonts w:ascii="Times New Roman" w:hAnsi="Times New Roman"/>
        </w:rPr>
      </w:pPr>
      <w:r>
        <w:rPr/>
        <w:t xml:space="preserve">Attention: </w:t>
      </w:r>
      <w:r>
        <w:rPr>
          <w:u w:val="single"/>
        </w:rPr>
        <w:tab/>
      </w:r>
    </w:p>
    <w:p>
      <w:pPr>
        <w:pStyle w:val="BodyTextIndent2"/>
        <w:tabs>
          <w:tab w:val="clear" w:pos="720"/>
          <w:tab w:val="right" w:pos="4320" w:leader="none"/>
        </w:tabs>
        <w:bidi w:val="0"/>
        <w:spacing w:before="0" w:after="240"/>
        <w:rPr>
          <w:rFonts w:ascii="Times New Roman" w:hAnsi="Times New Roman"/>
        </w:rPr>
      </w:pPr>
      <w:r>
        <w:rPr/>
        <w:t xml:space="preserve">Telecopy No.: (___) </w:t>
      </w:r>
      <w:r>
        <w:rPr>
          <w:u w:val="single"/>
        </w:rPr>
        <w:tab/>
      </w:r>
    </w:p>
    <w:p>
      <w:pPr>
        <w:pStyle w:val="BodyText"/>
        <w:bidi w:val="0"/>
        <w:jc w:val="both"/>
        <w:rPr>
          <w:rFonts w:ascii="Times New Roman" w:hAnsi="Times New Roman"/>
        </w:rPr>
      </w:pPr>
      <w:r>
        <w:rPr/>
        <w:t>Either party may send any notice, request, demand, claim, or other communication hereunder to the intended recipient at the address set forth above using any other means (including personal delivery, expedited courier, messenger service, telex, ordinary mail, or electronic mail), but no such notice, request, demand, claim, or other communication shall be deemed to have been duly given unless and until it actually is received by the intended recipient.  Either party may change the address to which notices, requests, demands, and other communications hereunder are to be delivered by giving the other party notice in the manner herein set forth.</w:t>
      </w:r>
    </w:p>
    <w:p>
      <w:pPr>
        <w:pStyle w:val="Heading6"/>
        <w:numPr>
          <w:ilvl w:val="5"/>
          <w:numId w:val="16"/>
        </w:numPr>
        <w:bidi w:val="0"/>
        <w:ind w:firstLine="720" w:start="0" w:end="0"/>
        <w:outlineLvl w:val="5"/>
        <w:rPr>
          <w:rFonts w:ascii="Times New Roman" w:hAnsi="Times New Roman"/>
        </w:rPr>
      </w:pPr>
      <w:r>
        <w:rPr>
          <w:u w:val="single"/>
        </w:rPr>
        <w:t>Governing Law</w:t>
      </w:r>
      <w:r>
        <w:rPr/>
        <w:t>.  This Guaranty shall be governed by and construed in accordance with the laws of the State of Texas.</w:t>
      </w:r>
    </w:p>
    <w:p>
      <w:pPr>
        <w:pStyle w:val="Heading6"/>
        <w:numPr>
          <w:ilvl w:val="5"/>
          <w:numId w:val="16"/>
        </w:numPr>
        <w:bidi w:val="0"/>
        <w:ind w:firstLine="720" w:start="0" w:end="0"/>
        <w:outlineLvl w:val="5"/>
        <w:rPr>
          <w:rFonts w:ascii="Times New Roman" w:hAnsi="Times New Roman"/>
        </w:rPr>
      </w:pPr>
      <w:r>
        <w:rPr>
          <w:u w:val="single"/>
        </w:rPr>
        <w:t>Amendments</w:t>
      </w:r>
      <w:r>
        <w:rPr/>
        <w:t>.  No amendment of any provision of this Guaranty shall be valid unless the amendment shall be in writing and signed by [Buyer / Seller] and Guarantor.</w:t>
      </w:r>
    </w:p>
    <w:p>
      <w:pPr>
        <w:pStyle w:val="Heading6"/>
        <w:numPr>
          <w:ilvl w:val="5"/>
          <w:numId w:val="16"/>
        </w:numPr>
        <w:bidi w:val="0"/>
        <w:ind w:firstLine="720" w:start="0" w:end="0"/>
        <w:outlineLvl w:val="5"/>
        <w:rPr>
          <w:rFonts w:ascii="Times New Roman" w:hAnsi="Times New Roman"/>
        </w:rPr>
      </w:pPr>
      <w:r>
        <w:rPr>
          <w:u w:val="single"/>
        </w:rPr>
        <w:t>Severability</w:t>
      </w:r>
      <w:r>
        <w:rPr/>
        <w:t>.  Any term or provision of this Guaranty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Heading6"/>
        <w:numPr>
          <w:ilvl w:val="5"/>
          <w:numId w:val="16"/>
        </w:numPr>
        <w:bidi w:val="0"/>
        <w:ind w:firstLine="720" w:start="0" w:end="0"/>
        <w:outlineLvl w:val="5"/>
        <w:rPr>
          <w:rFonts w:ascii="Times New Roman" w:hAnsi="Times New Roman"/>
        </w:rPr>
      </w:pPr>
      <w:r>
        <w:rPr>
          <w:u w:val="single"/>
        </w:rPr>
        <w:t>Arbitration</w:t>
      </w:r>
      <w:r>
        <w:rPr/>
        <w:t>.  Any claim, counterclaim, demand, cause of action, dispute, and controversy arising out of or relating to this Guaranty (or any agreement delivered in connection with this Guaranty) or in any way relating to the subject matter of this Guaranty involving the Parties or their representatives (each a “</w:t>
      </w:r>
      <w:r>
        <w:rPr>
          <w:i/>
        </w:rPr>
        <w:t>Dispute</w:t>
      </w:r>
      <w:r>
        <w:rPr/>
        <w:t>”), even if such Disputes allegedly are extra-contractual in nature, sound in contract, tort or otherwise, or arise under state or federal law, shall be resolved by final and binding arbitration.  Guarantor shall have the option of joining any pending or ongoing arbitration proceeding conducted pursuant to the Purchase and Sale Agreement in lieu of a separate proceeding hereunder.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Guaranty to arbitrate, and all other procedural aspects of the arbitration conducted pursuant hereto shall be decided by the arbitrators.  In deciding the substance of the Parties’ Dispute, the arbitrators shall refer to the governing law.  The arbitrators shall have no authority to award treble, consequential,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(30) days of the notice initiation of the arbitration procedure, each Party shall select one arbitrator.  The two arbitrators shall select a third arbitrator.  The third arbitrator shall be a Person who has over eight (8) years professional experience in power generation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 appointed arbitrators are not required to be neutral, and it shall not be grounds for removal of either of the two Party 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4"/>
        <w:numPr>
          <w:ilvl w:val="0"/>
          <w:numId w:val="0"/>
        </w:numPr>
        <w:tabs>
          <w:tab w:val="clear" w:pos="2880"/>
          <w:tab w:val="left" w:pos="2160" w:leader="none"/>
        </w:tabs>
        <w:bidi w:val="0"/>
        <w:ind w:hanging="0" w:start="0" w:end="0"/>
        <w:outlineLvl w:val="3"/>
        <w:rPr>
          <w:rFonts w:ascii="Times New Roman" w:hAnsi="Times New Roman"/>
        </w:rPr>
      </w:pPr>
      <w:r>
        <w:rPr/>
      </w:r>
    </w:p>
    <w:p>
      <w:pPr>
        <w:pStyle w:val="BodyText"/>
        <w:bidi w:val="0"/>
        <w:jc w:val="center"/>
        <w:rPr>
          <w:rFonts w:ascii="Times New Roman" w:hAnsi="Times New Roman"/>
        </w:rPr>
      </w:pPr>
      <w:r>
        <w:rPr/>
        <w:t>[remainder of page intentionally left blank]</w:t>
      </w:r>
    </w:p>
    <w:p>
      <w:pPr>
        <w:pStyle w:val="BodyTextFirstIndent"/>
        <w:bidi w:val="0"/>
        <w:rPr>
          <w:rFonts w:ascii="Times New Roman" w:hAnsi="Times New Roman"/>
        </w:rPr>
      </w:pPr>
      <w:r>
        <w:rPr/>
        <w:t>IN WITNESS WHEREOF, the parties have executed this Guaranty as of the date first above written.</w:t>
      </w:r>
    </w:p>
    <w:p>
      <w:pPr>
        <w:pStyle w:val="SignatureLines"/>
        <w:bidi w:val="0"/>
        <w:spacing w:lineRule="auto" w:line="360" w:before="0" w:after="480"/>
        <w:jc w:val="start"/>
        <w:rPr>
          <w:rFonts w:ascii="Times New Roman" w:hAnsi="Times New Roman"/>
        </w:rPr>
      </w:pPr>
      <w:r>
        <w:rPr>
          <w:rStyle w:val="Strong"/>
          <w:i/>
          <w:lang w:val="en-US" w:eastAsia="en-US"/>
        </w:rPr>
        <w:t>Guarantor</w:t>
      </w:r>
      <w:r>
        <w:rPr/>
        <w:t>:</w:t>
      </w:r>
    </w:p>
    <w:p>
      <w:pPr>
        <w:pStyle w:val="SignatureLines"/>
        <w:bidi w:val="0"/>
        <w:spacing w:lineRule="auto" w:line="360"/>
        <w:jc w:val="start"/>
        <w:rPr>
          <w:rFonts w:ascii="Times New Roman" w:hAnsi="Times New Roman"/>
          <w:u w:val="single"/>
        </w:rPr>
      </w:pPr>
      <w:r>
        <w:rPr/>
        <w:t>By:</w:t>
      </w:r>
      <w:r>
        <w:rPr>
          <w:u w:val="single"/>
        </w:rPr>
        <w:tab/>
      </w:r>
    </w:p>
    <w:p>
      <w:pPr>
        <w:pStyle w:val="SignatureLines"/>
        <w:bidi w:val="0"/>
        <w:spacing w:lineRule="auto" w:line="360"/>
        <w:jc w:val="start"/>
        <w:rPr>
          <w:rFonts w:ascii="Times New Roman" w:hAnsi="Times New Roman"/>
          <w:u w:val="single"/>
        </w:rPr>
      </w:pPr>
      <w:r>
        <w:rPr/>
        <w:t>Name:</w:t>
      </w:r>
      <w:r>
        <w:rPr>
          <w:u w:val="single"/>
        </w:rPr>
        <w:tab/>
      </w:r>
    </w:p>
    <w:p>
      <w:pPr>
        <w:pStyle w:val="SignatureLines"/>
        <w:bidi w:val="0"/>
        <w:spacing w:lineRule="auto" w:line="360" w:before="0" w:after="240"/>
        <w:jc w:val="start"/>
        <w:rPr>
          <w:rFonts w:ascii="Times New Roman" w:hAnsi="Times New Roman"/>
          <w:u w:val="single"/>
        </w:rPr>
      </w:pPr>
      <w:r>
        <w:rPr/>
        <w:t>Title:</w:t>
      </w:r>
      <w:r>
        <w:rPr>
          <w:u w:val="single"/>
        </w:rPr>
        <w:tab/>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100" w:charSpace="0"/>
        </w:sectPr>
        <w:pStyle w:val="SignatureLines"/>
        <w:bidi w:val="0"/>
        <w:spacing w:lineRule="auto" w:line="360"/>
        <w:jc w:val="start"/>
        <w:rPr>
          <w:rFonts w:ascii="Times New Roman" w:hAnsi="Times New Roman"/>
          <w:b/>
        </w:rPr>
      </w:pPr>
      <w:r>
        <w:rPr>
          <w:b/>
        </w:rPr>
      </w:r>
    </w:p>
    <w:p>
      <w:pPr>
        <w:pStyle w:val="Title"/>
        <w:bidi w:val="0"/>
        <w:spacing w:before="0" w:after="0"/>
        <w:rPr>
          <w:rFonts w:ascii="Times New Roman" w:hAnsi="Times New Roman"/>
        </w:rPr>
      </w:pPr>
      <w:r>
        <w:rPr/>
        <w:t>Exhibit 9.2</w:t>
      </w:r>
    </w:p>
    <w:p>
      <w:pPr>
        <w:pStyle w:val="Title"/>
        <w:bidi w:val="0"/>
        <w:spacing w:before="0" w:after="0"/>
        <w:rPr>
          <w:rFonts w:ascii="Times New Roman" w:hAnsi="Times New Roman"/>
        </w:rPr>
      </w:pPr>
      <w:r>
        <w:rPr/>
        <w:t>to</w:t>
      </w:r>
    </w:p>
    <w:p>
      <w:pPr>
        <w:pStyle w:val="Title"/>
        <w:bidi w:val="0"/>
        <w:rPr>
          <w:rFonts w:ascii="Times New Roman" w:hAnsi="Times New Roman"/>
        </w:rPr>
      </w:pPr>
      <w:r>
        <w:rPr/>
        <w:t>Purchase and Sale Agreement</w:t>
      </w:r>
    </w:p>
    <w:p>
      <w:pPr>
        <w:pStyle w:val="Title"/>
        <w:bidi w:val="0"/>
        <w:spacing w:before="0" w:after="480"/>
        <w:rPr>
          <w:rFonts w:ascii="Times New Roman" w:hAnsi="Times New Roman"/>
        </w:rPr>
      </w:pPr>
      <w:r>
        <w:rPr/>
        <w:t>ASSIGNMENT AND ASSUMPTION AGREEMENT</w:t>
      </w:r>
    </w:p>
    <w:p>
      <w:pPr>
        <w:pStyle w:val="BodyTextFirstIndent"/>
        <w:bidi w:val="0"/>
        <w:rPr>
          <w:rFonts w:ascii="Times New Roman" w:hAnsi="Times New Roman"/>
        </w:rPr>
      </w:pPr>
      <w:r>
        <w:rPr/>
        <w:t>THIS ASSIGNMENT AND ASSUMPTION AGREEMENT (this “</w:t>
      </w:r>
      <w:r>
        <w:rPr>
          <w:i/>
        </w:rPr>
        <w:t>Assignment</w:t>
      </w:r>
      <w:r>
        <w:rPr/>
        <w:t>”), dated ____________, is from Enron North America Corp., a Delaware corporation (“</w:t>
      </w:r>
      <w:r>
        <w:rPr>
          <w:i/>
        </w:rPr>
        <w:t>Assignor</w:t>
      </w:r>
      <w:r>
        <w:rPr/>
        <w:t>”), to ____________, a ________________ (“</w:t>
      </w:r>
      <w:r>
        <w:rPr>
          <w:i/>
        </w:rPr>
        <w:t>Assignee</w:t>
      </w:r>
      <w:r>
        <w:rPr/>
        <w:t>”).</w:t>
      </w:r>
    </w:p>
    <w:p>
      <w:pPr>
        <w:pStyle w:val="Title"/>
        <w:bidi w:val="0"/>
        <w:rPr>
          <w:rFonts w:ascii="Times New Roman" w:hAnsi="Times New Roman"/>
          <w:b w:val="false"/>
        </w:rPr>
      </w:pPr>
      <w:r>
        <w:rPr/>
        <w:t>Recitals</w:t>
      </w:r>
      <w:r>
        <w:rPr>
          <w:b w:val="false"/>
        </w:rPr>
        <w:t>:</w:t>
      </w:r>
    </w:p>
    <w:p>
      <w:pPr>
        <w:pStyle w:val="BodyTextFirstIndent"/>
        <w:bidi w:val="0"/>
        <w:rPr>
          <w:rFonts w:ascii="Times New Roman" w:hAnsi="Times New Roman"/>
        </w:rPr>
      </w:pPr>
      <w:r>
        <w:rPr/>
        <w:t>A.</w:t>
        <w:tab/>
        <w:t>Assignor holds all issued and outstanding member interests (the “</w:t>
      </w:r>
      <w:r>
        <w:rPr>
          <w:i/>
        </w:rPr>
        <w:t>Assigned Membership Interests</w:t>
      </w:r>
      <w:r>
        <w:rPr/>
        <w:t xml:space="preserve">”) in and to the limited liability companies described in </w:t>
      </w:r>
      <w:r>
        <w:rPr>
          <w:u w:val="single"/>
        </w:rPr>
        <w:t>Exhibit A</w:t>
      </w:r>
      <w:r>
        <w:rPr/>
        <w:t xml:space="preserve">.  </w:t>
      </w:r>
    </w:p>
    <w:p>
      <w:pPr>
        <w:pStyle w:val="BodyTextFirstIndent"/>
        <w:bidi w:val="0"/>
        <w:rPr>
          <w:rFonts w:ascii="Times New Roman" w:hAnsi="Times New Roman"/>
        </w:rPr>
      </w:pPr>
      <w:r>
        <w:rPr/>
        <w:t>B.</w:t>
        <w:tab/>
        <w:t>Assignor and Assignee have entered into a Purchase and Sale Agreement, dated _______, 2000 (the “</w:t>
      </w:r>
      <w:r>
        <w:rPr>
          <w:i/>
        </w:rPr>
        <w:t>Purchase Agreement</w:t>
      </w:r>
      <w:r>
        <w:rPr/>
        <w:t xml:space="preserve">”), under which Assignor has agreed to sell and transfer, and Assignee has agreed to purchase, the Assigned Membership Interests, all as more fully provided therein. </w:t>
      </w:r>
    </w:p>
    <w:p>
      <w:pPr>
        <w:pStyle w:val="BodyTextFirstIndent"/>
        <w:bidi w:val="0"/>
        <w:rPr>
          <w:rFonts w:ascii="Times New Roman" w:hAnsi="Times New Roman"/>
        </w:rPr>
      </w:pPr>
      <w:r>
        <w:rPr/>
        <w:t>C.</w:t>
        <w:tab/>
        <w:t>Assignor now desires to transfer to Assignee the Assigned Membership Interests.</w:t>
      </w:r>
    </w:p>
    <w:p>
      <w:pPr>
        <w:pStyle w:val="BodyTextFirstIndent"/>
        <w:bidi w:val="0"/>
        <w:rPr>
          <w:rFonts w:ascii="Times New Roman" w:hAnsi="Times New Roman"/>
        </w:rPr>
      </w:pPr>
      <w:r>
        <w:rPr/>
        <w:t>NOW THEREFORE, for good and valuable consideration, the receipt and sufficiency of which are hereby acknowledged, Assignor and Assignee do hereby agree as follows:</w:t>
      </w:r>
    </w:p>
    <w:p>
      <w:pPr>
        <w:pStyle w:val="Title"/>
        <w:bidi w:val="0"/>
        <w:rPr>
          <w:rFonts w:ascii="Times New Roman" w:hAnsi="Times New Roman"/>
        </w:rPr>
      </w:pPr>
      <w:r>
        <w:rPr/>
        <w:t>Assignment and Agreements:</w:t>
      </w:r>
    </w:p>
    <w:p>
      <w:pPr>
        <w:pStyle w:val="Heading6"/>
        <w:numPr>
          <w:ilvl w:val="5"/>
          <w:numId w:val="29"/>
        </w:numPr>
        <w:tabs>
          <w:tab w:val="clear" w:pos="1080"/>
          <w:tab w:val="left" w:pos="720" w:leader="none"/>
        </w:tabs>
        <w:bidi w:val="0"/>
        <w:ind w:firstLine="720" w:start="0" w:end="0"/>
        <w:outlineLvl w:val="5"/>
        <w:rPr>
          <w:rFonts w:ascii="Times New Roman" w:hAnsi="Times New Roman"/>
        </w:rPr>
      </w:pPr>
      <w:r>
        <w:rPr>
          <w:u w:val="single"/>
        </w:rPr>
        <w:t>Assignment of Membership Interests</w:t>
      </w:r>
      <w:r>
        <w:rPr/>
        <w:t xml:space="preserve">.  Assignor has transferred, assigned, conveyed, and delivered, and by these presents does transfer, assign, convey, and deliver, to Assignee, the Assigned Membership Interests.  </w:t>
      </w:r>
    </w:p>
    <w:p>
      <w:pPr>
        <w:pStyle w:val="BodyTextFirstIndent"/>
        <w:bidi w:val="0"/>
        <w:rPr>
          <w:rFonts w:ascii="Times New Roman" w:hAnsi="Times New Roman"/>
        </w:rPr>
      </w:pPr>
      <w:r>
        <w:rPr/>
        <w:t>TO HAVE AND TO HOLD, the Assigned Membership Interests, together with all and singular the rights and appurtenances thereto in anywise belonging unto Assignee, and its successors and assigns, forever.</w:t>
      </w:r>
    </w:p>
    <w:p>
      <w:pPr>
        <w:pStyle w:val="Heading6"/>
        <w:numPr>
          <w:ilvl w:val="5"/>
          <w:numId w:val="16"/>
        </w:numPr>
        <w:bidi w:val="0"/>
        <w:ind w:firstLine="720" w:start="0" w:end="0"/>
        <w:outlineLvl w:val="5"/>
        <w:rPr>
          <w:rFonts w:ascii="Times New Roman" w:hAnsi="Times New Roman"/>
        </w:rPr>
      </w:pPr>
      <w:r>
        <w:rPr>
          <w:u w:val="single"/>
        </w:rPr>
        <w:t>Assumption</w:t>
      </w:r>
      <w:r>
        <w:rPr/>
        <w:t>.  Assignee hereby agrees to assume and fully perform all of Assignor’s obligations and liabilities under the limited liability company agreement for each of the LLCs accruing after the date hereof.</w:t>
      </w:r>
    </w:p>
    <w:p>
      <w:pPr>
        <w:pStyle w:val="Heading6"/>
        <w:numPr>
          <w:ilvl w:val="5"/>
          <w:numId w:val="16"/>
        </w:numPr>
        <w:bidi w:val="0"/>
        <w:ind w:firstLine="720" w:start="0" w:end="0"/>
        <w:outlineLvl w:val="5"/>
        <w:rPr>
          <w:rFonts w:ascii="Times New Roman" w:hAnsi="Times New Roman"/>
        </w:rPr>
      </w:pPr>
      <w:r>
        <w:rPr>
          <w:u w:val="single"/>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6"/>
        <w:numPr>
          <w:ilvl w:val="5"/>
          <w:numId w:val="16"/>
        </w:numPr>
        <w:bidi w:val="0"/>
        <w:ind w:firstLine="720" w:start="0" w:end="0"/>
        <w:outlineLvl w:val="5"/>
        <w:rPr>
          <w:rFonts w:ascii="Times New Roman" w:hAnsi="Times New Roman"/>
        </w:rPr>
      </w:pPr>
      <w:r>
        <w:rPr>
          <w:u w:val="single"/>
        </w:rPr>
        <w:t>Counterparts</w:t>
      </w:r>
      <w:r>
        <w:rPr/>
        <w:t xml:space="preserve">.  This Assignment may be executed in counterparts, including faxed counterparts. </w:t>
      </w:r>
    </w:p>
    <w:p>
      <w:pPr>
        <w:pStyle w:val="Heading6"/>
        <w:numPr>
          <w:ilvl w:val="5"/>
          <w:numId w:val="16"/>
        </w:numPr>
        <w:bidi w:val="0"/>
        <w:ind w:firstLine="720" w:start="0" w:end="0"/>
        <w:outlineLvl w:val="5"/>
        <w:rPr>
          <w:rFonts w:ascii="Times New Roman" w:hAnsi="Times New Roman"/>
        </w:rPr>
      </w:pPr>
      <w:r>
        <w:rPr>
          <w:u w:val="single"/>
        </w:rPr>
        <w:t>Governing Law</w:t>
      </w:r>
      <w:r>
        <w:rPr/>
        <w:t>.  This Assignment shall be governed by, and construed and enforced in accordance with, the laws of the State of Texas.</w:t>
      </w:r>
    </w:p>
    <w:p>
      <w:pPr>
        <w:pStyle w:val="BodyTextFirstIndent"/>
        <w:bidi w:val="0"/>
        <w:rPr>
          <w:rFonts w:ascii="Times New Roman" w:hAnsi="Times New Roman"/>
        </w:rPr>
      </w:pPr>
      <w:r>
        <w:rPr/>
        <w:t>IN WITNESS WHEREOF, Assignor and Assignee have executed this Assignment as of this the _____ day of ________________.</w:t>
      </w:r>
    </w:p>
    <w:p>
      <w:pPr>
        <w:pStyle w:val="Signature"/>
        <w:bidi w:val="0"/>
        <w:jc w:val="start"/>
        <w:rPr>
          <w:rFonts w:ascii="Times New Roman" w:hAnsi="Times New Roman"/>
        </w:rPr>
      </w:pPr>
      <w:r>
        <w:rPr>
          <w:i/>
        </w:rPr>
        <w:t>Assignor</w:t>
      </w:r>
      <w:r>
        <w:rPr/>
        <w:t>:</w:t>
      </w:r>
    </w:p>
    <w:p>
      <w:pPr>
        <w:pStyle w:val="Signature"/>
        <w:bidi w:val="0"/>
        <w:jc w:val="start"/>
        <w:rPr>
          <w:rFonts w:ascii="Times New Roman" w:hAnsi="Times New Roman"/>
        </w:rPr>
      </w:pPr>
      <w:r>
        <w:rPr/>
      </w:r>
    </w:p>
    <w:p>
      <w:pPr>
        <w:pStyle w:val="Signature"/>
        <w:bidi w:val="0"/>
        <w:jc w:val="start"/>
        <w:rPr>
          <w:rFonts w:ascii="Times New Roman" w:hAnsi="Times New Roman"/>
        </w:rPr>
      </w:pPr>
      <w:r>
        <w:rPr/>
        <w:t>ENRON NORTH AMERICA CORP.</w:t>
      </w:r>
    </w:p>
    <w:p>
      <w:pPr>
        <w:pStyle w:val="Signature"/>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t xml:space="preserve">By:  </w:t>
      </w:r>
      <w:r>
        <w:rPr>
          <w:u w:val="single"/>
        </w:rPr>
        <w:tab/>
      </w:r>
    </w:p>
    <w:p>
      <w:pPr>
        <w:pStyle w:val="Signature"/>
        <w:bidi w:val="0"/>
        <w:jc w:val="start"/>
        <w:rPr>
          <w:rFonts w:ascii="Times New Roman" w:hAnsi="Times New Roman"/>
        </w:rPr>
      </w:pPr>
      <w:r>
        <w:rPr/>
        <w:t xml:space="preserve">Name: </w:t>
      </w:r>
      <w:r>
        <w:rPr>
          <w:u w:val="single"/>
        </w:rPr>
        <w:t xml:space="preserve"> </w:t>
        <w:tab/>
      </w:r>
    </w:p>
    <w:p>
      <w:pPr>
        <w:pStyle w:val="Signature"/>
        <w:tabs>
          <w:tab w:val="clear" w:pos="5040"/>
          <w:tab w:val="right" w:pos="8640" w:leader="none"/>
        </w:tabs>
        <w:bidi w:val="0"/>
        <w:jc w:val="start"/>
        <w:rPr>
          <w:rFonts w:ascii="Times New Roman" w:hAnsi="Times New Roman"/>
        </w:rPr>
      </w:pPr>
      <w:r>
        <w:rPr/>
        <w:t xml:space="preserve">Title:  </w:t>
      </w:r>
      <w:r>
        <w:rPr>
          <w:u w:val="single"/>
        </w:rPr>
        <w:tab/>
      </w:r>
    </w:p>
    <w:p>
      <w:pPr>
        <w:pStyle w:val="Signature"/>
        <w:bidi w:val="0"/>
        <w:jc w:val="start"/>
        <w:rPr>
          <w:rFonts w:ascii="Times New Roman" w:hAnsi="Times New Roman"/>
        </w:rPr>
      </w:pPr>
      <w:r>
        <w:rPr/>
      </w:r>
    </w:p>
    <w:p>
      <w:pPr>
        <w:pStyle w:val="Signature"/>
        <w:bidi w:val="0"/>
        <w:jc w:val="start"/>
        <w:rPr>
          <w:rFonts w:ascii="Times New Roman" w:hAnsi="Times New Roman"/>
        </w:rPr>
      </w:pPr>
      <w:r>
        <w:rPr>
          <w:i/>
        </w:rPr>
        <w:t>Assignee</w:t>
      </w:r>
      <w:r>
        <w:rPr/>
        <w:t>:</w:t>
      </w:r>
    </w:p>
    <w:p>
      <w:pPr>
        <w:pStyle w:val="Signature"/>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u w:val="single"/>
        </w:rPr>
        <w:tab/>
      </w:r>
    </w:p>
    <w:p>
      <w:pPr>
        <w:pStyle w:val="Signature"/>
        <w:tabs>
          <w:tab w:val="clear" w:pos="5040"/>
          <w:tab w:val="right" w:pos="8640" w:leader="none"/>
        </w:tabs>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t xml:space="preserve">By:  </w:t>
      </w:r>
      <w:r>
        <w:rPr>
          <w:u w:val="single"/>
        </w:rPr>
        <w:tab/>
      </w:r>
    </w:p>
    <w:p>
      <w:pPr>
        <w:pStyle w:val="Signature"/>
        <w:tabs>
          <w:tab w:val="clear" w:pos="5040"/>
          <w:tab w:val="right" w:pos="8640" w:leader="none"/>
        </w:tabs>
        <w:bidi w:val="0"/>
        <w:jc w:val="start"/>
        <w:rPr>
          <w:rFonts w:ascii="Times New Roman" w:hAnsi="Times New Roman"/>
        </w:rPr>
      </w:pPr>
      <w:r>
        <w:rPr/>
        <w:t xml:space="preserve">Name: </w:t>
      </w:r>
      <w:r>
        <w:rPr>
          <w:u w:val="single"/>
        </w:rPr>
        <w:t xml:space="preserve"> </w:t>
        <w:tab/>
      </w:r>
    </w:p>
    <w:p>
      <w:pPr>
        <w:pStyle w:val="Signature"/>
        <w:tabs>
          <w:tab w:val="clear" w:pos="5040"/>
          <w:tab w:val="right" w:pos="8640" w:leader="none"/>
        </w:tabs>
        <w:bidi w:val="0"/>
        <w:jc w:val="start"/>
        <w:rPr>
          <w:rFonts w:ascii="Times New Roman" w:hAnsi="Times New Roman"/>
        </w:rPr>
      </w:pPr>
      <w:r>
        <w:rPr/>
        <w:t xml:space="preserve">Title: </w:t>
      </w:r>
      <w:r>
        <w:rPr>
          <w:u w:val="single"/>
        </w:rPr>
        <w:t xml:space="preserve"> </w:t>
        <w:tab/>
      </w:r>
    </w:p>
    <w:p>
      <w:pPr>
        <w:pStyle w:val="BodyText"/>
        <w:tabs>
          <w:tab w:val="clear" w:pos="720"/>
          <w:tab w:val="left" w:pos="2880" w:leader="none"/>
        </w:tabs>
        <w:bidi w:val="0"/>
        <w:spacing w:before="0" w:after="0"/>
        <w:jc w:val="start"/>
        <w:rPr>
          <w:rFonts w:ascii="Times New Roman" w:hAnsi="Times New Roman"/>
        </w:rPr>
      </w:pPr>
      <w:r>
        <w:rPr/>
      </w:r>
    </w:p>
    <w:p>
      <w:pPr>
        <w:pStyle w:val="BodyText"/>
        <w:tabs>
          <w:tab w:val="clear" w:pos="720"/>
          <w:tab w:val="left" w:pos="2880" w:leader="none"/>
        </w:tabs>
        <w:bidi w:val="0"/>
        <w:spacing w:before="0" w:after="0"/>
        <w:jc w:val="start"/>
        <w:rPr>
          <w:rFonts w:ascii="Times New Roman" w:hAnsi="Times New Roman"/>
        </w:rPr>
      </w:pPr>
      <w:r>
        <w:rPr/>
        <w:t>STATE OF TEXAS</w:t>
        <w:tab/>
        <w:t>§</w:t>
      </w:r>
    </w:p>
    <w:p>
      <w:pPr>
        <w:pStyle w:val="BodyText"/>
        <w:tabs>
          <w:tab w:val="clear" w:pos="720"/>
          <w:tab w:val="left" w:pos="2880" w:leader="none"/>
        </w:tabs>
        <w:bidi w:val="0"/>
        <w:spacing w:before="0" w:after="0"/>
        <w:jc w:val="start"/>
        <w:rPr>
          <w:rFonts w:ascii="Times New Roman" w:hAnsi="Times New Roman"/>
        </w:rPr>
      </w:pPr>
      <w:r>
        <w:rPr/>
        <w:tab/>
        <w:t>§</w:t>
      </w:r>
    </w:p>
    <w:p>
      <w:pPr>
        <w:pStyle w:val="BodyText"/>
        <w:tabs>
          <w:tab w:val="clear" w:pos="720"/>
          <w:tab w:val="left" w:pos="2880" w:leader="none"/>
        </w:tabs>
        <w:bidi w:val="0"/>
        <w:spacing w:before="0" w:after="360"/>
        <w:jc w:val="start"/>
        <w:rPr>
          <w:rFonts w:ascii="Times New Roman" w:hAnsi="Times New Roman"/>
        </w:rPr>
      </w:pPr>
      <w:r>
        <w:rPr/>
        <w:t>COUNTY OF HARRIS</w:t>
        <w:tab/>
        <w:t>§</w:t>
      </w:r>
    </w:p>
    <w:p>
      <w:pPr>
        <w:pStyle w:val="BodyText"/>
        <w:tabs>
          <w:tab w:val="clear" w:pos="720"/>
          <w:tab w:val="left" w:pos="2880" w:leader="none"/>
        </w:tabs>
        <w:bidi w:val="0"/>
        <w:spacing w:before="0" w:after="0"/>
        <w:ind w:firstLine="720" w:start="0" w:end="0"/>
        <w:jc w:val="both"/>
        <w:rPr>
          <w:rFonts w:ascii="Times New Roman" w:hAnsi="Times New Roman"/>
        </w:rPr>
      </w:pPr>
      <w:r>
        <w:rPr/>
        <w:t>This instrument was acknowledged before me on ___________, by ____________, ______________ of Enron North America Corp., a Delaware corporation, on behalf of said corporation.</w:t>
      </w:r>
    </w:p>
    <w:p>
      <w:pPr>
        <w:pStyle w:val="Signature"/>
        <w:tabs>
          <w:tab w:val="clear" w:pos="5040"/>
          <w:tab w:val="right" w:pos="8640" w:leader="none"/>
        </w:tabs>
        <w:bidi w:val="0"/>
        <w:jc w:val="start"/>
        <w:rPr>
          <w:rFonts w:ascii="Times New Roman" w:hAnsi="Times New Roman"/>
          <w:u w:val="single"/>
        </w:rPr>
      </w:pPr>
      <w:r>
        <w:rPr>
          <w:u w:val="single"/>
        </w:rPr>
        <w:tab/>
      </w:r>
    </w:p>
    <w:p>
      <w:pPr>
        <w:pStyle w:val="Signature"/>
        <w:tabs>
          <w:tab w:val="clear" w:pos="5040"/>
          <w:tab w:val="right" w:pos="8640" w:leader="none"/>
        </w:tabs>
        <w:bidi w:val="0"/>
        <w:jc w:val="start"/>
        <w:rPr>
          <w:rFonts w:ascii="Times New Roman" w:hAnsi="Times New Roman"/>
          <w:u w:val="single"/>
        </w:rPr>
      </w:pPr>
      <w:r>
        <w:rPr/>
        <w:t xml:space="preserve">Notary Public for the State of </w:t>
      </w:r>
      <w:r>
        <w:rPr>
          <w:u w:val="single"/>
        </w:rPr>
        <w:tab/>
      </w:r>
    </w:p>
    <w:p>
      <w:pPr>
        <w:pStyle w:val="Signature"/>
        <w:tabs>
          <w:tab w:val="clear" w:pos="5040"/>
          <w:tab w:val="right" w:pos="8640" w:leader="none"/>
        </w:tabs>
        <w:bidi w:val="0"/>
        <w:jc w:val="start"/>
        <w:rPr>
          <w:rFonts w:ascii="Times New Roman" w:hAnsi="Times New Roman"/>
        </w:rPr>
      </w:pPr>
      <w:r>
        <w:rPr/>
        <w:t>Printed Name:</w:t>
      </w:r>
      <w:r>
        <w:rPr>
          <w:u w:val="single"/>
        </w:rPr>
        <w:tab/>
      </w:r>
    </w:p>
    <w:p>
      <w:pPr>
        <w:pStyle w:val="Signature"/>
        <w:tabs>
          <w:tab w:val="clear" w:pos="5040"/>
          <w:tab w:val="right" w:pos="8640" w:leader="none"/>
        </w:tabs>
        <w:bidi w:val="0"/>
        <w:spacing w:before="0" w:after="480"/>
        <w:jc w:val="start"/>
        <w:rPr>
          <w:rFonts w:ascii="Times New Roman" w:hAnsi="Times New Roman"/>
        </w:rPr>
      </w:pPr>
      <w:r>
        <w:rPr/>
        <w:t>My Commission Expires:</w:t>
      </w:r>
      <w:r>
        <w:rPr>
          <w:u w:val="single"/>
        </w:rPr>
        <w:tab/>
      </w:r>
    </w:p>
    <w:p>
      <w:pPr>
        <w:pStyle w:val="BodyText"/>
        <w:tabs>
          <w:tab w:val="clear" w:pos="720"/>
          <w:tab w:val="left" w:pos="2880" w:leader="none"/>
        </w:tabs>
        <w:bidi w:val="0"/>
        <w:spacing w:before="0" w:after="0"/>
        <w:jc w:val="start"/>
        <w:rPr>
          <w:rFonts w:ascii="Times New Roman" w:hAnsi="Times New Roman"/>
        </w:rPr>
      </w:pPr>
      <w:r>
        <w:rPr/>
        <w:t>STATE OF TEXAS</w:t>
        <w:tab/>
        <w:t>§</w:t>
      </w:r>
    </w:p>
    <w:p>
      <w:pPr>
        <w:pStyle w:val="BodyText"/>
        <w:tabs>
          <w:tab w:val="clear" w:pos="720"/>
          <w:tab w:val="left" w:pos="2880" w:leader="none"/>
        </w:tabs>
        <w:bidi w:val="0"/>
        <w:spacing w:before="0" w:after="0"/>
        <w:jc w:val="start"/>
        <w:rPr>
          <w:rFonts w:ascii="Times New Roman" w:hAnsi="Times New Roman"/>
        </w:rPr>
      </w:pPr>
      <w:r>
        <w:rPr/>
        <w:tab/>
        <w:t>§</w:t>
      </w:r>
    </w:p>
    <w:p>
      <w:pPr>
        <w:pStyle w:val="BodyText"/>
        <w:tabs>
          <w:tab w:val="clear" w:pos="720"/>
          <w:tab w:val="left" w:pos="2880" w:leader="none"/>
        </w:tabs>
        <w:bidi w:val="0"/>
        <w:jc w:val="start"/>
        <w:rPr>
          <w:rFonts w:ascii="Times New Roman" w:hAnsi="Times New Roman"/>
        </w:rPr>
      </w:pPr>
      <w:r>
        <w:rPr/>
        <w:t>COUNTY OF HARRIS</w:t>
        <w:tab/>
        <w:t>§</w:t>
      </w:r>
    </w:p>
    <w:p>
      <w:pPr>
        <w:pStyle w:val="BodyText"/>
        <w:tabs>
          <w:tab w:val="clear" w:pos="720"/>
          <w:tab w:val="left" w:pos="2880" w:leader="none"/>
        </w:tabs>
        <w:bidi w:val="0"/>
        <w:spacing w:before="0" w:after="0"/>
        <w:ind w:firstLine="720" w:start="0" w:end="0"/>
        <w:jc w:val="both"/>
        <w:rPr>
          <w:rFonts w:ascii="Times New Roman" w:hAnsi="Times New Roman"/>
        </w:rPr>
      </w:pPr>
      <w:r>
        <w:rPr/>
        <w:t>This instrument was acknowledged before me on ___________, by ____________, ______________ of _______________, a ________________, on behalf of said ____________.</w:t>
      </w:r>
    </w:p>
    <w:p>
      <w:pPr>
        <w:pStyle w:val="Signature"/>
        <w:tabs>
          <w:tab w:val="clear" w:pos="5040"/>
          <w:tab w:val="right" w:pos="8640" w:leader="none"/>
        </w:tabs>
        <w:bidi w:val="0"/>
        <w:jc w:val="start"/>
        <w:rPr>
          <w:rFonts w:ascii="Times New Roman" w:hAnsi="Times New Roman"/>
        </w:rPr>
      </w:pPr>
      <w:r>
        <w:rPr/>
      </w:r>
    </w:p>
    <w:p>
      <w:pPr>
        <w:pStyle w:val="Signature"/>
        <w:tabs>
          <w:tab w:val="clear" w:pos="5040"/>
          <w:tab w:val="right" w:pos="8640" w:leader="none"/>
        </w:tabs>
        <w:bidi w:val="0"/>
        <w:jc w:val="start"/>
        <w:rPr>
          <w:rFonts w:ascii="Times New Roman" w:hAnsi="Times New Roman"/>
          <w:u w:val="single"/>
        </w:rPr>
      </w:pPr>
      <w:r>
        <w:rPr>
          <w:u w:val="single"/>
        </w:rPr>
        <w:tab/>
      </w:r>
    </w:p>
    <w:p>
      <w:pPr>
        <w:pStyle w:val="Signature"/>
        <w:tabs>
          <w:tab w:val="clear" w:pos="5040"/>
          <w:tab w:val="right" w:pos="8640" w:leader="none"/>
        </w:tabs>
        <w:bidi w:val="0"/>
        <w:jc w:val="start"/>
        <w:rPr>
          <w:rFonts w:ascii="Times New Roman" w:hAnsi="Times New Roman"/>
          <w:u w:val="single"/>
        </w:rPr>
      </w:pPr>
      <w:r>
        <w:rPr/>
        <w:t xml:space="preserve">Notary Public for the State of </w:t>
      </w:r>
      <w:r>
        <w:rPr>
          <w:u w:val="single"/>
        </w:rPr>
        <w:tab/>
      </w:r>
    </w:p>
    <w:p>
      <w:pPr>
        <w:pStyle w:val="Signature"/>
        <w:tabs>
          <w:tab w:val="clear" w:pos="5040"/>
          <w:tab w:val="right" w:pos="8640" w:leader="none"/>
        </w:tabs>
        <w:bidi w:val="0"/>
        <w:jc w:val="start"/>
        <w:rPr>
          <w:rFonts w:ascii="Times New Roman" w:hAnsi="Times New Roman"/>
        </w:rPr>
      </w:pPr>
      <w:r>
        <w:rPr/>
        <w:t>Printed Name:</w:t>
      </w:r>
      <w:r>
        <w:rPr>
          <w:u w:val="single"/>
        </w:rPr>
        <w:tab/>
      </w:r>
    </w:p>
    <w:p>
      <w:pPr>
        <w:pStyle w:val="Signature"/>
        <w:tabs>
          <w:tab w:val="clear" w:pos="5040"/>
          <w:tab w:val="right" w:pos="8640" w:leader="none"/>
        </w:tabs>
        <w:bidi w:val="0"/>
        <w:spacing w:before="0" w:after="480"/>
        <w:jc w:val="start"/>
        <w:rPr>
          <w:rFonts w:ascii="Times New Roman" w:hAnsi="Times New Roman"/>
        </w:rPr>
      </w:pPr>
      <w:r>
        <w:rPr/>
        <w:t>My Commission Expires:</w:t>
      </w:r>
      <w:r>
        <w:rPr>
          <w:u w:val="single"/>
        </w:rPr>
        <w:tab/>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 COMPARISON OF HEADERS ------------------</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1-</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2-</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3-</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4-</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-HEADER 5-</w:t>
      </w:r>
    </w:p>
    <w:p>
      <w:pPr>
        <w:pStyle w:val="Signature"/>
        <w:tabs>
          <w:tab w:val="clear" w:pos="5040"/>
          <w:tab w:val="right" w:pos="8640" w:leader="none"/>
        </w:tabs>
        <w:bidi w:val="0"/>
        <w:spacing w:before="0" w:after="480"/>
        <w:jc w:val="start"/>
        <w:rPr>
          <w:rFonts w:ascii="Times New Roman" w:hAnsi="Times New Roman"/>
        </w:rPr>
      </w:pPr>
      <w:r>
        <w:rPr/>
        <w:t>Header Discontinued</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 COMPARISON OF FOOTERS ------------------</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1-</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P</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2-</w:t>
      </w:r>
    </w:p>
    <w:p>
      <w:pPr>
        <w:pStyle w:val="Signature"/>
        <w:tabs>
          <w:tab w:val="clear" w:pos="5040"/>
          <w:tab w:val="right" w:pos="8640" w:leader="none"/>
        </w:tabs>
        <w:bidi w:val="0"/>
        <w:spacing w:before="0" w:after="480"/>
        <w:jc w:val="start"/>
        <w:rPr>
          <w:rFonts w:ascii="Times New Roman" w:hAnsi="Times New Roman"/>
        </w:rPr>
      </w:pPr>
      <w:r>
        <w:rPr>
          <w:strike/>
        </w:rPr>
        <w:t>361020_8</w:t>
      </w:r>
      <w:r>
        <w:rPr/>
        <w:t xml:space="preserve"> </w:t>
      </w:r>
      <w:r>
        <w:rPr>
          <w:b/>
          <w:u w:val="double"/>
        </w:rPr>
        <w:t>398892_4</w:t>
      </w:r>
      <w:r>
        <w:rPr/>
        <w:t xml:space="preserve"> Purchase and Sale Agreement</w:t>
      </w:r>
    </w:p>
    <w:p>
      <w:pPr>
        <w:pStyle w:val="Signature"/>
        <w:tabs>
          <w:tab w:val="clear" w:pos="5040"/>
          <w:tab w:val="right" w:pos="8640" w:leader="none"/>
        </w:tabs>
        <w:bidi w:val="0"/>
        <w:spacing w:before="0" w:after="480"/>
        <w:jc w:val="start"/>
        <w:rPr>
          <w:rFonts w:ascii="Times New Roman" w:hAnsi="Times New Roman"/>
          <w:b/>
          <w:u w:val="double"/>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t xml:space="preserve">Page2 </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r>
    </w:p>
    <w:p>
      <w:pPr>
        <w:pStyle w:val="Signature"/>
        <w:tabs>
          <w:tab w:val="clear" w:pos="5040"/>
          <w:tab w:val="right" w:pos="8640" w:leader="none"/>
        </w:tabs>
        <w:bidi w:val="0"/>
        <w:spacing w:before="0" w:after="480"/>
        <w:jc w:val="start"/>
        <w:rPr>
          <w:rFonts w:ascii="Times New Roman" w:hAnsi="Times New Roman"/>
          <w:b/>
          <w:u w:val="double"/>
        </w:rPr>
      </w:pPr>
      <w:r>
        <w:rPr>
          <w:b/>
          <w:u w:val="double"/>
        </w:rPr>
        <w:t>-FOOTER 3-</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t>398892_4 Purchase and Sale Agreement</w:t>
      </w:r>
    </w:p>
    <w:p>
      <w:pPr>
        <w:pStyle w:val="Signature"/>
        <w:tabs>
          <w:tab w:val="clear" w:pos="5040"/>
          <w:tab w:val="right" w:pos="8640" w:leader="none"/>
        </w:tabs>
        <w:bidi w:val="0"/>
        <w:spacing w:before="0" w:after="480"/>
        <w:jc w:val="start"/>
        <w:rPr>
          <w:rFonts w:ascii="Times New Roman" w:hAnsi="Times New Roman"/>
        </w:rPr>
      </w:pPr>
      <w:r>
        <w:rPr>
          <w:b/>
          <w:u w:val="double"/>
        </w:rPr>
        <w:t>Draft of 12-7-00</w:t>
      </w:r>
    </w:p>
    <w:p>
      <w:pPr>
        <w:pStyle w:val="Signature"/>
        <w:tabs>
          <w:tab w:val="clear" w:pos="5040"/>
          <w:tab w:val="right" w:pos="8640" w:leader="none"/>
        </w:tabs>
        <w:bidi w:val="0"/>
        <w:spacing w:before="0" w:after="480"/>
        <w:jc w:val="start"/>
        <w:rPr>
          <w:rFonts w:ascii="Times New Roman" w:hAnsi="Times New Roman"/>
        </w:rPr>
      </w:pPr>
      <w:r>
        <w:rPr/>
        <w:t>Page1</w:t>
      </w:r>
    </w:p>
    <w:p>
      <w:pPr>
        <w:pStyle w:val="Signature"/>
        <w:tabs>
          <w:tab w:val="clear" w:pos="5040"/>
          <w:tab w:val="right" w:pos="8640" w:leader="none"/>
        </w:tabs>
        <w:bidi w:val="0"/>
        <w:spacing w:before="0" w:after="480"/>
        <w:jc w:val="start"/>
        <w:rPr>
          <w:rFonts w:ascii="Times New Roman" w:hAnsi="Times New Roman"/>
          <w:strike/>
        </w:rPr>
      </w:pPr>
      <w:r>
        <w:rPr>
          <w:strike/>
        </w:rPr>
      </w:r>
    </w:p>
    <w:p>
      <w:pPr>
        <w:pStyle w:val="Signature"/>
        <w:tabs>
          <w:tab w:val="clear" w:pos="5040"/>
          <w:tab w:val="right" w:pos="8640" w:leader="none"/>
        </w:tabs>
        <w:bidi w:val="0"/>
        <w:spacing w:before="0" w:after="480"/>
        <w:jc w:val="start"/>
        <w:rPr>
          <w:rFonts w:ascii="Times New Roman" w:hAnsi="Times New Roman"/>
          <w:strike/>
        </w:rPr>
      </w:pPr>
      <w:r>
        <w:rPr>
          <w:strike/>
        </w:rPr>
        <w:t>-FOOTER 3-</w:t>
      </w:r>
    </w:p>
    <w:p>
      <w:pPr>
        <w:pStyle w:val="Signature"/>
        <w:tabs>
          <w:tab w:val="clear" w:pos="5040"/>
          <w:tab w:val="right" w:pos="8640" w:leader="none"/>
        </w:tabs>
        <w:bidi w:val="0"/>
        <w:spacing w:before="0" w:after="480"/>
        <w:jc w:val="start"/>
        <w:rPr>
          <w:rFonts w:ascii="Times New Roman" w:hAnsi="Times New Roman"/>
        </w:rPr>
      </w:pPr>
      <w:r>
        <w:rPr>
          <w:strike/>
        </w:rPr>
        <w:t>Footer Discontinued</w:t>
      </w:r>
    </w:p>
    <w:p>
      <w:pPr>
        <w:pStyle w:val="Signature"/>
        <w:tabs>
          <w:tab w:val="clear" w:pos="5040"/>
          <w:tab w:val="right" w:pos="8640" w:leader="none"/>
        </w:tabs>
        <w:bidi w:val="0"/>
        <w:spacing w:before="0" w:after="480"/>
        <w:jc w:val="start"/>
        <w:rPr>
          <w:rFonts w:ascii="Times New Roman" w:hAnsi="Times New Roman"/>
        </w:rPr>
      </w:pPr>
      <w:r>
        <w:rPr/>
        <w:t>-FOOTER 4-</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7.14 to Purchase and Sale Agreement</w:t>
      </w:r>
    </w:p>
    <w:p>
      <w:pPr>
        <w:pStyle w:val="Signature"/>
        <w:tabs>
          <w:tab w:val="clear" w:pos="5040"/>
          <w:tab w:val="right" w:pos="8640" w:leader="none"/>
        </w:tabs>
        <w:bidi w:val="0"/>
        <w:spacing w:before="0" w:after="480"/>
        <w:jc w:val="start"/>
        <w:rPr>
          <w:rFonts w:ascii="Times New Roman" w:hAnsi="Times New Roman"/>
        </w:rPr>
      </w:pPr>
      <w:r>
        <w:rPr/>
        <w:t>List of LLCs and Facilities</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5-</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5.2 to Purchase and Sale Agreement</w:t>
      </w:r>
    </w:p>
    <w:p>
      <w:pPr>
        <w:pStyle w:val="Signature"/>
        <w:tabs>
          <w:tab w:val="clear" w:pos="5040"/>
          <w:tab w:val="right" w:pos="8640" w:leader="none"/>
        </w:tabs>
        <w:bidi w:val="0"/>
        <w:spacing w:before="0" w:after="480"/>
        <w:jc w:val="start"/>
        <w:rPr>
          <w:rFonts w:ascii="Times New Roman" w:hAnsi="Times New Roman"/>
        </w:rPr>
      </w:pPr>
      <w:r>
        <w:rPr/>
        <w:t>Confidentiality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-FOOTER 6-</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7.14 to Purchase and Sale Agreement</w:t>
      </w:r>
    </w:p>
    <w:p>
      <w:pPr>
        <w:pStyle w:val="Signature"/>
        <w:tabs>
          <w:tab w:val="clear" w:pos="5040"/>
          <w:tab w:val="right" w:pos="8640" w:leader="none"/>
        </w:tabs>
        <w:bidi w:val="0"/>
        <w:spacing w:before="0" w:after="480"/>
        <w:jc w:val="start"/>
        <w:rPr>
          <w:rFonts w:ascii="Times New Roman" w:hAnsi="Times New Roman"/>
        </w:rPr>
      </w:pPr>
      <w:r>
        <w:rPr/>
        <w:t>Guaranty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b/>
          <w:u w:val="double"/>
        </w:rPr>
      </w:pPr>
      <w:r>
        <w:rPr>
          <w:b/>
          <w:u w:val="double"/>
        </w:rPr>
      </w:r>
    </w:p>
    <w:p>
      <w:pPr>
        <w:pStyle w:val="Signature"/>
        <w:tabs>
          <w:tab w:val="clear" w:pos="5040"/>
          <w:tab w:val="right" w:pos="8640" w:leader="none"/>
        </w:tabs>
        <w:bidi w:val="0"/>
        <w:spacing w:before="0" w:after="480"/>
        <w:jc w:val="start"/>
        <w:rPr>
          <w:rFonts w:ascii="Times New Roman" w:hAnsi="Times New Roman"/>
          <w:b/>
          <w:u w:val="double"/>
        </w:rPr>
      </w:pPr>
      <w:r>
        <w:rPr>
          <w:b/>
          <w:u w:val="double"/>
        </w:rPr>
        <w:t>-FOOTER 7-</w:t>
      </w:r>
    </w:p>
    <w:p>
      <w:pPr>
        <w:pStyle w:val="Signature"/>
        <w:tabs>
          <w:tab w:val="clear" w:pos="5040"/>
          <w:tab w:val="right" w:pos="8640" w:leader="none"/>
        </w:tabs>
        <w:bidi w:val="0"/>
        <w:spacing w:before="0" w:after="480"/>
        <w:jc w:val="start"/>
        <w:rPr>
          <w:rFonts w:ascii="Times New Roman" w:hAnsi="Times New Roman"/>
        </w:rPr>
      </w:pPr>
      <w:r>
        <w:rPr>
          <w:b/>
          <w:u w:val="double"/>
        </w:rPr>
        <w:t>398892_4</w:t>
      </w:r>
    </w:p>
    <w:p>
      <w:pPr>
        <w:pStyle w:val="Signature"/>
        <w:tabs>
          <w:tab w:val="clear" w:pos="5040"/>
          <w:tab w:val="right" w:pos="8640" w:leader="none"/>
        </w:tabs>
        <w:bidi w:val="0"/>
        <w:spacing w:before="0" w:after="480"/>
        <w:jc w:val="start"/>
        <w:rPr>
          <w:rFonts w:ascii="Times New Roman" w:hAnsi="Times New Roman"/>
        </w:rPr>
      </w:pPr>
      <w:r>
        <w:rPr/>
        <w:t>Exhibit 9.2 to Purchase and Sale Agreement</w:t>
      </w:r>
    </w:p>
    <w:p>
      <w:pPr>
        <w:pStyle w:val="Signature"/>
        <w:tabs>
          <w:tab w:val="clear" w:pos="5040"/>
          <w:tab w:val="right" w:pos="8640" w:leader="none"/>
        </w:tabs>
        <w:bidi w:val="0"/>
        <w:spacing w:before="0" w:after="480"/>
        <w:jc w:val="start"/>
        <w:rPr>
          <w:rFonts w:ascii="Times New Roman" w:hAnsi="Times New Roman"/>
        </w:rPr>
      </w:pPr>
      <w:r>
        <w:rPr/>
        <w:t>Assignment and Assumption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p>
      <w:pPr>
        <w:pStyle w:val="Signature"/>
        <w:tabs>
          <w:tab w:val="clear" w:pos="5040"/>
          <w:tab w:val="right" w:pos="8640" w:leader="none"/>
        </w:tabs>
        <w:bidi w:val="0"/>
        <w:spacing w:before="0" w:after="480"/>
        <w:jc w:val="start"/>
        <w:rPr>
          <w:rFonts w:ascii="Times New Roman" w:hAnsi="Times New Roman"/>
        </w:rPr>
      </w:pPr>
      <w:r>
        <w:rPr/>
      </w:r>
    </w:p>
    <w:p>
      <w:pPr>
        <w:pStyle w:val="Signature"/>
        <w:tabs>
          <w:tab w:val="clear" w:pos="5040"/>
          <w:tab w:val="right" w:pos="8640" w:leader="none"/>
        </w:tabs>
        <w:bidi w:val="0"/>
        <w:spacing w:before="0" w:after="480"/>
        <w:jc w:val="start"/>
        <w:rPr>
          <w:rFonts w:ascii="Times New Roman" w:hAnsi="Times New Roman"/>
        </w:rPr>
      </w:pPr>
      <w:r>
        <w:rPr/>
        <w:t xml:space="preserve">-FOOTER </w:t>
      </w:r>
      <w:r>
        <w:rPr>
          <w:strike/>
        </w:rPr>
        <w:t>7</w:t>
      </w:r>
      <w:r>
        <w:rPr/>
        <w:t xml:space="preserve"> </w:t>
      </w:r>
      <w:r>
        <w:rPr>
          <w:b/>
          <w:u w:val="double"/>
        </w:rPr>
        <w:t>8</w:t>
      </w:r>
      <w:r>
        <w:rPr/>
        <w:t>-</w:t>
      </w:r>
    </w:p>
    <w:p>
      <w:pPr>
        <w:pStyle w:val="Signature"/>
        <w:tabs>
          <w:tab w:val="clear" w:pos="5040"/>
          <w:tab w:val="right" w:pos="8640" w:leader="none"/>
        </w:tabs>
        <w:bidi w:val="0"/>
        <w:spacing w:before="0" w:after="480"/>
        <w:jc w:val="start"/>
        <w:rPr>
          <w:rFonts w:ascii="Times New Roman" w:hAnsi="Times New Roman"/>
        </w:rPr>
      </w:pPr>
      <w:r>
        <w:rPr>
          <w:b/>
          <w:u w:val="double"/>
        </w:rPr>
        <w:t>398892_4</w:t>
      </w:r>
      <w:r>
        <w:rPr/>
        <w:t xml:space="preserve"> Exhibit 9.2 to Purchase and Sale Agreement</w:t>
      </w:r>
    </w:p>
    <w:p>
      <w:pPr>
        <w:pStyle w:val="Signature"/>
        <w:tabs>
          <w:tab w:val="clear" w:pos="5040"/>
          <w:tab w:val="right" w:pos="8640" w:leader="none"/>
        </w:tabs>
        <w:bidi w:val="0"/>
        <w:spacing w:before="0" w:after="480"/>
        <w:jc w:val="start"/>
        <w:rPr>
          <w:rFonts w:ascii="Times New Roman" w:hAnsi="Times New Roman"/>
        </w:rPr>
      </w:pPr>
      <w:r>
        <w:rPr/>
        <w:t>Assignment and Assumption Agreement</w:t>
      </w:r>
    </w:p>
    <w:p>
      <w:pPr>
        <w:pStyle w:val="Signature"/>
        <w:tabs>
          <w:tab w:val="clear" w:pos="5040"/>
          <w:tab w:val="right" w:pos="8640" w:leader="none"/>
        </w:tabs>
        <w:bidi w:val="0"/>
        <w:spacing w:before="0" w:after="480"/>
        <w:jc w:val="start"/>
        <w:rPr>
          <w:rFonts w:ascii="Times New Roman" w:hAnsi="Times New Roman"/>
        </w:rPr>
      </w:pPr>
      <w:r>
        <w:rPr/>
        <w:t xml:space="preserve">Draft of </w:t>
      </w:r>
      <w:r>
        <w:rPr>
          <w:strike/>
        </w:rPr>
        <w:t>11-3</w:t>
      </w:r>
      <w:r>
        <w:rPr/>
        <w:t xml:space="preserve"> </w:t>
      </w:r>
      <w:r>
        <w:rPr>
          <w:b/>
          <w:u w:val="double"/>
        </w:rPr>
        <w:t>12-7</w:t>
      </w:r>
      <w:r>
        <w:rPr/>
        <w:t>-00</w:t>
      </w:r>
    </w:p>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5.2 to Purchase and Sale Agreement</w:t>
    </w:r>
  </w:p>
  <w:p>
    <w:pPr>
      <w:pStyle w:val="Footer"/>
      <w:bidi w:val="0"/>
      <w:jc w:val="start"/>
      <w:rPr>
        <w:rFonts w:ascii="Times New Roman" w:hAnsi="Times New Roman"/>
        <w:i w:val="false"/>
        <w:i w:val="false"/>
      </w:rPr>
    </w:pPr>
    <w:r>
      <w:rPr>
        <w:i w:val="false"/>
      </w:rPr>
      <w:tab/>
      <w:t>Confidentiality Agreement</w:t>
    </w:r>
  </w:p>
  <w:p>
    <w:pPr>
      <w:pStyle w:val="Footer"/>
      <w:bidi w:val="0"/>
      <w:jc w:val="start"/>
      <w:rPr>
        <w:rFonts w:ascii="Times New Roman" w:hAnsi="Times New Roman"/>
        <w:i w:val="false"/>
        <w:i w:val="false"/>
      </w:rPr>
    </w:pPr>
    <w:r>
      <w:rPr>
        <w:i w:val="false"/>
      </w:rPr>
      <w:tab/>
      <w:t>Draft of 12-7-00</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Guaranty Agreement</w:t>
    </w:r>
  </w:p>
  <w:p>
    <w:pPr>
      <w:pStyle w:val="Footer"/>
      <w:bidi w:val="0"/>
      <w:jc w:val="start"/>
      <w:rPr>
        <w:rFonts w:ascii="Times New Roman" w:hAnsi="Times New Roman"/>
        <w:i w:val="false"/>
        <w:i w:val="false"/>
      </w:rPr>
    </w:pPr>
    <w:r>
      <w:rPr>
        <w:i w:val="false"/>
      </w:rPr>
      <w:tab/>
      <w:t>Draft of 12-7-00</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p>
  <w:p>
    <w:pPr>
      <w:pStyle w:val="Footer"/>
      <w:bidi w:val="0"/>
      <w:jc w:val="start"/>
      <w:rPr>
        <w:rFonts w:ascii="Times New Roman" w:hAnsi="Times New Roman"/>
        <w:i w:val="false"/>
        <w:i w:val="false"/>
      </w:rPr>
    </w:pPr>
    <w:r>
      <w:rPr/>
      <w:tab/>
    </w:r>
    <w:r>
      <w:rPr>
        <w:i w:val="false"/>
      </w:rPr>
      <w:t>Exhibit 9.2 to Purchase and Sale Agreement</w:t>
    </w:r>
  </w:p>
  <w:p>
    <w:pPr>
      <w:pStyle w:val="Footer"/>
      <w:bidi w:val="0"/>
      <w:jc w:val="start"/>
      <w:rPr>
        <w:rFonts w:ascii="Times New Roman" w:hAnsi="Times New Roman"/>
        <w:i w:val="false"/>
        <w:i w:val="false"/>
      </w:rPr>
    </w:pPr>
    <w:r>
      <w:rPr>
        <w:i w:val="false"/>
      </w:rPr>
      <w:tab/>
      <w:t>Assignment and Assumption Agreement</w:t>
    </w:r>
  </w:p>
  <w:p>
    <w:pPr>
      <w:pStyle w:val="Footer"/>
      <w:bidi w:val="0"/>
      <w:jc w:val="start"/>
      <w:rPr>
        <w:rFonts w:ascii="Times New Roman" w:hAnsi="Times New Roman"/>
        <w:i w:val="false"/>
        <w:i w:val="false"/>
        <w:u w:val="single"/>
      </w:rPr>
    </w:pPr>
    <w:r>
      <w:rPr>
        <w:i w:val="false"/>
      </w:rPr>
      <w:tab/>
      <w:t>Draft of 12-7-00</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9.2 to Purchase and Sale Agreement</w:t>
    </w:r>
  </w:p>
  <w:p>
    <w:pPr>
      <w:pStyle w:val="Footer"/>
      <w:bidi w:val="0"/>
      <w:jc w:val="start"/>
      <w:rPr>
        <w:rFonts w:ascii="Times New Roman" w:hAnsi="Times New Roman"/>
        <w:i w:val="false"/>
        <w:i w:val="false"/>
      </w:rPr>
    </w:pPr>
    <w:r>
      <w:rPr>
        <w:i w:val="false"/>
      </w:rPr>
      <w:tab/>
      <w:t>Assignment and Assumption Agreement</w:t>
    </w:r>
  </w:p>
  <w:p>
    <w:pPr>
      <w:pStyle w:val="Footer"/>
      <w:bidi w:val="0"/>
      <w:jc w:val="start"/>
      <w:rPr>
        <w:rFonts w:ascii="Times New Roman" w:hAnsi="Times New Roman"/>
        <w:i w:val="false"/>
        <w:i w:val="false"/>
      </w:rPr>
    </w:pPr>
    <w:r>
      <w:rPr>
        <w:i w:val="false"/>
      </w:rPr>
      <w:tab/>
      <w:t>Draft of 12-7-00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u w:val="single"/>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u w:val="single"/>
      </w:rPr>
    </w:pP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rStyle w:val="VEDocumentInformationDI"/>
        <w:lang w:val="en-US" w:eastAsia="en-US"/>
      </w:rPr>
      <w:t xml:space="preserve"> </w:t>
    </w:r>
    <w:r>
      <w:rPr>
        <w:rStyle w:val="VEDocumentInformationDI"/>
        <w:lang w:val="en-US" w:eastAsia="en-US"/>
      </w:rPr>
      <w:t>(</w:t>
    </w: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rStyle w:val="VEDocumentInformationDI"/>
        <w:lang w:val="en-US" w:eastAsia="en-US"/>
      </w:rPr>
      <w:t xml:space="preserve"> vs 11/3 Duke draft)</w:t>
    </w:r>
    <w:r>
      <w:rPr>
        <w:sz w:val="16"/>
      </w:rPr>
      <w:tab/>
    </w:r>
    <w:r>
      <w:rPr>
        <w:i w:val="false"/>
      </w:rPr>
      <w:t>Purchase and Sale Agreement</w:t>
    </w:r>
  </w:p>
  <w:p>
    <w:pPr>
      <w:pStyle w:val="Footer"/>
      <w:bidi w:val="0"/>
      <w:jc w:val="start"/>
      <w:rPr>
        <w:rFonts w:ascii="Times New Roman" w:hAnsi="Times New Roman"/>
        <w:i w:val="false"/>
        <w:i w:val="false"/>
      </w:rPr>
    </w:pPr>
    <w:r>
      <w:rPr>
        <w:i w:val="false"/>
      </w:rPr>
      <w:tab/>
      <w:t>Draft of 12-7-00</w:t>
    </w:r>
  </w:p>
  <w:p>
    <w:pPr>
      <w:pStyle w:val="Footer"/>
      <w:bidi w:val="0"/>
      <w:jc w:val="start"/>
      <w:rPr>
        <w:rFonts w:ascii="Times New Roman" w:hAnsi="Times New Roman"/>
      </w:rPr>
    </w:pPr>
    <w:r>
      <w:rPr>
        <w:i w:val="false"/>
      </w:rPr>
      <w:tab/>
    </w:r>
    <w:r>
      <w:rPr/>
      <w:t>Page</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42</w:t>
    </w:r>
    <w:r>
      <w:rPr>
        <w:rStyle w:val="PageNumber"/>
        <w:lang w:val="en-CA" w:eastAsia="en-CA"/>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rStyle w:val="VEDocumentInformationDI"/>
        <w:lang w:val="en-US" w:eastAsia="en-US"/>
      </w:rPr>
      <w:t xml:space="preserve"> </w:t>
    </w:r>
    <w:r>
      <w:rPr>
        <w:rStyle w:val="VEDocumentInformationDI"/>
        <w:lang w:val="en-US" w:eastAsia="en-US"/>
      </w:rPr>
      <w:t>(</w:t>
    </w: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rStyle w:val="VEDocumentInformationDI"/>
        <w:lang w:val="en-US" w:eastAsia="en-US"/>
      </w:rPr>
      <w:t xml:space="preserve"> vs 11/3 Duke draft)</w:t>
    </w:r>
    <w:r>
      <w:rPr>
        <w:sz w:val="16"/>
      </w:rPr>
      <w:tab/>
    </w:r>
    <w:r>
      <w:rPr>
        <w:i w:val="false"/>
      </w:rPr>
      <w:t>Purchase and Sale Agreement</w:t>
    </w:r>
  </w:p>
  <w:p>
    <w:pPr>
      <w:pStyle w:val="Footer"/>
      <w:bidi w:val="0"/>
      <w:jc w:val="start"/>
      <w:rPr>
        <w:rFonts w:ascii="Times New Roman" w:hAnsi="Times New Roman"/>
        <w:i w:val="false"/>
        <w:i w:val="false"/>
      </w:rPr>
    </w:pPr>
    <w:r>
      <w:rPr>
        <w:i w:val="false"/>
      </w:rPr>
      <w:tab/>
      <w:t>Draft of 12-7-00</w:t>
    </w:r>
  </w:p>
  <w:p>
    <w:pPr>
      <w:pStyle w:val="Footer"/>
      <w:bidi w:val="0"/>
      <w:jc w:val="start"/>
      <w:rPr>
        <w:rStyle w:val="VEDocumentInformationDI"/>
        <w:rFonts w:ascii="Times New Roman" w:hAnsi="Times New Roman"/>
      </w:rPr>
    </w:pPr>
    <w:r>
      <w:rPr>
        <w:i w:val="false"/>
      </w:rPr>
      <w:tab/>
    </w:r>
    <w:r>
      <w:rPr/>
      <w:t>Page</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i w:val="false"/>
        <w:i w:val="false"/>
      </w:rPr>
    </w:pPr>
    <w:r>
      <w:rPr>
        <w:rStyle w:val="VEDocumentInformationDI"/>
        <w:lang w:val="en-CA" w:eastAsia="en-CA"/>
      </w:rPr>
      <w:fldChar w:fldCharType="begin"/>
    </w:r>
    <w:r>
      <w:rPr>
        <w:rStyle w:val="VEDocumentInformationDI"/>
        <w:lang w:val="en-CA" w:eastAsia="en-CA"/>
      </w:rPr>
      <w:instrText xml:space="preserve"> FILENAME </w:instrText>
    </w:r>
    <w:r>
      <w:rPr>
        <w:rStyle w:val="VEDocumentInformationDI"/>
        <w:lang w:val="en-CA" w:eastAsia="en-CA"/>
      </w:rPr>
      <w:fldChar w:fldCharType="separate"/>
    </w:r>
    <w:r>
      <w:rPr>
        <w:rStyle w:val="VEDocumentInformationDI"/>
        <w:lang w:val="en-CA" w:eastAsia="en-CA"/>
      </w:rPr>
      <w:t>3.411930.CZEMNOKTHQJ31OMH2CMEHNAWYC1YKZ20B.1.doc</w:t>
    </w:r>
    <w:r>
      <w:rPr>
        <w:rStyle w:val="VEDocumentInformationDI"/>
        <w:lang w:val="en-CA" w:eastAsia="en-CA"/>
      </w:rPr>
      <w:fldChar w:fldCharType="end"/>
    </w:r>
    <w:r>
      <w:rPr>
        <w:sz w:val="16"/>
      </w:rPr>
      <w:tab/>
    </w:r>
    <w:r>
      <w:rPr>
        <w:i w:val="false"/>
      </w:rPr>
      <w:t>Exhibit 7.14 to Purchase and Sale Agreement</w:t>
    </w:r>
  </w:p>
  <w:p>
    <w:pPr>
      <w:pStyle w:val="Footer"/>
      <w:bidi w:val="0"/>
      <w:jc w:val="start"/>
      <w:rPr>
        <w:rFonts w:ascii="Times New Roman" w:hAnsi="Times New Roman"/>
        <w:i w:val="false"/>
        <w:i w:val="false"/>
      </w:rPr>
    </w:pPr>
    <w:r>
      <w:rPr>
        <w:i w:val="false"/>
      </w:rPr>
      <w:tab/>
      <w:t>List of LLCs and Facilities</w:t>
    </w:r>
  </w:p>
  <w:p>
    <w:pPr>
      <w:pStyle w:val="Footer"/>
      <w:bidi w:val="0"/>
      <w:jc w:val="start"/>
      <w:rPr>
        <w:rFonts w:ascii="Times New Roman" w:hAnsi="Times New Roman"/>
        <w:i w:val="false"/>
        <w:i w:val="false"/>
        <w:u w:val="single"/>
      </w:rPr>
    </w:pPr>
    <w:r>
      <w:rPr>
        <w:i w:val="false"/>
      </w:rPr>
      <w:tab/>
      <w:t>Draft of 12-7-00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4"/>
      <w:numFmt w:val="lowerLetter"/>
      <w:lvlText w:val="(%1)"/>
      <w:lvlJc w:val="start"/>
      <w:pPr>
        <w:tabs>
          <w:tab w:val="num" w:pos="0"/>
        </w:tabs>
        <w:ind w:start="3240" w:hanging="180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8"/>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7"/>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8"/>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0"/>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Letter"/>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2160"/>
        </w:tabs>
        <w:ind w:start="216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2">
    <w:lvl w:ilvl="0">
      <w:start w:val="1"/>
      <w:numFmt w:val="decimal"/>
      <w:lvlText w:val="%1."/>
      <w:lvlJc w:val="start"/>
      <w:pPr>
        <w:tabs>
          <w:tab w:val="num" w:pos="720"/>
        </w:tabs>
        <w:ind w:start="720" w:hanging="720"/>
      </w:pPr>
      <w:rPr>
        <w:sz w:val="24"/>
        <w:i w:val="false"/>
        <w:b w:val="false"/>
        <w:rFonts w:ascii="Courier New" w:hAnsi="Courier New"/>
      </w:rPr>
    </w:lvl>
    <w:lvl w:ilvl="1">
      <w:start w:val="1"/>
      <w:numFmt w:val="lowerLetter"/>
      <w:lvlText w:val="(%2)"/>
      <w:lvlJc w:val="start"/>
      <w:pPr>
        <w:tabs>
          <w:tab w:val="num" w:pos="1440"/>
        </w:tabs>
        <w:ind w:start="1440" w:hanging="720"/>
      </w:pPr>
      <w:rPr>
        <w:sz w:val="24"/>
        <w:i w:val="false"/>
        <w:b w:val="false"/>
        <w:rFonts w:ascii="Courier New" w:hAnsi="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rPr>
    </w:lvl>
  </w:abstractNum>
  <w:abstractNum w:abstractNumId="13">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4">
    <w:lvl w:ilvl="0">
      <w:start w:val="13"/>
      <w:numFmt w:val="decimal"/>
      <w:suff w:val="nothing"/>
      <w:lvlText w:val="Article %1"/>
      <w:lvlJc w:val="start"/>
      <w:pPr>
        <w:tabs>
          <w:tab w:val="num" w:pos="0"/>
        </w:tabs>
        <w:ind w:start="0" w:hanging="0"/>
      </w:pPr>
      <w:rPr/>
    </w:lvl>
    <w:lvl w:ilvl="1">
      <w:start w:val="15"/>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3"/>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3"/>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5">
    <w:lvl w:ilvl="0">
      <w:start w:val="13"/>
      <w:numFmt w:val="decimal"/>
      <w:suff w:val="nothing"/>
      <w:lvlText w:val="Article %1"/>
      <w:lvlJc w:val="start"/>
      <w:pPr>
        <w:tabs>
          <w:tab w:val="num" w:pos="0"/>
        </w:tabs>
        <w:ind w:start="0" w:hanging="0"/>
      </w:pPr>
      <w:rPr/>
    </w:lvl>
    <w:lvl w:ilvl="1">
      <w:start w:val="15"/>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4"/>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4"/>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7">
    <w:lvl w:ilvl="0">
      <w:start w:val="13"/>
      <w:numFmt w:val="decimal"/>
      <w:suff w:val="nothing"/>
      <w:lvlText w:val="Article %1"/>
      <w:lvlJc w:val="start"/>
      <w:pPr>
        <w:tabs>
          <w:tab w:val="num" w:pos="0"/>
        </w:tabs>
        <w:ind w:start="0" w:hanging="0"/>
      </w:pPr>
      <w:rPr/>
    </w:lvl>
    <w:lvl w:ilvl="1">
      <w:start w:val="15"/>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4"/>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6"/>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8">
    <w:lvl w:ilvl="0">
      <w:start w:val="13"/>
      <w:numFmt w:val="decimal"/>
      <w:suff w:val="nothing"/>
      <w:lvlText w:val="Article %1"/>
      <w:lvlJc w:val="start"/>
      <w:pPr>
        <w:tabs>
          <w:tab w:val="num" w:pos="0"/>
        </w:tabs>
        <w:ind w:start="0" w:hanging="0"/>
      </w:pPr>
      <w:rPr/>
    </w:lvl>
    <w:lvl w:ilvl="1">
      <w:start w:val="13"/>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19">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sz w:val="24"/>
        <w:i w:val="false"/>
        <w:b w:val="false"/>
        <w:rFonts w:ascii="Times New Roman" w:hAnsi="Times New Roman"/>
      </w:rPr>
    </w:lvl>
    <w:lvl w:ilvl="2">
      <w:start w:val="1"/>
      <w:numFmt w:val="lowerLetter"/>
      <w:lvlText w:val="(%3)"/>
      <w:lvlJc w:val="start"/>
      <w:pPr>
        <w:tabs>
          <w:tab w:val="num" w:pos="1080"/>
        </w:tabs>
        <w:ind w:start="0" w:firstLine="720"/>
      </w:pPr>
      <w:rPr>
        <w:sz w:val="24"/>
        <w:i w:val="false"/>
        <w:b w:val="false"/>
      </w:rPr>
    </w:lvl>
    <w:lvl w:ilvl="3">
      <w:start w:val="1"/>
      <w:numFmt w:val="lowerRoman"/>
      <w:lvlText w:val="(%4)"/>
      <w:lvlJc w:val="start"/>
      <w:pPr>
        <w:tabs>
          <w:tab w:val="num" w:pos="2880"/>
        </w:tabs>
        <w:ind w:start="1440" w:firstLine="720"/>
      </w:pPr>
      <w:rPr/>
    </w:lvl>
    <w:lvl w:ilvl="4">
      <w:start w:val="1"/>
      <w:numFmt w:val="upp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6"/>
  </w:num>
  <w:num w:numId="22">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3"/>
        <w:isLgl/>
        <w:numFmt w:val="decimal"/>
        <w:lvlText w:val="%1.%2"/>
        <w:lvlJc w:val="start"/>
        <w:pPr>
          <w:tabs>
            <w:tab w:val="num" w:pos="1080"/>
          </w:tabs>
          <w:ind w:start="0" w:firstLine="720"/>
        </w:pPr>
        <w:rPr>
          <w:sz w:val="24"/>
          <w:i w:val="false"/>
          <w:b w:val="false"/>
          <w:rFonts w:ascii="Times New Roman" w:hAnsi="Times New Roman"/>
        </w:rPr>
      </w:lvl>
    </w:lvlOverride>
  </w:num>
  <w:num w:numId="23">
    <w:abstractNumId w:val="16"/>
  </w:num>
  <w:num w:numId="24">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5"/>
        <w:isLgl/>
        <w:numFmt w:val="decimal"/>
        <w:lvlText w:val="%1.%2"/>
        <w:lvlJc w:val="start"/>
        <w:pPr>
          <w:tabs>
            <w:tab w:val="num" w:pos="1080"/>
          </w:tabs>
          <w:ind w:start="0" w:firstLine="720"/>
        </w:pPr>
        <w:rPr>
          <w:sz w:val="24"/>
          <w:i w:val="false"/>
          <w:b w:val="false"/>
          <w:rFonts w:ascii="Times New Roman" w:hAnsi="Times New Roman"/>
        </w:rPr>
      </w:lvl>
    </w:lvlOverride>
    <w:lvlOverride w:ilvl="1">
      <w:startOverride w:val="15"/>
    </w:lvlOverride>
    <w:lvlOverride w:ilvl="2">
      <w:startOverride w:val="1"/>
    </w:lvlOverride>
    <w:lvlOverride w:ilvl="3">
      <w:lvl w:ilvl="3">
        <w:start w:val="3"/>
        <w:numFmt w:val="lowerRoman"/>
        <w:lvlText w:val="(%4)"/>
        <w:lvlJc w:val="start"/>
        <w:pPr>
          <w:tabs>
            <w:tab w:val="num" w:pos="2880"/>
          </w:tabs>
          <w:ind w:start="1440" w:firstLine="720"/>
        </w:pPr>
        <w:rPr/>
      </w:lvl>
    </w:lvlOverride>
    <w:lvlOverride w:ilvl="3">
      <w:startOverride w:val="3"/>
    </w:lvlOverride>
    <w:lvlOverride w:ilvl="4">
      <w:startOverride w:val="1"/>
    </w:lvlOverride>
    <w:lvlOverride w:ilvl="5">
      <w:lvl w:ilvl="5">
        <w:start w:val="3"/>
        <w:numFmt w:val="decimal"/>
        <w:lvlText w:val="%6."/>
        <w:lvlJc w:val="start"/>
        <w:pPr>
          <w:tabs>
            <w:tab w:val="num" w:pos="1080"/>
          </w:tabs>
          <w:ind w:start="0" w:firstLine="720"/>
        </w:pPr>
        <w:rPr/>
      </w:lvl>
    </w:lvlOverride>
  </w:num>
  <w:num w:numId="25">
    <w:abstractNumId w:val="16"/>
  </w:num>
  <w:num w:numId="26">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5"/>
        <w:isLgl/>
        <w:numFmt w:val="decimal"/>
        <w:lvlText w:val="%1.%2"/>
        <w:lvlJc w:val="start"/>
        <w:pPr>
          <w:tabs>
            <w:tab w:val="num" w:pos="1080"/>
          </w:tabs>
          <w:ind w:start="0" w:firstLine="720"/>
        </w:pPr>
        <w:rPr>
          <w:sz w:val="24"/>
          <w:i w:val="false"/>
          <w:b w:val="false"/>
          <w:rFonts w:ascii="Times New Roman" w:hAnsi="Times New Roman"/>
        </w:rPr>
      </w:lvl>
    </w:lvlOverride>
    <w:lvlOverride w:ilvl="1">
      <w:startOverride w:val="15"/>
    </w:lvlOverride>
    <w:lvlOverride w:ilvl="2">
      <w:startOverride w:val="1"/>
    </w:lvlOverride>
    <w:lvlOverride w:ilvl="3">
      <w:lvl w:ilvl="3">
        <w:start w:val="4"/>
        <w:numFmt w:val="lowerRoman"/>
        <w:lvlText w:val="(%4)"/>
        <w:lvlJc w:val="start"/>
        <w:pPr>
          <w:tabs>
            <w:tab w:val="num" w:pos="2880"/>
          </w:tabs>
          <w:ind w:start="1440" w:firstLine="720"/>
        </w:pPr>
        <w:rPr/>
      </w:lvl>
    </w:lvlOverride>
    <w:lvlOverride w:ilvl="3">
      <w:startOverride w:val="4"/>
    </w:lvlOverride>
    <w:lvlOverride w:ilvl="4">
      <w:startOverride w:val="1"/>
    </w:lvlOverride>
    <w:lvlOverride w:ilvl="5">
      <w:lvl w:ilvl="5">
        <w:start w:val="4"/>
        <w:numFmt w:val="decimal"/>
        <w:lvlText w:val="%6."/>
        <w:lvlJc w:val="start"/>
        <w:pPr>
          <w:tabs>
            <w:tab w:val="num" w:pos="1080"/>
          </w:tabs>
          <w:ind w:start="0" w:firstLine="720"/>
        </w:pPr>
        <w:rPr/>
      </w:lvl>
    </w:lvlOverride>
  </w:num>
  <w:num w:numId="27">
    <w:abstractNumId w:val="16"/>
  </w:num>
  <w:num w:numId="28">
    <w:abstractNumId w:val="16"/>
    <w:lvlOverride w:ilvl="0">
      <w:lvl w:ilvl="0">
        <w:start w:val="13"/>
        <w:numFmt w:val="decimal"/>
        <w:suff w:val="nothing"/>
        <w:lvlText w:val="Article %1"/>
        <w:lvlJc w:val="start"/>
        <w:pPr>
          <w:tabs>
            <w:tab w:val="num" w:pos="0"/>
          </w:tabs>
          <w:ind w:start="0" w:hanging="0"/>
        </w:pPr>
        <w:rPr/>
      </w:lvl>
    </w:lvlOverride>
    <w:lvlOverride w:ilvl="0">
      <w:startOverride w:val="13"/>
    </w:lvlOverride>
    <w:lvlOverride w:ilvl="1">
      <w:lvl w:ilvl="1">
        <w:start w:val="15"/>
        <w:isLgl/>
        <w:numFmt w:val="decimal"/>
        <w:lvlText w:val="%1.%2"/>
        <w:lvlJc w:val="start"/>
        <w:pPr>
          <w:tabs>
            <w:tab w:val="num" w:pos="1080"/>
          </w:tabs>
          <w:ind w:start="0" w:firstLine="720"/>
        </w:pPr>
        <w:rPr>
          <w:sz w:val="24"/>
          <w:i w:val="false"/>
          <w:b w:val="false"/>
          <w:rFonts w:ascii="Times New Roman" w:hAnsi="Times New Roman"/>
        </w:rPr>
      </w:lvl>
    </w:lvlOverride>
    <w:lvlOverride w:ilvl="1">
      <w:startOverride w:val="15"/>
    </w:lvlOverride>
    <w:lvlOverride w:ilvl="2">
      <w:startOverride w:val="1"/>
    </w:lvlOverride>
    <w:lvlOverride w:ilvl="3">
      <w:lvl w:ilvl="3">
        <w:start w:val="4"/>
        <w:numFmt w:val="lowerRoman"/>
        <w:lvlText w:val="(%4)"/>
        <w:lvlJc w:val="start"/>
        <w:pPr>
          <w:tabs>
            <w:tab w:val="num" w:pos="2880"/>
          </w:tabs>
          <w:ind w:start="1440" w:firstLine="720"/>
        </w:pPr>
        <w:rPr/>
      </w:lvl>
    </w:lvlOverride>
    <w:lvlOverride w:ilvl="3">
      <w:startOverride w:val="4"/>
    </w:lvlOverride>
    <w:lvlOverride w:ilvl="4">
      <w:startOverride w:val="1"/>
    </w:lvlOverride>
    <w:lvlOverride w:ilvl="5">
      <w:lvl w:ilvl="5">
        <w:start w:val="6"/>
        <w:numFmt w:val="decimal"/>
        <w:lvlText w:val="%6."/>
        <w:lvlJc w:val="start"/>
        <w:pPr>
          <w:tabs>
            <w:tab w:val="num" w:pos="1080"/>
          </w:tabs>
          <w:ind w:start="0" w:firstLine="720"/>
        </w:pPr>
        <w:rPr/>
      </w:lvl>
    </w:lvlOverride>
  </w:num>
  <w:num w:numId="29">
    <w:abstractNumId w:val="1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qFormat/>
    <w:pPr>
      <w:keepNext w:val="true"/>
      <w:widowControl/>
      <w:numPr>
        <w:ilvl w:val="0"/>
        <w:numId w:val="10"/>
      </w:numPr>
      <w:spacing w:before="120" w:after="240"/>
      <w:ind w:hanging="0" w:start="0" w:end="0"/>
      <w:jc w:val="center"/>
      <w:textAlignment w:val="auto"/>
    </w:pPr>
    <w:rPr>
      <w:b/>
      <w:sz w:val="24"/>
      <w:lang w:val="en-US" w:eastAsia="en-US"/>
    </w:rPr>
  </w:style>
  <w:style w:type="paragraph" w:styleId="Heading2">
    <w:name w:val="heading 2"/>
    <w:basedOn w:val="Normal"/>
    <w:qFormat/>
    <w:pPr>
      <w:widowControl/>
      <w:numPr>
        <w:ilvl w:val="1"/>
        <w:numId w:val="10"/>
      </w:numPr>
      <w:tabs>
        <w:tab w:val="left" w:pos="720" w:leader="none"/>
        <w:tab w:val="left" w:pos="1080" w:leader="none"/>
      </w:tabs>
      <w:spacing w:before="0" w:after="240"/>
      <w:ind w:firstLine="720" w:start="0" w:end="0"/>
      <w:jc w:val="both"/>
      <w:textAlignment w:val="auto"/>
    </w:pPr>
    <w:rPr>
      <w:sz w:val="24"/>
      <w:lang w:val="en-US" w:eastAsia="en-US"/>
    </w:rPr>
  </w:style>
  <w:style w:type="paragraph" w:styleId="Heading3">
    <w:name w:val="heading 3"/>
    <w:basedOn w:val="Normal"/>
    <w:qFormat/>
    <w:pPr>
      <w:widowControl/>
      <w:numPr>
        <w:ilvl w:val="2"/>
        <w:numId w:val="10"/>
      </w:numPr>
      <w:tabs>
        <w:tab w:val="left" w:pos="720" w:leader="none"/>
        <w:tab w:val="left" w:pos="1080" w:leader="none"/>
      </w:tabs>
      <w:spacing w:before="0" w:after="240"/>
      <w:ind w:firstLine="720" w:start="0" w:end="0"/>
      <w:jc w:val="both"/>
      <w:textAlignment w:val="auto"/>
    </w:pPr>
    <w:rPr>
      <w:sz w:val="24"/>
      <w:lang w:val="en-US" w:eastAsia="en-US"/>
    </w:rPr>
  </w:style>
  <w:style w:type="paragraph" w:styleId="Heading4">
    <w:name w:val="heading 4"/>
    <w:basedOn w:val="Normal"/>
    <w:qFormat/>
    <w:pPr>
      <w:widowControl/>
      <w:numPr>
        <w:ilvl w:val="3"/>
        <w:numId w:val="10"/>
      </w:numPr>
      <w:tabs>
        <w:tab w:val="clear" w:pos="720"/>
        <w:tab w:val="left" w:pos="2160" w:leader="none"/>
        <w:tab w:val="left" w:pos="2880" w:leader="none"/>
      </w:tabs>
      <w:spacing w:before="0" w:after="240"/>
      <w:ind w:firstLine="720" w:start="1440" w:end="0"/>
      <w:jc w:val="both"/>
      <w:textAlignment w:val="auto"/>
    </w:pPr>
    <w:rPr>
      <w:sz w:val="24"/>
      <w:lang w:val="en-US" w:eastAsia="en-US"/>
    </w:rPr>
  </w:style>
  <w:style w:type="paragraph" w:styleId="Heading5">
    <w:name w:val="heading 5"/>
    <w:basedOn w:val="Normal"/>
    <w:qFormat/>
    <w:pPr>
      <w:widowControl/>
      <w:numPr>
        <w:ilvl w:val="4"/>
        <w:numId w:val="10"/>
      </w:numPr>
      <w:tabs>
        <w:tab w:val="left" w:pos="720" w:leader="none"/>
        <w:tab w:val="left" w:pos="3240" w:leader="none"/>
      </w:tabs>
      <w:spacing w:before="0" w:after="240"/>
      <w:ind w:firstLine="720" w:start="2160" w:end="0"/>
      <w:jc w:val="both"/>
      <w:textAlignment w:val="auto"/>
    </w:pPr>
    <w:rPr>
      <w:sz w:val="24"/>
      <w:lang w:val="en-US" w:eastAsia="en-US"/>
    </w:rPr>
  </w:style>
  <w:style w:type="paragraph" w:styleId="Heading6">
    <w:name w:val="heading 6"/>
    <w:basedOn w:val="Normal"/>
    <w:qFormat/>
    <w:pPr>
      <w:widowControl/>
      <w:numPr>
        <w:ilvl w:val="5"/>
        <w:numId w:val="10"/>
      </w:numPr>
      <w:tabs>
        <w:tab w:val="left" w:pos="720" w:leader="none"/>
        <w:tab w:val="left" w:pos="1080" w:leader="none"/>
      </w:tabs>
      <w:spacing w:before="0" w:after="240"/>
      <w:ind w:firstLine="720" w:start="0" w:end="0"/>
      <w:jc w:val="both"/>
      <w:textAlignment w:val="auto"/>
    </w:pPr>
    <w:rPr>
      <w:sz w:val="24"/>
      <w:lang w:val="en-US" w:eastAsia="en-US"/>
    </w:rPr>
  </w:style>
  <w:style w:type="paragraph" w:styleId="Heading7">
    <w:name w:val="heading 7"/>
    <w:basedOn w:val="Normal"/>
    <w:qFormat/>
    <w:pPr>
      <w:widowControl/>
      <w:numPr>
        <w:ilvl w:val="6"/>
        <w:numId w:val="10"/>
      </w:numPr>
      <w:tabs>
        <w:tab w:val="clear" w:pos="720"/>
        <w:tab w:val="left" w:pos="4680" w:leader="none"/>
      </w:tabs>
      <w:spacing w:before="0" w:after="240"/>
      <w:ind w:firstLine="720" w:start="3600" w:end="0"/>
      <w:jc w:val="both"/>
      <w:textAlignment w:val="auto"/>
    </w:pPr>
    <w:rPr>
      <w:sz w:val="24"/>
      <w:lang w:val="en-US" w:eastAsia="en-US"/>
    </w:rPr>
  </w:style>
  <w:style w:type="paragraph" w:styleId="Heading8">
    <w:name w:val="heading 8"/>
    <w:basedOn w:val="Normal"/>
    <w:qFormat/>
    <w:pPr>
      <w:widowControl/>
      <w:numPr>
        <w:ilvl w:val="7"/>
        <w:numId w:val="10"/>
      </w:numPr>
      <w:tabs>
        <w:tab w:val="clear" w:pos="720"/>
        <w:tab w:val="left" w:pos="5760" w:leader="none"/>
      </w:tabs>
      <w:spacing w:before="0" w:after="240"/>
      <w:ind w:firstLine="720" w:start="4320" w:end="0"/>
      <w:jc w:val="both"/>
      <w:textAlignment w:val="auto"/>
    </w:pPr>
    <w:rPr>
      <w:sz w:val="24"/>
      <w:lang w:val="en-US" w:eastAsia="en-US"/>
    </w:rPr>
  </w:style>
  <w:style w:type="paragraph" w:styleId="Heading9">
    <w:name w:val="heading 9"/>
    <w:basedOn w:val="Normal"/>
    <w:qFormat/>
    <w:pPr>
      <w:widowControl/>
      <w:numPr>
        <w:ilvl w:val="8"/>
        <w:numId w:val="10"/>
      </w:numPr>
      <w:tabs>
        <w:tab w:val="clear" w:pos="720"/>
        <w:tab w:val="left" w:pos="1440" w:leader="none"/>
      </w:tabs>
      <w:spacing w:before="0" w:after="240"/>
      <w:ind w:hanging="720" w:start="1440" w:end="0"/>
      <w:jc w:val="both"/>
      <w:textAlignment w:val="auto"/>
    </w:pPr>
    <w:rPr>
      <w:sz w:val="24"/>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u w:val="none"/>
    </w:rPr>
  </w:style>
  <w:style w:type="character" w:styleId="DefaultPara">
    <w:name w:val="Default Para"/>
    <w:qFormat/>
    <w:rPr/>
  </w:style>
  <w:style w:type="character" w:styleId="CommentReference">
    <w:name w:val="annotation reference"/>
    <w:basedOn w:val="DefaultParagraphFont"/>
    <w:qFormat/>
    <w:rPr>
      <w:sz w:val="16"/>
    </w:rPr>
  </w:style>
  <w:style w:type="character" w:styleId="Emphasis">
    <w:name w:val="Emphasis"/>
    <w:basedOn w:val="DefaultParagraphFont"/>
    <w:qFormat/>
    <w:rPr>
      <w:rFonts w:ascii="Times New Roman" w:hAnsi="Times New Roman"/>
      <w:i/>
      <w:sz w:val="24"/>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TMLAcronym">
    <w:name w:val="HTML Acronym"/>
    <w:basedOn w:val="DefaultParagraphFont"/>
    <w:qFormat/>
    <w:rPr/>
  </w:style>
  <w:style w:type="character" w:styleId="HTMLCite">
    <w:name w:val="HTML Cite"/>
    <w:basedOn w:val="DefaultParagraphFont"/>
    <w:qFormat/>
    <w:rPr>
      <w:i/>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SectionHead">
    <w:name w:val="!SectionHead"/>
    <w:qFormat/>
    <w:rPr>
      <w:sz w:val="20"/>
      <w:u w:val="single"/>
    </w:rPr>
  </w:style>
  <w:style w:type="character" w:styleId="VEDocumentInformationDI">
    <w:name w:val="VE Document Information,DI"/>
    <w:basedOn w:val="DefaultParagraphFont"/>
    <w:qFormat/>
    <w:rPr>
      <w:sz w:val="16"/>
    </w:rPr>
  </w:style>
  <w:style w:type="paragraph" w:styleId="Heading">
    <w:name w:val="Heading"/>
    <w:basedOn w:val="Normal"/>
    <w:next w:val="BodyText"/>
    <w:qFormat/>
    <w:pPr>
      <w:widowControl/>
      <w:spacing w:before="0" w:after="240"/>
      <w:ind w:hanging="0" w:start="0" w:end="0"/>
      <w:jc w:val="both"/>
      <w:textAlignment w:val="auto"/>
    </w:pPr>
    <w:rPr>
      <w:sz w:val="24"/>
      <w:lang w:val="en-US" w:eastAsia="en-US"/>
    </w:rPr>
  </w:style>
  <w:style w:type="paragraph" w:styleId="BodyText">
    <w:name w:val="Body Text"/>
    <w:basedOn w:val="Normal"/>
    <w:pPr>
      <w:widowControl/>
      <w:spacing w:before="0" w:after="240"/>
      <w:ind w:hanging="0" w:start="0" w:end="0"/>
      <w:jc w:val="start"/>
      <w:textAlignment w:val="auto"/>
    </w:pPr>
    <w:rPr>
      <w:sz w:val="24"/>
      <w:lang w:val="en-US" w:eastAsia="en-US"/>
    </w:rPr>
  </w:style>
  <w:style w:type="paragraph" w:styleId="List">
    <w:name w:val="List"/>
    <w:basedOn w:val="BodyText"/>
    <w:pPr>
      <w:widowControl/>
      <w:numPr>
        <w:ilvl w:val="0"/>
        <w:numId w:val="3"/>
      </w:numPr>
      <w:tabs>
        <w:tab w:val="left" w:pos="720" w:leader="none"/>
      </w:tabs>
      <w:spacing w:before="0" w:after="240"/>
      <w:ind w:hanging="720" w:start="720" w:end="0"/>
      <w:jc w:val="start"/>
      <w:textAlignment w:val="auto"/>
    </w:pPr>
    <w:rPr>
      <w:sz w:val="24"/>
      <w:lang w:val="en-US" w:eastAsia="en-US"/>
    </w:rPr>
  </w:style>
  <w:style w:type="paragraph" w:styleId="Caption">
    <w:name w:val="caption"/>
    <w:basedOn w:val="Normal"/>
    <w:next w:val="Normal"/>
    <w:qFormat/>
    <w:pPr>
      <w:widowControl/>
      <w:spacing w:before="120" w:after="120"/>
      <w:ind w:hanging="0" w:start="0" w:end="0"/>
      <w:jc w:val="start"/>
      <w:textAlignment w:val="auto"/>
    </w:pPr>
    <w:rPr>
      <w:b/>
      <w:sz w:val="20"/>
      <w:lang w:val="en-US" w:eastAsia="en-US"/>
    </w:rPr>
  </w:style>
  <w:style w:type="paragraph" w:styleId="Index">
    <w:name w:val="Index"/>
    <w:basedOn w:val="Normal"/>
    <w:qFormat/>
    <w:pPr>
      <w:suppressLineNumbers/>
    </w:pPr>
    <w:rPr>
      <w:rFonts w:cs="NotoSans NF"/>
    </w:rPr>
  </w:style>
  <w:style w:type="paragraph" w:styleId="BodyTextFirstIndent">
    <w:name w:val="Body Text First Indent"/>
    <w:basedOn w:val="Normal"/>
    <w:pPr>
      <w:widowControl/>
      <w:spacing w:before="0" w:after="240"/>
      <w:ind w:firstLine="720" w:start="0" w:end="0"/>
      <w:jc w:val="both"/>
      <w:textAlignment w:val="auto"/>
    </w:pPr>
    <w:rPr>
      <w:sz w:val="24"/>
      <w:lang w:val="en-US" w:eastAsia="en-US"/>
    </w:rPr>
  </w:style>
  <w:style w:type="paragraph" w:styleId="BodyText2">
    <w:name w:val="Body Text 2"/>
    <w:basedOn w:val="Normal"/>
    <w:qFormat/>
    <w:pPr>
      <w:widowControl/>
      <w:spacing w:before="0" w:after="200"/>
      <w:ind w:hanging="0" w:start="0" w:end="0"/>
      <w:jc w:val="both"/>
      <w:textAlignment w:val="auto"/>
    </w:pPr>
    <w:rPr>
      <w:sz w:val="20"/>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right" w:pos="9360" w:leader="none"/>
      </w:tabs>
      <w:ind w:hanging="0" w:start="0" w:end="0"/>
      <w:jc w:val="start"/>
      <w:textAlignment w:val="auto"/>
    </w:pPr>
    <w:rPr>
      <w:i/>
      <w:sz w:val="20"/>
      <w:lang w:val="en-US" w:eastAsia="en-US"/>
    </w:rPr>
  </w:style>
  <w:style w:type="paragraph" w:styleId="Title">
    <w:name w:val="Title"/>
    <w:basedOn w:val="Normal"/>
    <w:qFormat/>
    <w:pPr>
      <w:widowControl/>
      <w:spacing w:before="0" w:after="240"/>
      <w:ind w:hanging="0" w:start="0" w:end="0"/>
      <w:jc w:val="center"/>
      <w:textAlignment w:val="auto"/>
      <w:outlineLvl w:val="0"/>
    </w:pPr>
    <w:rPr>
      <w:b/>
      <w:kern w:val="2"/>
      <w:sz w:val="24"/>
      <w:lang w:val="en-US" w:eastAsia="en-US"/>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start="720"/>
      <w:jc w:val="both"/>
      <w:textAlignment w:val="auto"/>
    </w:pPr>
    <w:rPr>
      <w:rFonts w:ascii="Times New Roman" w:hAnsi="Times New Roman" w:eastAsia="Courier New" w:cs="Symbol"/>
      <w:color w:val="auto"/>
      <w:kern w:val="2"/>
      <w:sz w:val="24"/>
      <w:szCs w:val="24"/>
      <w:lang w:val="en-US" w:eastAsia="en-US" w:bidi="hi-IN"/>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start="720"/>
      <w:jc w:val="both"/>
      <w:textAlignment w:val="auto"/>
    </w:pPr>
    <w:rPr>
      <w:rFonts w:ascii="Times New Roman" w:hAnsi="Times New Roman" w:eastAsia="Courier New" w:cs="Symbol"/>
      <w:color w:val="auto"/>
      <w:kern w:val="2"/>
      <w:sz w:val="24"/>
      <w:szCs w:val="24"/>
      <w:lang w:val="en-US" w:eastAsia="en-US" w:bidi="hi-IN"/>
    </w:rPr>
  </w:style>
  <w:style w:type="paragraph" w:styleId="TOC9">
    <w:name w:val="toc 9"/>
    <w:basedOn w:val="Normal"/>
    <w:next w:val="Normal"/>
    <w:autoRedefine/>
    <w:pPr>
      <w:widowControl/>
      <w:ind w:hanging="0" w:start="1920" w:end="0"/>
      <w:jc w:val="start"/>
      <w:textAlignment w:val="auto"/>
    </w:pPr>
    <w:rPr>
      <w:sz w:val="24"/>
      <w:lang w:val="en-US" w:eastAsia="en-US"/>
    </w:rPr>
  </w:style>
  <w:style w:type="paragraph" w:styleId="TOC8">
    <w:name w:val="toc 8"/>
    <w:basedOn w:val="Normal"/>
    <w:next w:val="Normal"/>
    <w:autoRedefine/>
    <w:pPr>
      <w:widowControl/>
      <w:ind w:hanging="0" w:start="1680" w:end="0"/>
      <w:jc w:val="start"/>
      <w:textAlignment w:val="auto"/>
    </w:pPr>
    <w:rPr>
      <w:sz w:val="24"/>
      <w:lang w:val="en-US" w:eastAsia="en-US"/>
    </w:rPr>
  </w:style>
  <w:style w:type="paragraph" w:styleId="TOC7">
    <w:name w:val="toc 7"/>
    <w:basedOn w:val="Normal"/>
    <w:next w:val="Normal"/>
    <w:autoRedefine/>
    <w:pPr>
      <w:widowControl/>
      <w:ind w:hanging="0" w:start="1440" w:end="0"/>
      <w:jc w:val="start"/>
      <w:textAlignment w:val="auto"/>
    </w:pPr>
    <w:rPr>
      <w:sz w:val="24"/>
      <w:lang w:val="en-US" w:eastAsia="en-US"/>
    </w:rPr>
  </w:style>
  <w:style w:type="paragraph" w:styleId="TOC6">
    <w:name w:val="toc 6"/>
    <w:basedOn w:val="Normal"/>
    <w:next w:val="Normal"/>
    <w:autoRedefine/>
    <w:pPr>
      <w:widowControl/>
      <w:ind w:hanging="0" w:start="1200" w:end="0"/>
      <w:jc w:val="start"/>
      <w:textAlignment w:val="auto"/>
    </w:pPr>
    <w:rPr>
      <w:sz w:val="24"/>
      <w:lang w:val="en-US" w:eastAsia="en-US"/>
    </w:rPr>
  </w:style>
  <w:style w:type="paragraph" w:styleId="TOC5">
    <w:name w:val="toc 5"/>
    <w:basedOn w:val="Normal"/>
    <w:next w:val="Normal"/>
    <w:autoRedefine/>
    <w:pPr>
      <w:widowControl/>
      <w:ind w:hanging="0" w:start="960" w:end="0"/>
      <w:jc w:val="start"/>
      <w:textAlignment w:val="auto"/>
    </w:pPr>
    <w:rPr>
      <w:sz w:val="24"/>
      <w:lang w:val="en-US" w:eastAsia="en-US"/>
    </w:rPr>
  </w:style>
  <w:style w:type="paragraph" w:styleId="TOC4">
    <w:name w:val="toc 4"/>
    <w:basedOn w:val="Normal"/>
    <w:next w:val="Normal"/>
    <w:autoRedefine/>
    <w:pPr>
      <w:widowControl/>
      <w:ind w:hanging="0" w:start="720" w:end="0"/>
      <w:jc w:val="start"/>
      <w:textAlignment w:val="auto"/>
    </w:pPr>
    <w:rPr>
      <w:sz w:val="24"/>
      <w:lang w:val="en-US" w:eastAsia="en-US"/>
    </w:rPr>
  </w:style>
  <w:style w:type="paragraph" w:styleId="TOC3">
    <w:name w:val="toc 3"/>
    <w:basedOn w:val="Normal"/>
    <w:next w:val="Normal"/>
    <w:autoRedefine/>
    <w:pPr>
      <w:widowControl/>
      <w:ind w:hanging="0" w:start="480" w:end="0"/>
      <w:jc w:val="start"/>
      <w:textAlignment w:val="auto"/>
    </w:pPr>
    <w:rPr>
      <w:sz w:val="24"/>
      <w:lang w:val="en-US" w:eastAsia="en-US"/>
    </w:rPr>
  </w:style>
  <w:style w:type="paragraph" w:styleId="TOC2">
    <w:name w:val="toc 2"/>
    <w:basedOn w:val="Normal"/>
    <w:next w:val="Normal"/>
    <w:autoRedefine/>
    <w:pPr>
      <w:widowControl/>
      <w:ind w:hanging="720" w:start="1440" w:end="0"/>
      <w:jc w:val="start"/>
      <w:textAlignment w:val="auto"/>
    </w:pPr>
    <w:rPr>
      <w:i/>
      <w:sz w:val="24"/>
      <w:lang w:val="en-US" w:eastAsia="en-US"/>
    </w:rPr>
  </w:style>
  <w:style w:type="paragraph" w:styleId="TOC1">
    <w:name w:val="toc 1"/>
    <w:basedOn w:val="Normal"/>
    <w:next w:val="Normal"/>
    <w:autoRedefine/>
    <w:pPr>
      <w:widowControl/>
      <w:spacing w:before="240" w:after="240"/>
      <w:ind w:hanging="0" w:start="0" w:end="0"/>
      <w:jc w:val="start"/>
      <w:textAlignment w:val="auto"/>
    </w:pPr>
    <w:rPr>
      <w:b/>
      <w:sz w:val="24"/>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Indent3">
    <w:name w:val="Body Text Indent 3"/>
    <w:qFormat/>
    <w:pPr>
      <w:widowControl/>
      <w:bidi w:val="0"/>
      <w:spacing w:before="0" w:after="160"/>
      <w:ind w:hanging="0" w:start="720" w:end="0"/>
      <w:jc w:val="both"/>
      <w:textAlignment w:val="auto"/>
    </w:pPr>
    <w:rPr>
      <w:rFonts w:ascii="Liberation Serif" w:hAnsi="Liberation Serif" w:eastAsia="Liberation Sans" w:cs="NotoSans NF"/>
      <w:color w:val="auto"/>
      <w:kern w:val="2"/>
      <w:sz w:val="16"/>
      <w:szCs w:val="24"/>
      <w:lang w:val="en-US" w:eastAsia="en-US" w:bidi="hi-IN"/>
    </w:rPr>
  </w:style>
  <w:style w:type="paragraph" w:styleId="Closing">
    <w:name w:val="Closing"/>
    <w:basedOn w:val="Normal"/>
    <w:pPr>
      <w:widowControl/>
      <w:ind w:hanging="0" w:start="4320" w:end="0"/>
      <w:jc w:val="start"/>
      <w:textAlignment w:val="auto"/>
    </w:pPr>
    <w:rPr>
      <w:sz w:val="24"/>
      <w:lang w:val="en-US" w:eastAsia="en-US"/>
    </w:rPr>
  </w:style>
  <w:style w:type="paragraph" w:styleId="CommentText">
    <w:name w:val="annotation text"/>
    <w:basedOn w:val="Normal"/>
    <w:pPr>
      <w:widowControl/>
      <w:ind w:hanging="0" w:start="0" w:end="0"/>
      <w:jc w:val="start"/>
      <w:textAlignment w:val="auto"/>
    </w:pPr>
    <w:rPr>
      <w:sz w:val="24"/>
      <w:lang w:val="en-US" w:eastAsia="en-US"/>
    </w:rPr>
  </w:style>
  <w:style w:type="paragraph" w:styleId="Date">
    <w:name w:val="Date"/>
    <w:basedOn w:val="Normal"/>
    <w:next w:val="BodyText"/>
    <w:qFormat/>
    <w:pPr>
      <w:widowControl/>
      <w:spacing w:before="0" w:after="1200"/>
      <w:ind w:hanging="0" w:start="0" w:end="0"/>
      <w:jc w:val="center"/>
      <w:textAlignment w:val="auto"/>
    </w:pPr>
    <w:rPr>
      <w:sz w:val="24"/>
      <w:lang w:val="en-US" w:eastAsia="en-US"/>
    </w:rPr>
  </w:style>
  <w:style w:type="paragraph" w:styleId="E-mailSignature">
    <w:name w:val="E-mail Signature"/>
    <w:basedOn w:val="Normal"/>
    <w:qFormat/>
    <w:pPr>
      <w:widowControl/>
      <w:ind w:hanging="0" w:start="0" w:end="0"/>
      <w:jc w:val="start"/>
      <w:textAlignment w:val="auto"/>
    </w:pPr>
    <w:rPr>
      <w:sz w:val="24"/>
      <w:lang w:val="en-US" w:eastAsia="en-US"/>
    </w:rPr>
  </w:style>
  <w:style w:type="paragraph" w:styleId="EndnoteText">
    <w:name w:val="endnote text"/>
    <w:basedOn w:val="Normal"/>
    <w:pPr>
      <w:widowControl/>
      <w:ind w:hanging="0" w:start="0" w:end="0"/>
      <w:jc w:val="start"/>
      <w:textAlignment w:val="auto"/>
    </w:pPr>
    <w:rPr>
      <w:sz w:val="20"/>
      <w:lang w:val="en-US" w:eastAsia="en-US"/>
    </w:rPr>
  </w:style>
  <w:style w:type="paragraph" w:styleId="EnvelopeAddress">
    <w:name w:val="envelope address"/>
    <w:basedOn w:val="Normal"/>
    <w:pPr>
      <w:widowControl/>
      <w:ind w:hanging="0" w:start="2880" w:end="0"/>
      <w:jc w:val="start"/>
      <w:textAlignment w:val="auto"/>
    </w:pPr>
    <w:rPr>
      <w:rFonts w:ascii="Arial" w:hAnsi="Arial"/>
      <w:sz w:val="24"/>
      <w:lang w:val="en-US" w:eastAsia="en-US"/>
    </w:rPr>
  </w:style>
  <w:style w:type="paragraph" w:styleId="EnvelopeReturn">
    <w:name w:val="envelope return"/>
    <w:basedOn w:val="Normal"/>
    <w:pPr>
      <w:widowControl/>
      <w:ind w:hanging="0" w:start="0" w:end="0"/>
      <w:jc w:val="start"/>
      <w:textAlignment w:val="auto"/>
    </w:pPr>
    <w:rPr>
      <w:rFonts w:ascii="Arial" w:hAnsi="Arial"/>
      <w:sz w:val="20"/>
      <w:lang w:val="en-US" w:eastAsia="en-US"/>
    </w:rPr>
  </w:style>
  <w:style w:type="paragraph" w:styleId="FootnoteText">
    <w:name w:val="footnote text"/>
    <w:basedOn w:val="Normal"/>
    <w:pPr>
      <w:widowControl/>
      <w:spacing w:before="0" w:after="200"/>
      <w:ind w:hanging="0" w:start="0" w:end="0"/>
      <w:jc w:val="both"/>
      <w:textAlignment w:val="auto"/>
    </w:pPr>
    <w:rPr>
      <w:sz w:val="20"/>
      <w:lang w:val="en-US" w:eastAsia="en-US"/>
    </w:rPr>
  </w:style>
  <w:style w:type="paragraph" w:styleId="HTMLAddress">
    <w:name w:val="HTML Address"/>
    <w:basedOn w:val="Normal"/>
    <w:qFormat/>
    <w:pPr>
      <w:widowControl/>
      <w:ind w:hanging="0" w:start="0" w:end="0"/>
      <w:jc w:val="start"/>
      <w:textAlignment w:val="auto"/>
    </w:pPr>
    <w:rPr>
      <w:i/>
      <w:sz w:val="24"/>
      <w:lang w:val="en-US" w:eastAsia="en-US"/>
    </w:rPr>
  </w:style>
  <w:style w:type="paragraph" w:styleId="HTMLPreformatted">
    <w:name w:val="HTML Preformatted"/>
    <w:basedOn w:val="Normal"/>
    <w:qFormat/>
    <w:pPr>
      <w:widowControl/>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ind w:hanging="240" w:start="240" w:end="0"/>
      <w:jc w:val="start"/>
      <w:textAlignment w:val="auto"/>
    </w:pPr>
    <w:rPr>
      <w:sz w:val="24"/>
      <w:lang w:val="en-US" w:eastAsia="en-US"/>
    </w:rPr>
  </w:style>
  <w:style w:type="paragraph" w:styleId="Index2">
    <w:name w:val="index 2"/>
    <w:basedOn w:val="Normal"/>
    <w:next w:val="Normal"/>
    <w:autoRedefine/>
    <w:pPr>
      <w:widowControl/>
      <w:ind w:hanging="240" w:start="480" w:end="0"/>
      <w:jc w:val="start"/>
      <w:textAlignment w:val="auto"/>
    </w:pPr>
    <w:rPr>
      <w:sz w:val="24"/>
      <w:lang w:val="en-US" w:eastAsia="en-US"/>
    </w:rPr>
  </w:style>
  <w:style w:type="paragraph" w:styleId="Index3">
    <w:name w:val="index 3"/>
    <w:basedOn w:val="Normal"/>
    <w:next w:val="Normal"/>
    <w:autoRedefine/>
    <w:pPr>
      <w:widowControl/>
      <w:ind w:hanging="240" w:start="720" w:end="0"/>
      <w:jc w:val="start"/>
      <w:textAlignment w:val="auto"/>
    </w:pPr>
    <w:rPr>
      <w:sz w:val="24"/>
      <w:lang w:val="en-US" w:eastAsia="en-US"/>
    </w:rPr>
  </w:style>
  <w:style w:type="paragraph" w:styleId="Index4">
    <w:name w:val="index 4"/>
    <w:basedOn w:val="Normal"/>
    <w:next w:val="Normal"/>
    <w:autoRedefine/>
    <w:qFormat/>
    <w:pPr>
      <w:widowControl/>
      <w:ind w:hanging="240" w:start="960" w:end="0"/>
      <w:jc w:val="start"/>
      <w:textAlignment w:val="auto"/>
    </w:pPr>
    <w:rPr>
      <w:sz w:val="24"/>
      <w:lang w:val="en-US" w:eastAsia="en-US"/>
    </w:rPr>
  </w:style>
  <w:style w:type="paragraph" w:styleId="Index5">
    <w:name w:val="index 5"/>
    <w:basedOn w:val="Normal"/>
    <w:next w:val="Normal"/>
    <w:autoRedefine/>
    <w:qFormat/>
    <w:pPr>
      <w:widowControl/>
      <w:ind w:hanging="240" w:start="1200" w:end="0"/>
      <w:jc w:val="start"/>
      <w:textAlignment w:val="auto"/>
    </w:pPr>
    <w:rPr>
      <w:sz w:val="24"/>
      <w:lang w:val="en-US" w:eastAsia="en-US"/>
    </w:rPr>
  </w:style>
  <w:style w:type="paragraph" w:styleId="Index6">
    <w:name w:val="index 6"/>
    <w:basedOn w:val="Normal"/>
    <w:next w:val="Normal"/>
    <w:autoRedefine/>
    <w:qFormat/>
    <w:pPr>
      <w:widowControl/>
      <w:ind w:hanging="240" w:start="1440" w:end="0"/>
      <w:jc w:val="start"/>
      <w:textAlignment w:val="auto"/>
    </w:pPr>
    <w:rPr>
      <w:sz w:val="24"/>
      <w:lang w:val="en-US" w:eastAsia="en-US"/>
    </w:rPr>
  </w:style>
  <w:style w:type="paragraph" w:styleId="Index7">
    <w:name w:val="index 7"/>
    <w:basedOn w:val="Normal"/>
    <w:next w:val="Normal"/>
    <w:autoRedefine/>
    <w:qFormat/>
    <w:pPr>
      <w:widowControl/>
      <w:ind w:hanging="240" w:start="1680" w:end="0"/>
      <w:jc w:val="start"/>
      <w:textAlignment w:val="auto"/>
    </w:pPr>
    <w:rPr>
      <w:sz w:val="24"/>
      <w:lang w:val="en-US" w:eastAsia="en-US"/>
    </w:rPr>
  </w:style>
  <w:style w:type="paragraph" w:styleId="Index8">
    <w:name w:val="index 8"/>
    <w:basedOn w:val="Normal"/>
    <w:next w:val="Normal"/>
    <w:autoRedefine/>
    <w:qFormat/>
    <w:pPr>
      <w:widowControl/>
      <w:ind w:hanging="240" w:start="1920" w:end="0"/>
      <w:jc w:val="start"/>
      <w:textAlignment w:val="auto"/>
    </w:pPr>
    <w:rPr>
      <w:sz w:val="24"/>
      <w:lang w:val="en-US" w:eastAsia="en-US"/>
    </w:rPr>
  </w:style>
  <w:style w:type="paragraph" w:styleId="Index9">
    <w:name w:val="index 9"/>
    <w:basedOn w:val="Normal"/>
    <w:next w:val="Normal"/>
    <w:autoRedefine/>
    <w:qFormat/>
    <w:pPr>
      <w:widowControl/>
      <w:ind w:hanging="240" w:start="2160" w:end="0"/>
      <w:jc w:val="start"/>
      <w:textAlignment w:val="auto"/>
    </w:pPr>
    <w:rPr>
      <w:sz w:val="24"/>
      <w:lang w:val="en-US" w:eastAsia="en-US"/>
    </w:rPr>
  </w:style>
  <w:style w:type="paragraph" w:styleId="IndexHeading">
    <w:name w:val="index heading"/>
    <w:basedOn w:val="Normal"/>
    <w:next w:val="Index1"/>
    <w:pPr>
      <w:widowControl/>
      <w:ind w:hanging="0" w:start="0" w:end="0"/>
      <w:jc w:val="start"/>
      <w:textAlignment w:val="auto"/>
    </w:pPr>
    <w:rPr>
      <w:rFonts w:ascii="Arial" w:hAnsi="Arial"/>
      <w:b/>
      <w:sz w:val="24"/>
      <w:lang w:val="en-US" w:eastAsia="en-US"/>
    </w:rPr>
  </w:style>
  <w:style w:type="paragraph" w:styleId="List2">
    <w:name w:val="List 2"/>
    <w:basedOn w:val="BodyText"/>
    <w:qFormat/>
    <w:pPr>
      <w:widowControl/>
      <w:numPr>
        <w:ilvl w:val="1"/>
        <w:numId w:val="3"/>
      </w:numPr>
      <w:tabs>
        <w:tab w:val="clear" w:pos="720"/>
        <w:tab w:val="left" w:pos="1440" w:leader="none"/>
      </w:tabs>
      <w:spacing w:before="0" w:after="240"/>
      <w:ind w:hanging="720" w:start="1440" w:end="0"/>
      <w:jc w:val="start"/>
      <w:textAlignment w:val="auto"/>
    </w:pPr>
    <w:rPr>
      <w:sz w:val="24"/>
      <w:lang w:val="en-US" w:eastAsia="en-US"/>
    </w:rPr>
  </w:style>
  <w:style w:type="paragraph" w:styleId="List3">
    <w:name w:val="List 3"/>
    <w:basedOn w:val="BodyText"/>
    <w:qFormat/>
    <w:pPr>
      <w:widowControl/>
      <w:numPr>
        <w:ilvl w:val="2"/>
        <w:numId w:val="3"/>
      </w:numPr>
      <w:tabs>
        <w:tab w:val="clear" w:pos="720"/>
        <w:tab w:val="left" w:pos="2160" w:leader="none"/>
      </w:tabs>
      <w:spacing w:before="0" w:after="240"/>
      <w:ind w:hanging="720" w:start="2160" w:end="0"/>
      <w:jc w:val="start"/>
      <w:textAlignment w:val="auto"/>
    </w:pPr>
    <w:rPr>
      <w:sz w:val="24"/>
      <w:lang w:val="en-US" w:eastAsia="en-US"/>
    </w:rPr>
  </w:style>
  <w:style w:type="paragraph" w:styleId="List4">
    <w:name w:val="List 4"/>
    <w:basedOn w:val="BodyText"/>
    <w:qFormat/>
    <w:pPr>
      <w:widowControl/>
      <w:numPr>
        <w:ilvl w:val="3"/>
        <w:numId w:val="12"/>
      </w:numPr>
      <w:tabs>
        <w:tab w:val="clear" w:pos="720"/>
        <w:tab w:val="left" w:pos="2880" w:leader="none"/>
      </w:tabs>
      <w:spacing w:before="0" w:after="240"/>
      <w:ind w:hanging="720" w:start="2880" w:end="0"/>
      <w:jc w:val="start"/>
      <w:textAlignment w:val="auto"/>
    </w:pPr>
    <w:rPr>
      <w:sz w:val="24"/>
      <w:lang w:val="en-US" w:eastAsia="en-US"/>
    </w:rPr>
  </w:style>
  <w:style w:type="paragraph" w:styleId="List5">
    <w:name w:val="List 5"/>
    <w:basedOn w:val="BodyText"/>
    <w:qFormat/>
    <w:pPr>
      <w:widowControl/>
      <w:spacing w:before="0" w:after="240"/>
      <w:ind w:hanging="720" w:start="3600" w:end="0"/>
      <w:jc w:val="start"/>
      <w:textAlignment w:val="auto"/>
    </w:pPr>
    <w:rPr>
      <w:sz w:val="24"/>
      <w:lang w:val="en-US" w:eastAsia="en-US"/>
    </w:rPr>
  </w:style>
  <w:style w:type="paragraph" w:styleId="ListBullet">
    <w:name w:val="List Bullet"/>
    <w:basedOn w:val="Normal"/>
    <w:autoRedefine/>
    <w:pPr>
      <w:widowControl/>
      <w:numPr>
        <w:ilvl w:val="0"/>
        <w:numId w:val="1"/>
      </w:numPr>
      <w:ind w:hanging="360" w:start="360" w:end="0"/>
      <w:jc w:val="start"/>
      <w:textAlignment w:val="auto"/>
    </w:pPr>
    <w:rPr>
      <w:sz w:val="24"/>
      <w:lang w:val="en-US" w:eastAsia="en-US"/>
    </w:rPr>
  </w:style>
  <w:style w:type="paragraph" w:styleId="ListBullet2">
    <w:name w:val="List Bullet 2"/>
    <w:basedOn w:val="Normal"/>
    <w:autoRedefine/>
    <w:pPr>
      <w:widowControl/>
      <w:numPr>
        <w:ilvl w:val="0"/>
        <w:numId w:val="2"/>
      </w:numPr>
      <w:ind w:hanging="360" w:start="720" w:end="0"/>
      <w:jc w:val="start"/>
      <w:textAlignment w:val="auto"/>
    </w:pPr>
    <w:rPr>
      <w:sz w:val="24"/>
      <w:lang w:val="en-US" w:eastAsia="en-US"/>
    </w:rPr>
  </w:style>
  <w:style w:type="paragraph" w:styleId="ListBullet3">
    <w:name w:val="List Bullet 3"/>
    <w:basedOn w:val="Normal"/>
    <w:autoRedefine/>
    <w:pPr>
      <w:widowControl/>
      <w:numPr>
        <w:ilvl w:val="0"/>
        <w:numId w:val="3"/>
      </w:numPr>
      <w:ind w:hanging="360" w:start="1080" w:end="0"/>
      <w:jc w:val="start"/>
      <w:textAlignment w:val="auto"/>
    </w:pPr>
    <w:rPr>
      <w:sz w:val="24"/>
      <w:lang w:val="en-US" w:eastAsia="en-US"/>
    </w:rPr>
  </w:style>
  <w:style w:type="paragraph" w:styleId="ListBullet4">
    <w:name w:val="List Bullet 4"/>
    <w:basedOn w:val="Normal"/>
    <w:autoRedefine/>
    <w:pPr>
      <w:widowControl/>
      <w:numPr>
        <w:ilvl w:val="0"/>
        <w:numId w:val="4"/>
      </w:numPr>
      <w:ind w:hanging="360" w:start="1440" w:end="0"/>
      <w:jc w:val="start"/>
      <w:textAlignment w:val="auto"/>
    </w:pPr>
    <w:rPr>
      <w:sz w:val="24"/>
      <w:lang w:val="en-US" w:eastAsia="en-US"/>
    </w:rPr>
  </w:style>
  <w:style w:type="paragraph" w:styleId="ListBullet5">
    <w:name w:val="List Bullet 5"/>
    <w:basedOn w:val="Normal"/>
    <w:autoRedefine/>
    <w:pPr>
      <w:widowControl/>
      <w:numPr>
        <w:ilvl w:val="0"/>
        <w:numId w:val="5"/>
      </w:numPr>
      <w:ind w:hanging="360" w:start="1800" w:end="0"/>
      <w:jc w:val="start"/>
      <w:textAlignment w:val="auto"/>
    </w:pPr>
    <w:rPr>
      <w:sz w:val="24"/>
      <w:lang w:val="en-US" w:eastAsia="en-US"/>
    </w:rPr>
  </w:style>
  <w:style w:type="paragraph" w:styleId="ListContinue">
    <w:name w:val="List Continue"/>
    <w:basedOn w:val="BodyText"/>
    <w:pPr>
      <w:widowControl/>
      <w:spacing w:before="0" w:after="240"/>
      <w:ind w:hanging="0" w:start="720" w:end="0"/>
      <w:jc w:val="start"/>
      <w:textAlignment w:val="auto"/>
    </w:pPr>
    <w:rPr>
      <w:sz w:val="24"/>
      <w:lang w:val="en-US" w:eastAsia="en-US"/>
    </w:rPr>
  </w:style>
  <w:style w:type="paragraph" w:styleId="ListContinue2">
    <w:name w:val="List Continue 2"/>
    <w:basedOn w:val="BodyText"/>
    <w:pPr>
      <w:widowControl/>
      <w:spacing w:before="0" w:after="240"/>
      <w:ind w:hanging="0" w:start="1440" w:end="0"/>
      <w:jc w:val="start"/>
      <w:textAlignment w:val="auto"/>
    </w:pPr>
    <w:rPr>
      <w:sz w:val="24"/>
      <w:lang w:val="en-US" w:eastAsia="en-US"/>
    </w:rPr>
  </w:style>
  <w:style w:type="paragraph" w:styleId="ListContinue3">
    <w:name w:val="List Continue 3"/>
    <w:basedOn w:val="Normal"/>
    <w:pPr>
      <w:widowControl/>
      <w:spacing w:before="0" w:after="120"/>
      <w:ind w:hanging="0" w:start="1080" w:end="0"/>
      <w:jc w:val="start"/>
      <w:textAlignment w:val="auto"/>
    </w:pPr>
    <w:rPr>
      <w:sz w:val="24"/>
      <w:lang w:val="en-US" w:eastAsia="en-US"/>
    </w:rPr>
  </w:style>
  <w:style w:type="paragraph" w:styleId="ListContinue4">
    <w:name w:val="List Continue 4"/>
    <w:basedOn w:val="Normal"/>
    <w:pPr>
      <w:widowControl/>
      <w:spacing w:before="0" w:after="120"/>
      <w:ind w:hanging="0" w:start="1440" w:end="0"/>
      <w:jc w:val="start"/>
      <w:textAlignment w:val="auto"/>
    </w:pPr>
    <w:rPr>
      <w:sz w:val="24"/>
      <w:lang w:val="en-US" w:eastAsia="en-US"/>
    </w:rPr>
  </w:style>
  <w:style w:type="paragraph" w:styleId="ListContinue5">
    <w:name w:val="List Continue 5"/>
    <w:basedOn w:val="Normal"/>
    <w:pPr>
      <w:widowControl/>
      <w:spacing w:before="0" w:after="120"/>
      <w:ind w:hanging="0" w:start="1800" w:end="0"/>
      <w:jc w:val="start"/>
      <w:textAlignment w:val="auto"/>
    </w:pPr>
    <w:rPr>
      <w:sz w:val="24"/>
      <w:lang w:val="en-US" w:eastAsia="en-US"/>
    </w:rPr>
  </w:style>
  <w:style w:type="paragraph" w:styleId="ListNumber">
    <w:name w:val="List Number"/>
    <w:basedOn w:val="Normal"/>
    <w:pPr>
      <w:widowControl/>
      <w:numPr>
        <w:ilvl w:val="0"/>
        <w:numId w:val="6"/>
      </w:numPr>
      <w:ind w:hanging="360" w:start="360" w:end="0"/>
      <w:jc w:val="start"/>
      <w:textAlignment w:val="auto"/>
    </w:pPr>
    <w:rPr>
      <w:sz w:val="24"/>
      <w:lang w:val="en-US" w:eastAsia="en-US"/>
    </w:rPr>
  </w:style>
  <w:style w:type="paragraph" w:styleId="ListNumber2">
    <w:name w:val="List Number 2"/>
    <w:basedOn w:val="Normal"/>
    <w:pPr>
      <w:widowControl/>
      <w:numPr>
        <w:ilvl w:val="0"/>
        <w:numId w:val="7"/>
      </w:numPr>
      <w:ind w:hanging="360" w:start="720" w:end="0"/>
      <w:jc w:val="start"/>
      <w:textAlignment w:val="auto"/>
    </w:pPr>
    <w:rPr>
      <w:sz w:val="24"/>
      <w:lang w:val="en-US" w:eastAsia="en-US"/>
    </w:rPr>
  </w:style>
  <w:style w:type="paragraph" w:styleId="ListNumber3">
    <w:name w:val="List Number 3"/>
    <w:basedOn w:val="Normal"/>
    <w:pPr>
      <w:widowControl/>
      <w:numPr>
        <w:ilvl w:val="0"/>
        <w:numId w:val="8"/>
      </w:numPr>
      <w:ind w:hanging="360" w:start="1080" w:end="0"/>
      <w:jc w:val="start"/>
      <w:textAlignment w:val="auto"/>
    </w:pPr>
    <w:rPr>
      <w:sz w:val="24"/>
      <w:lang w:val="en-US" w:eastAsia="en-US"/>
    </w:rPr>
  </w:style>
  <w:style w:type="paragraph" w:styleId="ListNumber4">
    <w:name w:val="List Number 4"/>
    <w:basedOn w:val="Normal"/>
    <w:pPr>
      <w:widowControl/>
      <w:numPr>
        <w:ilvl w:val="0"/>
        <w:numId w:val="9"/>
      </w:numPr>
      <w:ind w:hanging="360" w:start="1440" w:end="0"/>
      <w:jc w:val="start"/>
      <w:textAlignment w:val="auto"/>
    </w:pPr>
    <w:rPr>
      <w:sz w:val="24"/>
      <w:lang w:val="en-US" w:eastAsia="en-US"/>
    </w:rPr>
  </w:style>
  <w:style w:type="paragraph" w:styleId="ListNumber5">
    <w:name w:val="List Number 5"/>
    <w:basedOn w:val="Normal"/>
    <w:pPr>
      <w:widowControl/>
      <w:numPr>
        <w:ilvl w:val="0"/>
        <w:numId w:val="10"/>
      </w:numPr>
      <w:ind w:hanging="360" w:start="1800" w:end="0"/>
      <w:jc w:val="start"/>
      <w:textAlignment w:val="auto"/>
    </w:pPr>
    <w:rPr>
      <w:sz w:val="24"/>
      <w:lang w:val="en-US" w:eastAsia="en-US"/>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ind w:hanging="0" w:start="0" w:end="0"/>
      <w:jc w:val="start"/>
      <w:textAlignment w:val="auto"/>
    </w:pPr>
    <w:rPr>
      <w:sz w:val="24"/>
      <w:lang w:val="en-US" w:eastAsia="en-US"/>
    </w:rPr>
  </w:style>
  <w:style w:type="paragraph" w:styleId="NormalIndent">
    <w:name w:val="Normal Indent"/>
    <w:basedOn w:val="Normal"/>
    <w:qFormat/>
    <w:pPr>
      <w:widowControl/>
      <w:ind w:hanging="0" w:start="720" w:end="0"/>
      <w:jc w:val="start"/>
      <w:textAlignment w:val="auto"/>
    </w:pPr>
    <w:rPr>
      <w:sz w:val="24"/>
      <w:lang w:val="en-US" w:eastAsia="en-US"/>
    </w:rPr>
  </w:style>
  <w:style w:type="paragraph" w:styleId="NoteHeading">
    <w:name w:val="Note Heading"/>
    <w:basedOn w:val="Normal"/>
    <w:next w:val="Normal"/>
    <w:qFormat/>
    <w:pPr>
      <w:widowControl/>
      <w:ind w:hanging="0" w:start="0" w:end="0"/>
      <w:jc w:val="start"/>
      <w:textAlignment w:val="auto"/>
    </w:pPr>
    <w:rPr>
      <w:sz w:val="24"/>
      <w:lang w:val="en-US" w:eastAsia="en-US"/>
    </w:rPr>
  </w:style>
  <w:style w:type="paragraph" w:styleId="PlainText">
    <w:name w:val="Plain Text"/>
    <w:basedOn w:val="Normal"/>
    <w:qFormat/>
    <w:pPr>
      <w:widowControl/>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ind w:hanging="0" w:start="0" w:end="0"/>
      <w:jc w:val="start"/>
      <w:textAlignment w:val="auto"/>
    </w:pPr>
    <w:rPr>
      <w:sz w:val="24"/>
      <w:lang w:val="en-US" w:eastAsia="en-US"/>
    </w:rPr>
  </w:style>
  <w:style w:type="paragraph" w:styleId="Signature">
    <w:name w:val="Signature"/>
    <w:basedOn w:val="Normal"/>
    <w:pPr>
      <w:widowControl/>
      <w:tabs>
        <w:tab w:val="clear" w:pos="720"/>
        <w:tab w:val="left" w:pos="5040" w:leader="none"/>
        <w:tab w:val="right" w:pos="8640" w:leader="none"/>
      </w:tabs>
      <w:ind w:hanging="0" w:start="4320" w:end="0"/>
      <w:jc w:val="start"/>
      <w:textAlignment w:val="auto"/>
    </w:pPr>
    <w:rPr>
      <w:sz w:val="24"/>
      <w:lang w:val="en-US" w:eastAsia="en-US"/>
    </w:rPr>
  </w:style>
  <w:style w:type="paragraph" w:styleId="Subtitle">
    <w:name w:val="Subtitle"/>
    <w:basedOn w:val="Normal"/>
    <w:qFormat/>
    <w:pPr>
      <w:widowControl/>
      <w:spacing w:before="0" w:after="60"/>
      <w:ind w:hanging="0" w:start="0" w:end="0"/>
      <w:jc w:val="center"/>
      <w:textAlignment w:val="auto"/>
      <w:outlineLvl w:val="1"/>
    </w:pPr>
    <w:rPr>
      <w:rFonts w:ascii="Arial" w:hAnsi="Arial"/>
      <w:sz w:val="24"/>
      <w:lang w:val="en-US" w:eastAsia="en-US"/>
    </w:rPr>
  </w:style>
  <w:style w:type="paragraph" w:styleId="TableofAuthorities">
    <w:name w:val="table of authorities"/>
    <w:basedOn w:val="Normal"/>
    <w:next w:val="Normal"/>
    <w:pPr>
      <w:widowControl/>
      <w:ind w:hanging="240" w:start="240" w:end="0"/>
      <w:jc w:val="start"/>
      <w:textAlignment w:val="auto"/>
    </w:pPr>
    <w:rPr>
      <w:sz w:val="24"/>
      <w:lang w:val="en-US" w:eastAsia="en-US"/>
    </w:rPr>
  </w:style>
  <w:style w:type="paragraph" w:styleId="TableofFigures">
    <w:name w:val="table of figures"/>
    <w:basedOn w:val="Normal"/>
    <w:next w:val="Normal"/>
    <w:pPr>
      <w:widowControl/>
      <w:ind w:hanging="480" w:start="480" w:end="0"/>
      <w:jc w:val="start"/>
      <w:textAlignment w:val="auto"/>
    </w:pPr>
    <w:rPr>
      <w:sz w:val="24"/>
      <w:lang w:val="en-US" w:eastAsia="en-US"/>
    </w:rPr>
  </w:style>
  <w:style w:type="paragraph" w:styleId="toaheading">
    <w:name w:val="toa heading"/>
    <w:basedOn w:val="Normal"/>
    <w:next w:val="Normal"/>
    <w:qFormat/>
    <w:pPr>
      <w:widowControl/>
      <w:spacing w:before="120" w:after="0"/>
      <w:ind w:hanging="0" w:start="0" w:end="0"/>
      <w:jc w:val="start"/>
      <w:textAlignment w:val="auto"/>
    </w:pPr>
    <w:rPr>
      <w:rFonts w:ascii="Arial" w:hAnsi="Arial"/>
      <w:b/>
      <w:sz w:val="24"/>
      <w:lang w:val="en-US" w:eastAsia="en-US"/>
    </w:rPr>
  </w:style>
  <w:style w:type="paragraph" w:styleId="Notices">
    <w:name w:val="Notices"/>
    <w:basedOn w:val="BodyText"/>
    <w:qFormat/>
    <w:pPr>
      <w:keepLines/>
      <w:widowControl/>
      <w:tabs>
        <w:tab w:val="clear" w:pos="720"/>
        <w:tab w:val="left" w:pos="2160" w:leader="none"/>
      </w:tabs>
      <w:spacing w:before="0" w:after="240"/>
      <w:ind w:hanging="2880" w:start="4320" w:end="0"/>
      <w:jc w:val="start"/>
      <w:textAlignment w:val="auto"/>
    </w:pPr>
    <w:rPr>
      <w:sz w:val="24"/>
      <w:lang w:val="en-US" w:eastAsia="en-US"/>
    </w:rPr>
  </w:style>
  <w:style w:type="paragraph" w:styleId="SignatureLines">
    <w:name w:val="Signature Lines"/>
    <w:basedOn w:val="Signature"/>
    <w:qFormat/>
    <w:pPr>
      <w:widowControl/>
      <w:tabs>
        <w:tab w:val="clear" w:pos="5040"/>
        <w:tab w:val="left" w:pos="8640" w:leader="none"/>
      </w:tabs>
      <w:spacing w:lineRule="auto" w:line="360"/>
      <w:ind w:hanging="0" w:start="4320" w:end="0"/>
      <w:jc w:val="start"/>
      <w:textAlignment w:val="auto"/>
    </w:pPr>
    <w:rPr>
      <w:sz w:val="24"/>
      <w:lang w:val="en-US" w:eastAsia="en-US"/>
    </w:rPr>
  </w:style>
  <w:style w:type="paragraph" w:styleId="ExhibitHeading">
    <w:name w:val="Exhibit Heading"/>
    <w:basedOn w:val="Normal"/>
    <w:next w:val="Title"/>
    <w:qFormat/>
    <w:pPr>
      <w:widowControl/>
      <w:spacing w:before="0" w:after="240"/>
      <w:ind w:hanging="0" w:start="0" w:end="0"/>
      <w:jc w:val="end"/>
      <w:textAlignment w:val="auto"/>
    </w:pPr>
    <w:rPr>
      <w:b/>
      <w:sz w:val="24"/>
      <w:lang w:val="en-US" w:eastAsia="en-US"/>
    </w:rPr>
  </w:style>
  <w:style w:type="paragraph" w:styleId="ti">
    <w:name w:val="ti"/>
    <w:basedOn w:val="BodyText"/>
    <w:qFormat/>
    <w:pPr>
      <w:widowControl/>
      <w:spacing w:before="0" w:after="240"/>
      <w:ind w:hanging="0" w:start="0" w:end="0"/>
      <w:jc w:val="both"/>
      <w:textAlignment w:val="auto"/>
    </w:pPr>
    <w:rPr>
      <w:sz w:val="24"/>
      <w:lang w:val="en-US" w:eastAsia="en-US"/>
    </w:rPr>
  </w:style>
  <w:style w:type="paragraph" w:styleId="BlockText">
    <w:name w:val="Block Text"/>
    <w:basedOn w:val="Normal"/>
    <w:qFormat/>
    <w:pPr>
      <w:widowControl/>
      <w:spacing w:before="0" w:after="240"/>
      <w:ind w:hanging="0" w:start="720" w:end="720"/>
      <w:jc w:val="both"/>
      <w:textAlignment w:val="auto"/>
    </w:pPr>
    <w:rPr>
      <w:sz w:val="24"/>
      <w:lang w:val="en-US" w:eastAsia="en-US"/>
    </w:rPr>
  </w:style>
  <w:style w:type="paragraph" w:styleId="BodyText3">
    <w:name w:val="Body Text 3"/>
    <w:basedOn w:val="Normal"/>
    <w:qFormat/>
    <w:pPr>
      <w:widowControl/>
      <w:spacing w:before="0" w:after="160"/>
      <w:ind w:hanging="0" w:start="0" w:end="0"/>
      <w:jc w:val="both"/>
      <w:textAlignment w:val="auto"/>
    </w:pPr>
    <w:rPr>
      <w:sz w:val="16"/>
      <w:lang w:val="en-US" w:eastAsia="en-US"/>
    </w:rPr>
  </w:style>
  <w:style w:type="paragraph" w:styleId="BodyTextFirstIndent2">
    <w:name w:val="Body Text First Indent 2"/>
    <w:basedOn w:val="BodyTextFirstIndent"/>
    <w:qFormat/>
    <w:pPr>
      <w:widowControl/>
      <w:spacing w:before="0" w:after="240"/>
      <w:ind w:firstLine="1440" w:start="0" w:end="0"/>
      <w:jc w:val="both"/>
      <w:textAlignment w:val="auto"/>
    </w:pPr>
    <w:rPr>
      <w:sz w:val="24"/>
      <w:lang w:val="en-US" w:eastAsia="en-US"/>
    </w:rPr>
  </w:style>
  <w:style w:type="paragraph" w:styleId="BodyTextIndent2">
    <w:name w:val="Body Text Indent 2"/>
    <w:basedOn w:val="BodyText2"/>
    <w:qFormat/>
    <w:pPr>
      <w:widowControl/>
      <w:spacing w:before="0" w:after="0"/>
      <w:ind w:hanging="0" w:start="1440" w:end="0"/>
      <w:jc w:val="both"/>
      <w:textAlignment w:val="auto"/>
    </w:pPr>
    <w:rPr>
      <w:sz w:val="24"/>
      <w:lang w:val="en-US" w:eastAsia="en-US"/>
    </w:rPr>
  </w:style>
  <w:style w:type="paragraph" w:styleId="BodyTextSingleSpaced">
    <w:name w:val="Body Text Single Spaced"/>
    <w:basedOn w:val="BodyText"/>
    <w:qFormat/>
    <w:pPr>
      <w:widowControl/>
      <w:spacing w:before="0" w:after="0"/>
      <w:ind w:hanging="0" w:start="0" w:end="0"/>
      <w:jc w:val="both"/>
      <w:textAlignment w:val="auto"/>
    </w:pPr>
    <w:rPr>
      <w:sz w:val="24"/>
      <w:lang w:val="en-US" w:eastAsia="en-US"/>
    </w:rPr>
  </w:style>
  <w:style w:type="paragraph" w:styleId="bodytext1">
    <w:name w:val="body text1"/>
    <w:basedOn w:val="Normal"/>
    <w:qFormat/>
    <w:pPr>
      <w:widowControl/>
      <w:spacing w:lineRule="atLeast" w:line="240" w:before="240" w:after="0"/>
      <w:ind w:firstLine="720" w:start="0" w:end="0"/>
      <w:jc w:val="both"/>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21522</Words>
  <Characters>0</Characters>
  <CharactersWithSpaces>0</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2000-12-07T12:23:00Z</dcterms:created>
  <dc:creator>VE</dc:creator>
  <dc:description>PURCHASE AND SALE AGREEMENT</dc:description>
  <dc:language>en-CA</dc:language>
  <cp:lastModifiedBy/>
  <cp:lastPrinted>2000-11-02T19:34:00Z</cp:lastPrinted>
  <dcterms:modified xsi:type="dcterms:W3CDTF">2000-12-07T12:23:00Z</dcterms:modified>
  <cp:revision>2</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