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sz w:val="24"/>
          <w:u w:val="single"/>
        </w:rPr>
      </w:pPr>
      <w:r>
        <w:rPr>
          <w:b/>
          <w:sz w:val="24"/>
          <w:u w:val="single"/>
        </w:rPr>
        <w:t>Privileged Material</w:t>
      </w:r>
      <w:r>
        <w:rPr>
          <w:b/>
          <w:sz w:val="24"/>
        </w:rPr>
        <w:tab/>
        <w:tab/>
        <w:tab/>
        <w:tab/>
        <w:tab/>
        <w:tab/>
        <w:tab/>
        <w:tab/>
      </w:r>
      <w:r>
        <w:rPr>
          <w:b/>
          <w:sz w:val="24"/>
          <w:u w:val="single"/>
        </w:rPr>
        <w:t>June 21, 2000</w:t>
      </w:r>
    </w:p>
    <w:p>
      <w:pPr>
        <w:pStyle w:val="Normal"/>
        <w:bidi w:val="0"/>
        <w:jc w:val="start"/>
        <w:rPr>
          <w:sz w:val="24"/>
        </w:rPr>
      </w:pPr>
      <w:r>
        <w:rPr>
          <w:b/>
          <w:sz w:val="24"/>
          <w:u w:val="single"/>
        </w:rPr>
        <w:t>For Settlement Purposes Only</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b/>
          <w:sz w:val="24"/>
          <w:u w:val="single"/>
        </w:rPr>
      </w:pPr>
      <w:r>
        <w:rPr>
          <w:b/>
          <w:sz w:val="24"/>
          <w:u w:val="single"/>
        </w:rPr>
        <w:t>Amoco Energy Trading et al., v. El Paso Natural Gas Co.</w:t>
      </w:r>
    </w:p>
    <w:p>
      <w:pPr>
        <w:pStyle w:val="Heading1"/>
        <w:numPr>
          <w:ilvl w:val="0"/>
          <w:numId w:val="0"/>
        </w:numPr>
        <w:bidi w:val="0"/>
        <w:outlineLvl w:val="0"/>
        <w:rPr>
          <w:rFonts w:ascii="Times New Roman" w:hAnsi="Times New Roman"/>
        </w:rPr>
      </w:pPr>
      <w:r>
        <w:rPr>
          <w:b/>
        </w:rPr>
        <w:t>Docket No.    RP99-507</w:t>
      </w:r>
    </w:p>
    <w:p>
      <w:pPr>
        <w:pStyle w:val="Normal"/>
        <w:bidi w:val="0"/>
        <w:jc w:val="center"/>
        <w:rPr>
          <w:sz w:val="24"/>
        </w:rPr>
      </w:pPr>
      <w:r>
        <w:rPr>
          <w:sz w:val="24"/>
        </w:rPr>
      </w:r>
    </w:p>
    <w:p>
      <w:pPr>
        <w:pStyle w:val="Normal"/>
        <w:bidi w:val="0"/>
        <w:jc w:val="center"/>
        <w:rPr>
          <w:sz w:val="24"/>
        </w:rPr>
      </w:pPr>
      <w:r>
        <w:rPr>
          <w:sz w:val="24"/>
        </w:rPr>
        <w:t>El Paso Natural Gas Company Response</w:t>
      </w:r>
    </w:p>
    <w:p>
      <w:pPr>
        <w:pStyle w:val="Heading1"/>
        <w:numPr>
          <w:ilvl w:val="0"/>
          <w:numId w:val="0"/>
        </w:numPr>
        <w:bidi w:val="0"/>
        <w:outlineLvl w:val="0"/>
        <w:rPr>
          <w:rFonts w:ascii="Times New Roman" w:hAnsi="Times New Roman"/>
        </w:rPr>
      </w:pPr>
      <w:r>
        <w:rPr/>
        <w:t>To Informal Data Request of June 13, 2000</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At the ADR meeting held in San Francisco on June 12 and 13, several parties asked what the allocation of receipt rights would look like if sections 1.c and 1.d of El Paso's June 12 proposal were modified.    These are the paragraphs that describe how EPNG would reallocate the San Juan Basin receipt rights which were to be made available by terminating Amoco's 97JB contract and Burlington's 97J4 contract.    </w:t>
      </w:r>
    </w:p>
    <w:p>
      <w:pPr>
        <w:pStyle w:val="Normal"/>
        <w:bidi w:val="0"/>
        <w:jc w:val="start"/>
        <w:rPr>
          <w:sz w:val="24"/>
        </w:rPr>
      </w:pPr>
      <w:r>
        <w:rPr>
          <w:sz w:val="24"/>
        </w:rPr>
      </w:r>
    </w:p>
    <w:p>
      <w:pPr>
        <w:pStyle w:val="Normal"/>
        <w:bidi w:val="0"/>
        <w:jc w:val="start"/>
        <w:rPr>
          <w:sz w:val="24"/>
        </w:rPr>
      </w:pPr>
      <w:r>
        <w:rPr>
          <w:sz w:val="24"/>
        </w:rPr>
        <w:t xml:space="preserve">Two scenarios were specified: A) the Havasu contracts are amended to provide only San Juan Basin receipt rights and the remainder of the J4JB receipt rights are spread over all remaining contracts pro rata and B) the Havasu contracts continue to have system-wide receipt rights and the Amoco and Burlington capacity is spread over both the Havasu and other contracts pro rata.    </w:t>
      </w:r>
    </w:p>
    <w:p>
      <w:pPr>
        <w:pStyle w:val="Normal"/>
        <w:bidi w:val="0"/>
        <w:jc w:val="start"/>
        <w:rPr>
          <w:sz w:val="24"/>
        </w:rPr>
      </w:pPr>
      <w:r>
        <w:rPr>
          <w:sz w:val="24"/>
        </w:rPr>
      </w:r>
    </w:p>
    <w:p>
      <w:pPr>
        <w:pStyle w:val="Normal"/>
        <w:bidi w:val="0"/>
        <w:jc w:val="start"/>
        <w:rPr>
          <w:b/>
          <w:sz w:val="24"/>
        </w:rPr>
      </w:pPr>
      <w:r>
        <w:rPr>
          <w:sz w:val="24"/>
        </w:rPr>
        <w:t xml:space="preserve">The requested studies are being provided in response to that data request.    </w:t>
      </w:r>
      <w:r>
        <w:rPr>
          <w:b/>
          <w:sz w:val="24"/>
        </w:rPr>
        <w:t xml:space="preserve">El Paso is not changing its proposal nor advocating this position.    </w:t>
      </w:r>
    </w:p>
    <w:p>
      <w:pPr>
        <w:pStyle w:val="Normal"/>
        <w:bidi w:val="0"/>
        <w:jc w:val="start"/>
        <w:rPr>
          <w:sz w:val="24"/>
        </w:rPr>
      </w:pPr>
      <w:r>
        <w:rPr>
          <w:sz w:val="24"/>
        </w:rPr>
      </w:r>
    </w:p>
    <w:p>
      <w:pPr>
        <w:pStyle w:val="Normal"/>
        <w:bidi w:val="0"/>
        <w:jc w:val="start"/>
        <w:rPr>
          <w:sz w:val="24"/>
        </w:rPr>
      </w:pPr>
      <w:r>
        <w:rPr>
          <w:sz w:val="24"/>
        </w:rPr>
        <w:t>While the full runs are attached, the resulting assignments of receipt rights can be summarized as follows:</w:t>
      </w:r>
    </w:p>
    <w:p>
      <w:pPr>
        <w:pStyle w:val="Normal"/>
        <w:bidi w:val="0"/>
        <w:jc w:val="start"/>
        <w:rPr>
          <w:sz w:val="24"/>
        </w:rPr>
      </w:pPr>
      <w:r>
        <w:rPr>
          <w:sz w:val="24"/>
        </w:rPr>
      </w:r>
    </w:p>
    <w:tbl>
      <w:tblPr>
        <w:tblW w:w="8189" w:type="dxa"/>
        <w:jc w:val="start"/>
        <w:tblInd w:w="7" w:type="dxa"/>
        <w:tblLayout w:type="fixed"/>
        <w:tblCellMar>
          <w:top w:w="0" w:type="dxa"/>
          <w:start w:w="108" w:type="dxa"/>
          <w:bottom w:w="0" w:type="dxa"/>
          <w:end w:w="108" w:type="dxa"/>
        </w:tblCellMar>
      </w:tblPr>
      <w:tblGrid>
        <w:gridCol w:w="1682"/>
        <w:gridCol w:w="1667"/>
        <w:gridCol w:w="1840"/>
        <w:gridCol w:w="2999"/>
      </w:tblGrid>
      <w:tr>
        <w:trPr/>
        <w:tc>
          <w:tcPr>
            <w:tcW w:w="168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tc>
        <w:tc>
          <w:tcPr>
            <w:tcW w:w="166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Havasu Shippers</w:t>
            </w:r>
          </w:p>
        </w:tc>
        <w:tc>
          <w:tcPr>
            <w:tcW w:w="184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Other CD Shippers</w:t>
            </w:r>
          </w:p>
        </w:tc>
        <w:tc>
          <w:tcPr>
            <w:tcW w:w="299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EOC Full Requirements Shippers</w:t>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June 12 Proposal</w:t>
            </w:r>
          </w:p>
        </w:tc>
        <w:tc>
          <w:tcPr>
            <w:tcW w:w="166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
          </w:p>
        </w:tc>
        <w:tc>
          <w:tcPr>
            <w:tcW w:w="184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
          </w:p>
        </w:tc>
        <w:tc>
          <w:tcPr>
            <w:tcW w:w="299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bidi w:val="0"/>
              <w:jc w:val="start"/>
              <w:rPr/>
            </w:pPr>
            <w:r>
              <w:rPr/>
              <w:t xml:space="preserve">    </w:t>
            </w:r>
            <w:r>
              <w:rPr/>
              <w:t xml:space="preserve">San Juan </w:t>
            </w:r>
          </w:p>
        </w:tc>
        <w:tc>
          <w:tcPr>
            <w:tcW w:w="1667"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100%</w:t>
            </w:r>
          </w:p>
        </w:tc>
        <w:tc>
          <w:tcPr>
            <w:tcW w:w="1840"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61%</w:t>
            </w:r>
          </w:p>
        </w:tc>
        <w:tc>
          <w:tcPr>
            <w:tcW w:w="2999"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82%</w:t>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bidi w:val="0"/>
              <w:jc w:val="start"/>
              <w:rPr/>
            </w:pPr>
            <w:r>
              <w:rPr/>
              <w:t xml:space="preserve">    </w:t>
            </w:r>
            <w:r>
              <w:rPr/>
              <w:t>Permian</w:t>
            </w:r>
          </w:p>
        </w:tc>
        <w:tc>
          <w:tcPr>
            <w:tcW w:w="1667"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0%</w:t>
            </w:r>
          </w:p>
        </w:tc>
        <w:tc>
          <w:tcPr>
            <w:tcW w:w="1840"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39%</w:t>
            </w:r>
          </w:p>
        </w:tc>
        <w:tc>
          <w:tcPr>
            <w:tcW w:w="2999"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18%</w:t>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bidi w:val="0"/>
              <w:jc w:val="start"/>
              <w:rPr/>
            </w:pPr>
            <w:r>
              <w:rPr/>
              <w:t xml:space="preserve">Case A </w:t>
            </w:r>
          </w:p>
        </w:tc>
        <w:tc>
          <w:tcPr>
            <w:tcW w:w="1667"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r>
          </w:p>
        </w:tc>
        <w:tc>
          <w:tcPr>
            <w:tcW w:w="1840"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r>
          </w:p>
        </w:tc>
        <w:tc>
          <w:tcPr>
            <w:tcW w:w="2999"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bidi w:val="0"/>
              <w:jc w:val="start"/>
              <w:rPr/>
            </w:pPr>
            <w:r>
              <w:rPr/>
              <w:t xml:space="preserve">    </w:t>
            </w:r>
            <w:r>
              <w:rPr/>
              <w:t xml:space="preserve">San Juan </w:t>
            </w:r>
          </w:p>
        </w:tc>
        <w:tc>
          <w:tcPr>
            <w:tcW w:w="1667"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100%</w:t>
            </w:r>
          </w:p>
        </w:tc>
        <w:tc>
          <w:tcPr>
            <w:tcW w:w="1840"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65%</w:t>
            </w:r>
          </w:p>
        </w:tc>
        <w:tc>
          <w:tcPr>
            <w:tcW w:w="2999"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65%</w:t>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bidi w:val="0"/>
              <w:jc w:val="start"/>
              <w:rPr/>
            </w:pPr>
            <w:r>
              <w:rPr/>
              <w:t xml:space="preserve">    </w:t>
            </w:r>
            <w:r>
              <w:rPr/>
              <w:t>Permian</w:t>
            </w:r>
          </w:p>
        </w:tc>
        <w:tc>
          <w:tcPr>
            <w:tcW w:w="1667"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0%</w:t>
            </w:r>
          </w:p>
        </w:tc>
        <w:tc>
          <w:tcPr>
            <w:tcW w:w="1840"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35%</w:t>
            </w:r>
          </w:p>
        </w:tc>
        <w:tc>
          <w:tcPr>
            <w:tcW w:w="2999"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35%</w:t>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bidi w:val="0"/>
              <w:jc w:val="start"/>
              <w:rPr/>
            </w:pPr>
            <w:r>
              <w:rPr/>
              <w:t>Case B</w:t>
            </w:r>
          </w:p>
        </w:tc>
        <w:tc>
          <w:tcPr>
            <w:tcW w:w="1667"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r>
          </w:p>
        </w:tc>
        <w:tc>
          <w:tcPr>
            <w:tcW w:w="1840"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r>
          </w:p>
        </w:tc>
        <w:tc>
          <w:tcPr>
            <w:tcW w:w="2999"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bidi w:val="0"/>
              <w:jc w:val="start"/>
              <w:rPr/>
            </w:pPr>
            <w:r>
              <w:rPr/>
              <w:t xml:space="preserve">    </w:t>
            </w:r>
            <w:r>
              <w:rPr/>
              <w:t xml:space="preserve">San Juan </w:t>
            </w:r>
          </w:p>
        </w:tc>
        <w:tc>
          <w:tcPr>
            <w:tcW w:w="1667"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66%</w:t>
            </w:r>
          </w:p>
        </w:tc>
        <w:tc>
          <w:tcPr>
            <w:tcW w:w="1840"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66%</w:t>
            </w:r>
          </w:p>
        </w:tc>
        <w:tc>
          <w:tcPr>
            <w:tcW w:w="2999" w:type="dxa"/>
            <w:tcBorders>
              <w:top w:val="single" w:sz="6" w:space="0" w:color="000000"/>
              <w:start w:val="single" w:sz="6" w:space="0" w:color="000000"/>
              <w:bottom w:val="single" w:sz="6" w:space="0" w:color="000000"/>
              <w:end w:val="single" w:sz="6" w:space="0" w:color="000000"/>
            </w:tcBorders>
          </w:tcPr>
          <w:p>
            <w:pPr>
              <w:pStyle w:val="Normal"/>
              <w:bidi w:val="0"/>
              <w:jc w:val="center"/>
              <w:rPr/>
            </w:pPr>
            <w:r>
              <w:rPr/>
              <w:t>66%</w:t>
            </w:r>
          </w:p>
        </w:tc>
      </w:tr>
      <w:tr>
        <w:trPr/>
        <w:tc>
          <w:tcPr>
            <w:tcW w:w="168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 xml:space="preserve">    </w:t>
            </w:r>
            <w:r>
              <w:rPr/>
              <w:t>Permian</w:t>
            </w:r>
          </w:p>
        </w:tc>
        <w:tc>
          <w:tcPr>
            <w:tcW w:w="166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34%</w:t>
            </w:r>
          </w:p>
        </w:tc>
        <w:tc>
          <w:tcPr>
            <w:tcW w:w="184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34%</w:t>
            </w:r>
          </w:p>
        </w:tc>
        <w:tc>
          <w:tcPr>
            <w:tcW w:w="299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34%</w:t>
            </w:r>
          </w:p>
        </w:tc>
      </w:tr>
    </w:tbl>
    <w:p>
      <w:pPr>
        <w:pStyle w:val="Normal"/>
        <w:widowControl/>
        <w:suppressAutoHyphens w:val="true"/>
        <w:bidi w:val="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jc w:val="center"/>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221</Words>
  <Characters>0</Characters>
  <CharactersWithSpaces>1261</CharactersWithSpaces>
  <Company>EPEC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2000-06-23T09:30:00Z</dcterms:created>
  <dc:creator>Bill Healy</dc:creator>
  <dc:description/>
  <dc:language>en-CA</dc:language>
  <cp:lastModifiedBy/>
  <dcterms:modified xsi:type="dcterms:W3CDTF">2000-06-23T09:32:00Z</dcterms:modified>
  <cp:revision>4</cp:revision>
  <dc:subject/>
  <dc:title>Privileged Material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Bill Healy</vt:lpwstr>
  </property>
</Properties>
</file>