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Friday, November 16,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Ciclo Combinado do Sul, Producao e Distribuicao de Energia, Unipessoal, LDA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Tax Classification: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1810 - CCDS</w:t>
              <w:br/>
              <w:t>Portugal</w:t>
              <w:br/>
              <w:t>EEUROPE</w:t>
              <w:br/>
              <w:t>NONE</w:t>
              <w:br/>
              <w:t>11/16/2001 - WLP</w:t>
              <w:br/>
              <w:t>D</w:t>
              <w:br/>
              <w:t>SKelly/CBuckley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  <w:t>Federal ID #:</w:t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98-0352456</w:t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c/o Benjamin Mendes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Avenida Antonio Augusto de Aguiar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No. 27, 2 Dto., Freguesia de Sao Sebastiao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1069-126, Lisbon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Portugal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Power generation in Portugal.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Location of Minute Books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ab/>
      </w:r>
      <w:r>
        <w:rPr/>
        <w:t>Lisbon, Portugal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Mariano Gentilini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Quotas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EUR1.00</w:t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August 17, 2001</w:t>
              <w:br/>
              <w:t>5,000</w:t>
              <w:br/>
              <w:t>5,000</w:t>
              <w:br/>
              <w:t>5,000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Portugal B.V.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5,000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August 17, 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Arbitrary Stock Certificate # -- no cert. issued.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Portugal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August 17,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Benjamin Mendes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206</Words>
  <Characters>1446</Characters>
  <CharactersWithSpaces>1178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2001-11-16T11:13:00Z</dcterms:created>
  <dc:creator>Steven D. Gullion</dc:creator>
  <dc:description/>
  <dc:language>en-US</dc:language>
  <cp:lastModifiedBy/>
  <dcterms:modified xsi:type="dcterms:W3CDTF">2001-11-16T11:13:00Z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lpardue</vt:lpwstr>
  </property>
</Properties>
</file>