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sz w:val="26"/>
        </w:rPr>
        <w:t>Data Request for the California ISO</w:t>
      </w:r>
    </w:p>
    <w:p>
      <w:pPr>
        <w:pStyle w:val="Normal"/>
        <w:bidi w:val="0"/>
        <w:spacing w:lineRule="atLeast" w:line="0"/>
        <w:jc w:val="start"/>
        <w:rPr>
          <w:rFonts w:ascii="Times New Roman" w:hAnsi="Times New Roman"/>
          <w:sz w:val="26"/>
        </w:rPr>
      </w:pPr>
      <w:r>
        <w:rPr>
          <w:rFonts w:ascii="Times New Roman" w:hAnsi="Times New Roman"/>
          <w:sz w:val="26"/>
        </w:rPr>
        <w:t>May 8, 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previous Data Request No. 8, dated October 8, 2000 and to bid data reported for compliance with the Commission's December Order in Docket No. EL00-95-000.    Please update these previous data filings as follows: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1.    Update the generation resource information resource information provided in Data Request No. 8.    Provide the information for the period September 1, 2000 through the present.    The description of the previously filed information provided is given below for reference. </w:t>
      </w:r>
    </w:p>
    <w:p>
      <w:pPr>
        <w:pStyle w:val="Normal"/>
        <w:bidi w:val="0"/>
        <w:spacing w:lineRule="atLeast" w:line="0"/>
        <w:jc w:val="start"/>
        <w:rPr>
          <w:rFonts w:ascii="Times New Roman" w:hAnsi="Times New Roman"/>
          <w:sz w:val="26"/>
        </w:rPr>
      </w:pPr>
      <w:r>
        <w:rPr>
          <w:rFonts w:ascii="Times New Roman" w:hAnsi="Times New Roman"/>
          <w:sz w:val="26"/>
        </w:rPr>
        <w:tab/>
        <w:tab/>
        <w:tab/>
      </w:r>
    </w:p>
    <w:tbl>
      <w:tblPr>
        <w:tblW w:w="9269" w:type="dxa"/>
        <w:jc w:val="start"/>
        <w:tblInd w:w="30" w:type="dxa"/>
        <w:tblLayout w:type="fixed"/>
        <w:tblCellMar>
          <w:top w:w="0" w:type="dxa"/>
          <w:start w:w="30" w:type="dxa"/>
          <w:bottom w:w="0" w:type="dxa"/>
          <w:end w:w="30" w:type="dxa"/>
        </w:tblCellMar>
      </w:tblPr>
      <w:tblGrid>
        <w:gridCol w:w="1839"/>
        <w:gridCol w:w="7429"/>
      </w:tblGrid>
      <w:tr>
        <w:trPr/>
        <w:tc>
          <w:tcPr>
            <w:tcW w:w="1839" w:type="dxa"/>
            <w:tcBorders/>
          </w:tcPr>
          <w:p>
            <w:pPr>
              <w:pStyle w:val="Normal"/>
              <w:tabs>
                <w:tab w:val="clear" w:pos="720"/>
              </w:tabs>
              <w:bidi w:val="0"/>
              <w:jc w:val="both"/>
              <w:rPr/>
            </w:pPr>
            <w:r>
              <w:rPr>
                <w:rFonts w:ascii="MS Sans Serif" w:hAnsi="MS Sans Serif"/>
                <w:b/>
              </w:rPr>
              <w:t>YEAR</w:t>
            </w:r>
          </w:p>
        </w:tc>
        <w:tc>
          <w:tcPr>
            <w:tcW w:w="7429" w:type="dxa"/>
            <w:tcBorders/>
          </w:tcPr>
          <w:p>
            <w:pPr>
              <w:pStyle w:val="Normal"/>
              <w:tabs>
                <w:tab w:val="clear" w:pos="720"/>
              </w:tabs>
              <w:bidi w:val="0"/>
              <w:jc w:val="start"/>
              <w:rPr/>
            </w:pPr>
            <w:r>
              <w:rPr>
                <w:rFonts w:ascii="MS Sans Serif" w:hAnsi="MS Sans Serif"/>
              </w:rPr>
              <w:t>Year (1999, 2000).</w:t>
            </w:r>
          </w:p>
        </w:tc>
      </w:tr>
      <w:tr>
        <w:trPr/>
        <w:tc>
          <w:tcPr>
            <w:tcW w:w="1839" w:type="dxa"/>
            <w:tcBorders/>
          </w:tcPr>
          <w:p>
            <w:pPr>
              <w:pStyle w:val="Normal"/>
              <w:tabs>
                <w:tab w:val="clear" w:pos="720"/>
              </w:tabs>
              <w:bidi w:val="0"/>
              <w:jc w:val="both"/>
              <w:rPr/>
            </w:pPr>
            <w:r>
              <w:rPr>
                <w:rFonts w:ascii="MS Sans Serif" w:hAnsi="MS Sans Serif"/>
                <w:b/>
              </w:rPr>
              <w:t>MONTH</w:t>
            </w:r>
          </w:p>
        </w:tc>
        <w:tc>
          <w:tcPr>
            <w:tcW w:w="7429" w:type="dxa"/>
            <w:tcBorders/>
          </w:tcPr>
          <w:p>
            <w:pPr>
              <w:pStyle w:val="Normal"/>
              <w:tabs>
                <w:tab w:val="clear" w:pos="720"/>
              </w:tabs>
              <w:bidi w:val="0"/>
              <w:jc w:val="start"/>
              <w:rPr/>
            </w:pPr>
            <w:r>
              <w:rPr>
                <w:rFonts w:ascii="MS Sans Serif" w:hAnsi="MS Sans Serif"/>
              </w:rPr>
              <w:t>Month (5-8).</w:t>
            </w:r>
          </w:p>
        </w:tc>
      </w:tr>
      <w:tr>
        <w:trPr/>
        <w:tc>
          <w:tcPr>
            <w:tcW w:w="1839" w:type="dxa"/>
            <w:tcBorders/>
          </w:tcPr>
          <w:p>
            <w:pPr>
              <w:pStyle w:val="Normal"/>
              <w:tabs>
                <w:tab w:val="clear" w:pos="720"/>
              </w:tabs>
              <w:bidi w:val="0"/>
              <w:jc w:val="both"/>
              <w:rPr/>
            </w:pPr>
            <w:r>
              <w:rPr>
                <w:rFonts w:ascii="MS Sans Serif" w:hAnsi="MS Sans Serif"/>
                <w:b/>
              </w:rPr>
              <w:t>DAY</w:t>
            </w:r>
          </w:p>
        </w:tc>
        <w:tc>
          <w:tcPr>
            <w:tcW w:w="7429" w:type="dxa"/>
            <w:tcBorders/>
          </w:tcPr>
          <w:p>
            <w:pPr>
              <w:pStyle w:val="Normal"/>
              <w:tabs>
                <w:tab w:val="clear" w:pos="720"/>
              </w:tabs>
              <w:bidi w:val="0"/>
              <w:jc w:val="start"/>
              <w:rPr/>
            </w:pPr>
            <w:r>
              <w:rPr>
                <w:rFonts w:ascii="MS Sans Serif" w:hAnsi="MS Sans Serif"/>
              </w:rPr>
              <w:t>Day (1 - 30, 1-31).</w:t>
            </w:r>
          </w:p>
        </w:tc>
      </w:tr>
      <w:tr>
        <w:trPr/>
        <w:tc>
          <w:tcPr>
            <w:tcW w:w="1839" w:type="dxa"/>
            <w:tcBorders/>
          </w:tcPr>
          <w:p>
            <w:pPr>
              <w:pStyle w:val="Normal"/>
              <w:tabs>
                <w:tab w:val="clear" w:pos="720"/>
              </w:tabs>
              <w:bidi w:val="0"/>
              <w:jc w:val="both"/>
              <w:rPr/>
            </w:pPr>
            <w:r>
              <w:rPr>
                <w:rFonts w:ascii="MS Sans Serif" w:hAnsi="MS Sans Serif"/>
                <w:b/>
              </w:rPr>
              <w:t>OPR_HR</w:t>
            </w:r>
          </w:p>
        </w:tc>
        <w:tc>
          <w:tcPr>
            <w:tcW w:w="7429" w:type="dxa"/>
            <w:tcBorders/>
          </w:tcPr>
          <w:p>
            <w:pPr>
              <w:pStyle w:val="Normal"/>
              <w:tabs>
                <w:tab w:val="clear" w:pos="720"/>
              </w:tabs>
              <w:bidi w:val="0"/>
              <w:jc w:val="start"/>
              <w:rPr/>
            </w:pPr>
            <w:r>
              <w:rPr>
                <w:rFonts w:ascii="MS Sans Serif" w:hAnsi="MS Sans Serif"/>
              </w:rPr>
              <w:t>Operating hour.</w:t>
            </w:r>
          </w:p>
        </w:tc>
      </w:tr>
      <w:tr>
        <w:trPr/>
        <w:tc>
          <w:tcPr>
            <w:tcW w:w="1839" w:type="dxa"/>
            <w:tcBorders/>
          </w:tcPr>
          <w:p>
            <w:pPr>
              <w:pStyle w:val="Normal"/>
              <w:tabs>
                <w:tab w:val="clear" w:pos="720"/>
              </w:tabs>
              <w:bidi w:val="0"/>
              <w:jc w:val="both"/>
              <w:rPr/>
            </w:pPr>
            <w:r>
              <w:rPr>
                <w:rFonts w:ascii="MS Sans Serif" w:hAnsi="MS Sans Serif"/>
                <w:b/>
              </w:rPr>
              <w:t>MST_AFF</w:t>
            </w:r>
          </w:p>
        </w:tc>
        <w:tc>
          <w:tcPr>
            <w:tcW w:w="7429" w:type="dxa"/>
            <w:tcBorders/>
          </w:tcPr>
          <w:p>
            <w:pPr>
              <w:pStyle w:val="Normal"/>
              <w:tabs>
                <w:tab w:val="clear" w:pos="720"/>
              </w:tabs>
              <w:bidi w:val="0"/>
              <w:jc w:val="start"/>
              <w:rPr/>
            </w:pPr>
            <w:r>
              <w:rPr>
                <w:rFonts w:ascii="MS Sans Serif" w:hAnsi="MS Sans Serif"/>
              </w:rPr>
              <w:t>Master affiliate.</w:t>
            </w:r>
          </w:p>
        </w:tc>
      </w:tr>
      <w:tr>
        <w:trPr/>
        <w:tc>
          <w:tcPr>
            <w:tcW w:w="1839" w:type="dxa"/>
            <w:tcBorders/>
          </w:tcPr>
          <w:p>
            <w:pPr>
              <w:pStyle w:val="Normal"/>
              <w:tabs>
                <w:tab w:val="clear" w:pos="720"/>
              </w:tabs>
              <w:bidi w:val="0"/>
              <w:jc w:val="both"/>
              <w:rPr/>
            </w:pPr>
            <w:r>
              <w:rPr>
                <w:rFonts w:ascii="MS Sans Serif" w:hAnsi="MS Sans Serif"/>
                <w:b/>
              </w:rPr>
              <w:t>UNIT_ID</w:t>
            </w:r>
          </w:p>
        </w:tc>
        <w:tc>
          <w:tcPr>
            <w:tcW w:w="7429" w:type="dxa"/>
            <w:tcBorders/>
          </w:tcPr>
          <w:p>
            <w:pPr>
              <w:pStyle w:val="Normal"/>
              <w:tabs>
                <w:tab w:val="clear" w:pos="720"/>
              </w:tabs>
              <w:bidi w:val="0"/>
              <w:jc w:val="start"/>
              <w:rPr/>
            </w:pPr>
            <w:r>
              <w:rPr>
                <w:rFonts w:ascii="MS Sans Serif" w:hAnsi="MS Sans Serif"/>
              </w:rPr>
              <w:t>Unit identification.</w:t>
            </w:r>
          </w:p>
        </w:tc>
      </w:tr>
      <w:tr>
        <w:trPr/>
        <w:tc>
          <w:tcPr>
            <w:tcW w:w="1839" w:type="dxa"/>
            <w:tcBorders/>
          </w:tcPr>
          <w:p>
            <w:pPr>
              <w:pStyle w:val="Normal"/>
              <w:tabs>
                <w:tab w:val="clear" w:pos="720"/>
              </w:tabs>
              <w:bidi w:val="0"/>
              <w:jc w:val="both"/>
              <w:rPr/>
            </w:pPr>
            <w:r>
              <w:rPr>
                <w:rFonts w:ascii="MS Sans Serif" w:hAnsi="MS Sans Serif"/>
                <w:b/>
              </w:rPr>
              <w:t>ZONE_ID</w:t>
            </w:r>
          </w:p>
        </w:tc>
        <w:tc>
          <w:tcPr>
            <w:tcW w:w="7429" w:type="dxa"/>
            <w:tcBorders/>
          </w:tcPr>
          <w:p>
            <w:pPr>
              <w:pStyle w:val="Normal"/>
              <w:tabs>
                <w:tab w:val="clear" w:pos="720"/>
              </w:tabs>
              <w:bidi w:val="0"/>
              <w:jc w:val="start"/>
              <w:rPr/>
            </w:pPr>
            <w:r>
              <w:rPr>
                <w:rFonts w:ascii="MS Sans Serif" w:hAnsi="MS Sans Serif"/>
              </w:rPr>
              <w:t>Zone identification (NP15, SP15, ZP26).</w:t>
            </w:r>
          </w:p>
        </w:tc>
      </w:tr>
      <w:tr>
        <w:trPr/>
        <w:tc>
          <w:tcPr>
            <w:tcW w:w="1839" w:type="dxa"/>
            <w:tcBorders/>
          </w:tcPr>
          <w:p>
            <w:pPr>
              <w:pStyle w:val="Normal"/>
              <w:tabs>
                <w:tab w:val="clear" w:pos="720"/>
              </w:tabs>
              <w:bidi w:val="0"/>
              <w:jc w:val="both"/>
              <w:rPr/>
            </w:pPr>
            <w:r>
              <w:rPr>
                <w:rFonts w:ascii="MS Sans Serif" w:hAnsi="MS Sans Serif"/>
                <w:b/>
              </w:rPr>
              <w:t>UTYPE</w:t>
            </w:r>
          </w:p>
        </w:tc>
        <w:tc>
          <w:tcPr>
            <w:tcW w:w="7429" w:type="dxa"/>
            <w:tcBorders/>
          </w:tcPr>
          <w:p>
            <w:pPr>
              <w:pStyle w:val="Normal"/>
              <w:tabs>
                <w:tab w:val="clear" w:pos="720"/>
              </w:tabs>
              <w:bidi w:val="0"/>
              <w:jc w:val="start"/>
              <w:rPr/>
            </w:pPr>
            <w:r>
              <w:rPr>
                <w:rFonts w:ascii="MS Sans Serif" w:hAnsi="MS Sans Serif"/>
              </w:rPr>
              <w:t>Unit type (CCNG, CTFO, CTJF, CTNG, GEO, HY, HYPS, NUKE, OTHER, STC, STNG, TH)</w:t>
            </w:r>
          </w:p>
        </w:tc>
      </w:tr>
      <w:tr>
        <w:trPr/>
        <w:tc>
          <w:tcPr>
            <w:tcW w:w="1839" w:type="dxa"/>
            <w:tcBorders/>
          </w:tcPr>
          <w:p>
            <w:pPr>
              <w:pStyle w:val="Normal"/>
              <w:tabs>
                <w:tab w:val="clear" w:pos="720"/>
              </w:tabs>
              <w:bidi w:val="0"/>
              <w:jc w:val="both"/>
              <w:rPr/>
            </w:pPr>
            <w:r>
              <w:rPr>
                <w:rFonts w:ascii="MS Sans Serif" w:hAnsi="MS Sans Serif"/>
                <w:b/>
              </w:rPr>
              <w:t>GROUP_ID</w:t>
            </w:r>
          </w:p>
        </w:tc>
        <w:tc>
          <w:tcPr>
            <w:tcW w:w="7429" w:type="dxa"/>
            <w:tcBorders/>
          </w:tcPr>
          <w:p>
            <w:pPr>
              <w:pStyle w:val="Normal"/>
              <w:tabs>
                <w:tab w:val="clear" w:pos="720"/>
              </w:tabs>
              <w:bidi w:val="0"/>
              <w:jc w:val="start"/>
              <w:rPr/>
            </w:pPr>
            <w:r>
              <w:rPr>
                <w:rFonts w:ascii="MS Sans Serif" w:hAnsi="MS Sans Serif"/>
              </w:rPr>
              <w:t>Group identification (Coal, Hydro, Nuclear, Other TH, TAKE-RUN, Unknown)</w:t>
            </w:r>
          </w:p>
        </w:tc>
      </w:tr>
      <w:tr>
        <w:trPr/>
        <w:tc>
          <w:tcPr>
            <w:tcW w:w="1839" w:type="dxa"/>
            <w:tcBorders/>
          </w:tcPr>
          <w:p>
            <w:pPr>
              <w:pStyle w:val="Normal"/>
              <w:tabs>
                <w:tab w:val="clear" w:pos="720"/>
              </w:tabs>
              <w:bidi w:val="0"/>
              <w:jc w:val="both"/>
              <w:rPr/>
            </w:pPr>
            <w:r>
              <w:rPr>
                <w:rFonts w:ascii="MS Sans Serif" w:hAnsi="MS Sans Serif"/>
                <w:b/>
              </w:rPr>
              <w:t>PRIOR_TY</w:t>
            </w:r>
          </w:p>
        </w:tc>
        <w:tc>
          <w:tcPr>
            <w:tcW w:w="7429" w:type="dxa"/>
            <w:tcBorders/>
          </w:tcPr>
          <w:p>
            <w:pPr>
              <w:pStyle w:val="Normal"/>
              <w:tabs>
                <w:tab w:val="clear" w:pos="720"/>
              </w:tabs>
              <w:bidi w:val="0"/>
              <w:jc w:val="start"/>
              <w:rPr/>
            </w:pPr>
            <w:r>
              <w:rPr>
                <w:rFonts w:ascii="MS Sans Serif" w:hAnsi="MS Sans Serif"/>
              </w:rPr>
              <w:t>Priority type (MUST_TAKE, OTHER, REG_MUST_RUN, RLB_MUST_RUN).</w:t>
            </w:r>
          </w:p>
        </w:tc>
      </w:tr>
      <w:tr>
        <w:trPr/>
        <w:tc>
          <w:tcPr>
            <w:tcW w:w="1839" w:type="dxa"/>
            <w:tcBorders/>
          </w:tcPr>
          <w:p>
            <w:pPr>
              <w:pStyle w:val="Normal"/>
              <w:tabs>
                <w:tab w:val="clear" w:pos="720"/>
              </w:tabs>
              <w:bidi w:val="0"/>
              <w:jc w:val="both"/>
              <w:rPr/>
            </w:pPr>
            <w:r>
              <w:rPr>
                <w:rFonts w:ascii="MS Sans Serif" w:hAnsi="MS Sans Serif"/>
                <w:b/>
              </w:rPr>
              <w:t>CAP_BPLT</w:t>
            </w:r>
          </w:p>
        </w:tc>
        <w:tc>
          <w:tcPr>
            <w:tcW w:w="7429" w:type="dxa"/>
            <w:tcBorders/>
          </w:tcPr>
          <w:p>
            <w:pPr>
              <w:pStyle w:val="Normal"/>
              <w:tabs>
                <w:tab w:val="clear" w:pos="720"/>
              </w:tabs>
              <w:bidi w:val="0"/>
              <w:jc w:val="start"/>
              <w:rPr/>
            </w:pPr>
            <w:r>
              <w:rPr>
                <w:rFonts w:ascii="MS Sans Serif" w:hAnsi="MS Sans Serif"/>
              </w:rPr>
              <w:t>Hourly boiler-plate MW.</w:t>
            </w:r>
          </w:p>
        </w:tc>
      </w:tr>
      <w:tr>
        <w:trPr/>
        <w:tc>
          <w:tcPr>
            <w:tcW w:w="1839" w:type="dxa"/>
            <w:tcBorders/>
          </w:tcPr>
          <w:p>
            <w:pPr>
              <w:pStyle w:val="Normal"/>
              <w:tabs>
                <w:tab w:val="clear" w:pos="720"/>
              </w:tabs>
              <w:bidi w:val="0"/>
              <w:jc w:val="both"/>
              <w:rPr/>
            </w:pPr>
            <w:r>
              <w:rPr>
                <w:rFonts w:ascii="MS Sans Serif" w:hAnsi="MS Sans Serif"/>
                <w:b/>
              </w:rPr>
              <w:t>CAP_OBS</w:t>
            </w:r>
          </w:p>
        </w:tc>
        <w:tc>
          <w:tcPr>
            <w:tcW w:w="7429" w:type="dxa"/>
            <w:tcBorders/>
          </w:tcPr>
          <w:p>
            <w:pPr>
              <w:pStyle w:val="Normal"/>
              <w:tabs>
                <w:tab w:val="clear" w:pos="720"/>
              </w:tabs>
              <w:bidi w:val="0"/>
              <w:jc w:val="start"/>
              <w:rPr/>
            </w:pPr>
            <w:r>
              <w:rPr>
                <w:rFonts w:ascii="MS Sans Serif" w:hAnsi="MS Sans Serif"/>
              </w:rPr>
              <w:t>Hourly scheduled plus bid capacity.</w:t>
            </w:r>
          </w:p>
        </w:tc>
      </w:tr>
      <w:tr>
        <w:trPr/>
        <w:tc>
          <w:tcPr>
            <w:tcW w:w="1839" w:type="dxa"/>
            <w:tcBorders/>
          </w:tcPr>
          <w:p>
            <w:pPr>
              <w:pStyle w:val="Normal"/>
              <w:tabs>
                <w:tab w:val="clear" w:pos="720"/>
              </w:tabs>
              <w:bidi w:val="0"/>
              <w:jc w:val="both"/>
              <w:rPr/>
            </w:pPr>
            <w:r>
              <w:rPr>
                <w:rFonts w:ascii="MS Sans Serif" w:hAnsi="MS Sans Serif"/>
                <w:b/>
              </w:rPr>
              <w:t>ENGY_MTR</w:t>
            </w:r>
          </w:p>
        </w:tc>
        <w:tc>
          <w:tcPr>
            <w:tcW w:w="7429" w:type="dxa"/>
            <w:tcBorders/>
          </w:tcPr>
          <w:p>
            <w:pPr>
              <w:pStyle w:val="Normal"/>
              <w:tabs>
                <w:tab w:val="clear" w:pos="720"/>
              </w:tabs>
              <w:bidi w:val="0"/>
              <w:jc w:val="start"/>
              <w:rPr/>
            </w:pPr>
            <w:r>
              <w:rPr>
                <w:rFonts w:ascii="MS Sans Serif" w:hAnsi="MS Sans Serif"/>
              </w:rPr>
              <w:t>Hourly metered energy.</w:t>
            </w:r>
          </w:p>
        </w:tc>
      </w:tr>
      <w:tr>
        <w:trPr/>
        <w:tc>
          <w:tcPr>
            <w:tcW w:w="1839" w:type="dxa"/>
            <w:tcBorders/>
          </w:tcPr>
          <w:p>
            <w:pPr>
              <w:pStyle w:val="Normal"/>
              <w:tabs>
                <w:tab w:val="clear" w:pos="720"/>
              </w:tabs>
              <w:bidi w:val="0"/>
              <w:jc w:val="both"/>
              <w:rPr/>
            </w:pPr>
            <w:r>
              <w:rPr>
                <w:rFonts w:ascii="MS Sans Serif" w:hAnsi="MS Sans Serif"/>
                <w:b/>
              </w:rPr>
              <w:t>ENGY_OBS</w:t>
            </w:r>
          </w:p>
        </w:tc>
        <w:tc>
          <w:tcPr>
            <w:tcW w:w="7429" w:type="dxa"/>
            <w:tcBorders/>
          </w:tcPr>
          <w:p>
            <w:pPr>
              <w:pStyle w:val="Normal"/>
              <w:tabs>
                <w:tab w:val="clear" w:pos="720"/>
              </w:tabs>
              <w:bidi w:val="0"/>
              <w:jc w:val="start"/>
              <w:rPr/>
            </w:pPr>
            <w:r>
              <w:rPr>
                <w:rFonts w:ascii="MS Sans Serif" w:hAnsi="MS Sans Serif"/>
              </w:rPr>
              <w:t>Hourly scheduled energy [sum(ha_mw + bp_sp + bp+ns + bp_rp + bp_se + sch_chg)].</w:t>
            </w:r>
          </w:p>
        </w:tc>
      </w:tr>
      <w:tr>
        <w:trPr/>
        <w:tc>
          <w:tcPr>
            <w:tcW w:w="1839" w:type="dxa"/>
            <w:tcBorders/>
          </w:tcPr>
          <w:p>
            <w:pPr>
              <w:pStyle w:val="Normal"/>
              <w:tabs>
                <w:tab w:val="clear" w:pos="720"/>
              </w:tabs>
              <w:bidi w:val="0"/>
              <w:jc w:val="both"/>
              <w:rPr/>
            </w:pPr>
            <w:r>
              <w:rPr>
                <w:rFonts w:ascii="MS Sans Serif" w:hAnsi="MS Sans Serif"/>
                <w:b/>
              </w:rPr>
              <w:t>CAP_OUT</w:t>
            </w:r>
          </w:p>
        </w:tc>
        <w:tc>
          <w:tcPr>
            <w:tcW w:w="7429" w:type="dxa"/>
            <w:tcBorders/>
          </w:tcPr>
          <w:p>
            <w:pPr>
              <w:pStyle w:val="Normal"/>
              <w:tabs>
                <w:tab w:val="clear" w:pos="720"/>
              </w:tabs>
              <w:bidi w:val="0"/>
              <w:jc w:val="start"/>
              <w:rPr/>
            </w:pPr>
            <w:r>
              <w:rPr>
                <w:rFonts w:ascii="MS Sans Serif" w:hAnsi="MS Sans Serif"/>
              </w:rPr>
              <w:t>Hourly outage (boiler plate capacity less scheduled capacity).</w:t>
            </w:r>
          </w:p>
        </w:tc>
      </w:tr>
      <w:tr>
        <w:trPr/>
        <w:tc>
          <w:tcPr>
            <w:tcW w:w="1839" w:type="dxa"/>
            <w:tcBorders/>
          </w:tcPr>
          <w:p>
            <w:pPr>
              <w:pStyle w:val="Normal"/>
              <w:tabs>
                <w:tab w:val="clear" w:pos="720"/>
              </w:tabs>
              <w:bidi w:val="0"/>
              <w:jc w:val="both"/>
              <w:rPr/>
            </w:pPr>
            <w:r>
              <w:rPr>
                <w:rFonts w:ascii="MS Sans Serif" w:hAnsi="MS Sans Serif"/>
                <w:b/>
              </w:rPr>
              <w:t>CURT_MW</w:t>
            </w:r>
          </w:p>
        </w:tc>
        <w:tc>
          <w:tcPr>
            <w:tcW w:w="7429" w:type="dxa"/>
            <w:tcBorders/>
          </w:tcPr>
          <w:p>
            <w:pPr>
              <w:pStyle w:val="Normal"/>
              <w:tabs>
                <w:tab w:val="clear" w:pos="720"/>
              </w:tabs>
              <w:bidi w:val="0"/>
              <w:jc w:val="start"/>
              <w:rPr/>
            </w:pPr>
            <w:r>
              <w:rPr>
                <w:rFonts w:ascii="MS Sans Serif" w:hAnsi="MS Sans Serif"/>
              </w:rPr>
              <w:t>Hourly outage per SLIC report.</w:t>
            </w:r>
          </w:p>
        </w:tc>
      </w:tr>
      <w:tr>
        <w:trPr/>
        <w:tc>
          <w:tcPr>
            <w:tcW w:w="1839" w:type="dxa"/>
            <w:tcBorders/>
          </w:tcPr>
          <w:p>
            <w:pPr>
              <w:pStyle w:val="Normal"/>
              <w:tabs>
                <w:tab w:val="clear" w:pos="720"/>
              </w:tabs>
              <w:bidi w:val="0"/>
              <w:jc w:val="both"/>
              <w:rPr/>
            </w:pPr>
            <w:r>
              <w:rPr>
                <w:rFonts w:ascii="MS Sans Serif" w:hAnsi="MS Sans Serif"/>
                <w:b/>
              </w:rPr>
              <w:t>S_BPL_CP</w:t>
            </w:r>
          </w:p>
        </w:tc>
        <w:tc>
          <w:tcPr>
            <w:tcW w:w="7429" w:type="dxa"/>
            <w:tcBorders/>
          </w:tcPr>
          <w:p>
            <w:pPr>
              <w:pStyle w:val="Normal"/>
              <w:tabs>
                <w:tab w:val="clear" w:pos="720"/>
              </w:tabs>
              <w:bidi w:val="0"/>
              <w:jc w:val="start"/>
              <w:rPr/>
            </w:pPr>
            <w:r>
              <w:rPr>
                <w:rFonts w:ascii="MS Sans Serif" w:hAnsi="MS Sans Serif"/>
              </w:rPr>
              <w:t>Daily sum of boiler plate capacity.</w:t>
            </w:r>
          </w:p>
        </w:tc>
      </w:tr>
      <w:tr>
        <w:trPr/>
        <w:tc>
          <w:tcPr>
            <w:tcW w:w="1839" w:type="dxa"/>
            <w:tcBorders/>
          </w:tcPr>
          <w:p>
            <w:pPr>
              <w:pStyle w:val="Normal"/>
              <w:tabs>
                <w:tab w:val="clear" w:pos="720"/>
              </w:tabs>
              <w:bidi w:val="0"/>
              <w:jc w:val="both"/>
              <w:rPr/>
            </w:pPr>
            <w:r>
              <w:rPr>
                <w:rFonts w:ascii="MS Sans Serif" w:hAnsi="MS Sans Serif"/>
                <w:b/>
              </w:rPr>
              <w:t>S_OBS_CP</w:t>
            </w:r>
          </w:p>
        </w:tc>
        <w:tc>
          <w:tcPr>
            <w:tcW w:w="7429" w:type="dxa"/>
            <w:tcBorders/>
          </w:tcPr>
          <w:p>
            <w:pPr>
              <w:pStyle w:val="Normal"/>
              <w:tabs>
                <w:tab w:val="clear" w:pos="720"/>
              </w:tabs>
              <w:bidi w:val="0"/>
              <w:jc w:val="start"/>
              <w:rPr/>
            </w:pPr>
            <w:r>
              <w:rPr>
                <w:rFonts w:ascii="MS Sans Serif" w:hAnsi="MS Sans Serif"/>
              </w:rPr>
              <w:t>Daily sum of hourly scheduled plus bid capacity.</w:t>
            </w:r>
          </w:p>
        </w:tc>
      </w:tr>
      <w:tr>
        <w:trPr/>
        <w:tc>
          <w:tcPr>
            <w:tcW w:w="1839" w:type="dxa"/>
            <w:tcBorders/>
          </w:tcPr>
          <w:p>
            <w:pPr>
              <w:pStyle w:val="Normal"/>
              <w:tabs>
                <w:tab w:val="clear" w:pos="720"/>
              </w:tabs>
              <w:bidi w:val="0"/>
              <w:jc w:val="both"/>
              <w:rPr/>
            </w:pPr>
            <w:r>
              <w:rPr>
                <w:rFonts w:ascii="MS Sans Serif" w:hAnsi="MS Sans Serif"/>
                <w:b/>
              </w:rPr>
              <w:t>S_OUT_CP</w:t>
            </w:r>
          </w:p>
        </w:tc>
        <w:tc>
          <w:tcPr>
            <w:tcW w:w="7429" w:type="dxa"/>
            <w:tcBorders/>
          </w:tcPr>
          <w:p>
            <w:pPr>
              <w:pStyle w:val="Normal"/>
              <w:tabs>
                <w:tab w:val="clear" w:pos="720"/>
              </w:tabs>
              <w:bidi w:val="0"/>
              <w:jc w:val="start"/>
              <w:rPr/>
            </w:pPr>
            <w:r>
              <w:rPr>
                <w:rFonts w:ascii="MS Sans Serif" w:hAnsi="MS Sans Serif"/>
              </w:rPr>
              <w:t>Daily sum of boiler plate capacity less scheduled capacity (CAP_OUT).</w:t>
            </w:r>
          </w:p>
        </w:tc>
      </w:tr>
      <w:tr>
        <w:trPr/>
        <w:tc>
          <w:tcPr>
            <w:tcW w:w="1839" w:type="dxa"/>
            <w:tcBorders/>
          </w:tcPr>
          <w:p>
            <w:pPr>
              <w:pStyle w:val="Normal"/>
              <w:tabs>
                <w:tab w:val="clear" w:pos="720"/>
              </w:tabs>
              <w:bidi w:val="0"/>
              <w:jc w:val="both"/>
              <w:rPr/>
            </w:pPr>
            <w:r>
              <w:rPr>
                <w:rFonts w:ascii="MS Sans Serif" w:hAnsi="MS Sans Serif"/>
                <w:b/>
              </w:rPr>
              <w:t>S_OBS_EN</w:t>
            </w:r>
          </w:p>
        </w:tc>
        <w:tc>
          <w:tcPr>
            <w:tcW w:w="7429" w:type="dxa"/>
            <w:tcBorders/>
          </w:tcPr>
          <w:p>
            <w:pPr>
              <w:pStyle w:val="Normal"/>
              <w:tabs>
                <w:tab w:val="clear" w:pos="720"/>
              </w:tabs>
              <w:bidi w:val="0"/>
              <w:jc w:val="start"/>
              <w:rPr/>
            </w:pPr>
            <w:r>
              <w:rPr>
                <w:rFonts w:ascii="MS Sans Serif" w:hAnsi="MS Sans Serif"/>
              </w:rPr>
              <w:t>Daily sum of hourly scheduled energy.</w:t>
            </w:r>
          </w:p>
        </w:tc>
      </w:tr>
      <w:tr>
        <w:trPr/>
        <w:tc>
          <w:tcPr>
            <w:tcW w:w="1839" w:type="dxa"/>
            <w:tcBorders/>
          </w:tcPr>
          <w:p>
            <w:pPr>
              <w:pStyle w:val="Normal"/>
              <w:tabs>
                <w:tab w:val="clear" w:pos="720"/>
              </w:tabs>
              <w:bidi w:val="0"/>
              <w:jc w:val="both"/>
              <w:rPr/>
            </w:pPr>
            <w:r>
              <w:rPr>
                <w:rFonts w:ascii="MS Sans Serif" w:hAnsi="MS Sans Serif"/>
                <w:b/>
              </w:rPr>
              <w:t>S_MTR_EN</w:t>
            </w:r>
          </w:p>
        </w:tc>
        <w:tc>
          <w:tcPr>
            <w:tcW w:w="7429" w:type="dxa"/>
            <w:tcBorders/>
          </w:tcPr>
          <w:p>
            <w:pPr>
              <w:pStyle w:val="Normal"/>
              <w:tabs>
                <w:tab w:val="clear" w:pos="720"/>
              </w:tabs>
              <w:bidi w:val="0"/>
              <w:jc w:val="start"/>
              <w:rPr/>
            </w:pPr>
            <w:r>
              <w:rPr>
                <w:rFonts w:ascii="MS Sans Serif" w:hAnsi="MS Sans Serif"/>
              </w:rPr>
              <w:t>Daily sum of hourly metered energy.</w:t>
            </w:r>
          </w:p>
        </w:tc>
      </w:tr>
      <w:tr>
        <w:trPr/>
        <w:tc>
          <w:tcPr>
            <w:tcW w:w="1839" w:type="dxa"/>
            <w:tcBorders/>
          </w:tcPr>
          <w:p>
            <w:pPr>
              <w:pStyle w:val="Normal"/>
              <w:tabs>
                <w:tab w:val="clear" w:pos="720"/>
              </w:tabs>
              <w:bidi w:val="0"/>
              <w:jc w:val="both"/>
              <w:rPr/>
            </w:pPr>
            <w:r>
              <w:rPr>
                <w:rFonts w:ascii="MS Sans Serif" w:hAnsi="MS Sans Serif"/>
                <w:b/>
              </w:rPr>
              <w:t>M_BPL_CP</w:t>
            </w:r>
          </w:p>
        </w:tc>
        <w:tc>
          <w:tcPr>
            <w:tcW w:w="7429" w:type="dxa"/>
            <w:tcBorders/>
          </w:tcPr>
          <w:p>
            <w:pPr>
              <w:pStyle w:val="Normal"/>
              <w:tabs>
                <w:tab w:val="clear" w:pos="720"/>
              </w:tabs>
              <w:bidi w:val="0"/>
              <w:jc w:val="start"/>
              <w:rPr/>
            </w:pPr>
            <w:r>
              <w:rPr>
                <w:rFonts w:ascii="MS Sans Serif" w:hAnsi="MS Sans Serif"/>
              </w:rPr>
              <w:t>Daily max of boiler plate capacity.</w:t>
            </w:r>
          </w:p>
        </w:tc>
      </w:tr>
      <w:tr>
        <w:trPr/>
        <w:tc>
          <w:tcPr>
            <w:tcW w:w="1839" w:type="dxa"/>
            <w:tcBorders/>
          </w:tcPr>
          <w:p>
            <w:pPr>
              <w:pStyle w:val="Normal"/>
              <w:tabs>
                <w:tab w:val="clear" w:pos="720"/>
              </w:tabs>
              <w:bidi w:val="0"/>
              <w:jc w:val="both"/>
              <w:rPr/>
            </w:pPr>
            <w:r>
              <w:rPr>
                <w:rFonts w:ascii="MS Sans Serif" w:hAnsi="MS Sans Serif"/>
                <w:b/>
              </w:rPr>
              <w:t>M_OBS_CP</w:t>
            </w:r>
          </w:p>
        </w:tc>
        <w:tc>
          <w:tcPr>
            <w:tcW w:w="7429" w:type="dxa"/>
            <w:tcBorders/>
          </w:tcPr>
          <w:p>
            <w:pPr>
              <w:pStyle w:val="Normal"/>
              <w:tabs>
                <w:tab w:val="clear" w:pos="720"/>
              </w:tabs>
              <w:bidi w:val="0"/>
              <w:jc w:val="start"/>
              <w:rPr/>
            </w:pPr>
            <w:r>
              <w:rPr>
                <w:rFonts w:ascii="MS Sans Serif" w:hAnsi="MS Sans Serif"/>
              </w:rPr>
              <w:t>Daily max of scheduled capacity.</w:t>
            </w:r>
          </w:p>
        </w:tc>
      </w:tr>
      <w:tr>
        <w:trPr/>
        <w:tc>
          <w:tcPr>
            <w:tcW w:w="1839" w:type="dxa"/>
            <w:tcBorders/>
          </w:tcPr>
          <w:p>
            <w:pPr>
              <w:pStyle w:val="Normal"/>
              <w:tabs>
                <w:tab w:val="clear" w:pos="720"/>
              </w:tabs>
              <w:bidi w:val="0"/>
              <w:jc w:val="both"/>
              <w:rPr/>
            </w:pPr>
            <w:r>
              <w:rPr>
                <w:rFonts w:ascii="MS Sans Serif" w:hAnsi="MS Sans Serif"/>
                <w:b/>
              </w:rPr>
              <w:t>M_OUT_CP</w:t>
            </w:r>
          </w:p>
        </w:tc>
        <w:tc>
          <w:tcPr>
            <w:tcW w:w="7429" w:type="dxa"/>
            <w:tcBorders/>
          </w:tcPr>
          <w:p>
            <w:pPr>
              <w:pStyle w:val="Normal"/>
              <w:tabs>
                <w:tab w:val="clear" w:pos="720"/>
              </w:tabs>
              <w:bidi w:val="0"/>
              <w:jc w:val="start"/>
              <w:rPr/>
            </w:pPr>
            <w:r>
              <w:rPr>
                <w:rFonts w:ascii="MS Sans Serif" w:hAnsi="MS Sans Serif"/>
              </w:rPr>
              <w:t>Daily max of boiler plate capacity less scheduled capacity (CAP_OUT).</w:t>
            </w:r>
          </w:p>
        </w:tc>
      </w:tr>
      <w:tr>
        <w:trPr/>
        <w:tc>
          <w:tcPr>
            <w:tcW w:w="1839" w:type="dxa"/>
            <w:tcBorders/>
          </w:tcPr>
          <w:p>
            <w:pPr>
              <w:pStyle w:val="Normal"/>
              <w:tabs>
                <w:tab w:val="clear" w:pos="720"/>
              </w:tabs>
              <w:bidi w:val="0"/>
              <w:jc w:val="both"/>
              <w:rPr/>
            </w:pPr>
            <w:r>
              <w:rPr>
                <w:rFonts w:ascii="MS Sans Serif" w:hAnsi="MS Sans Serif"/>
                <w:b/>
              </w:rPr>
              <w:t>M_OBS_EN</w:t>
            </w:r>
          </w:p>
        </w:tc>
        <w:tc>
          <w:tcPr>
            <w:tcW w:w="7429" w:type="dxa"/>
            <w:tcBorders/>
          </w:tcPr>
          <w:p>
            <w:pPr>
              <w:pStyle w:val="Normal"/>
              <w:tabs>
                <w:tab w:val="clear" w:pos="720"/>
              </w:tabs>
              <w:bidi w:val="0"/>
              <w:jc w:val="start"/>
              <w:rPr/>
            </w:pPr>
            <w:r>
              <w:rPr>
                <w:rFonts w:ascii="MS Sans Serif" w:hAnsi="MS Sans Serif"/>
              </w:rPr>
              <w:t>Daily max of hourly scheduled energy.</w:t>
            </w:r>
          </w:p>
        </w:tc>
      </w:tr>
      <w:tr>
        <w:trPr/>
        <w:tc>
          <w:tcPr>
            <w:tcW w:w="1839" w:type="dxa"/>
            <w:tcBorders/>
          </w:tcPr>
          <w:p>
            <w:pPr>
              <w:pStyle w:val="Normal"/>
              <w:tabs>
                <w:tab w:val="clear" w:pos="720"/>
              </w:tabs>
              <w:bidi w:val="0"/>
              <w:jc w:val="both"/>
              <w:rPr/>
            </w:pPr>
            <w:r>
              <w:rPr>
                <w:rFonts w:ascii="MS Sans Serif" w:hAnsi="MS Sans Serif"/>
                <w:b/>
              </w:rPr>
              <w:t>M_MTR_EN</w:t>
            </w:r>
          </w:p>
        </w:tc>
        <w:tc>
          <w:tcPr>
            <w:tcW w:w="7429" w:type="dxa"/>
            <w:tcBorders/>
          </w:tcPr>
          <w:p>
            <w:pPr>
              <w:pStyle w:val="Normal"/>
              <w:tabs>
                <w:tab w:val="clear" w:pos="720"/>
              </w:tabs>
              <w:bidi w:val="0"/>
              <w:jc w:val="start"/>
              <w:rPr/>
            </w:pPr>
            <w:r>
              <w:rPr>
                <w:rFonts w:ascii="MS Sans Serif" w:hAnsi="MS Sans Serif"/>
              </w:rPr>
              <w:t>Daily max of hourly metered energy.</w:t>
            </w:r>
          </w:p>
        </w:tc>
      </w:tr>
      <w:tr>
        <w:trPr/>
        <w:tc>
          <w:tcPr>
            <w:tcW w:w="1839" w:type="dxa"/>
            <w:tcBorders/>
          </w:tcPr>
          <w:p>
            <w:pPr>
              <w:pStyle w:val="Normal"/>
              <w:tabs>
                <w:tab w:val="clear" w:pos="720"/>
              </w:tabs>
              <w:bidi w:val="0"/>
              <w:jc w:val="both"/>
              <w:rPr/>
            </w:pPr>
            <w:r>
              <w:rPr>
                <w:rFonts w:ascii="MS Sans Serif" w:hAnsi="MS Sans Serif"/>
                <w:b/>
              </w:rPr>
              <w:t>S_CRT_MW</w:t>
            </w:r>
          </w:p>
        </w:tc>
        <w:tc>
          <w:tcPr>
            <w:tcW w:w="7429" w:type="dxa"/>
            <w:tcBorders/>
          </w:tcPr>
          <w:p>
            <w:pPr>
              <w:pStyle w:val="Normal"/>
              <w:tabs>
                <w:tab w:val="clear" w:pos="720"/>
              </w:tabs>
              <w:bidi w:val="0"/>
              <w:jc w:val="start"/>
              <w:rPr/>
            </w:pPr>
            <w:r>
              <w:rPr>
                <w:rFonts w:ascii="MS Sans Serif" w:hAnsi="MS Sans Serif"/>
              </w:rPr>
              <w:t>Sum of hourly outage per SLIC report.</w:t>
            </w:r>
          </w:p>
        </w:tc>
      </w:tr>
      <w:tr>
        <w:trPr/>
        <w:tc>
          <w:tcPr>
            <w:tcW w:w="1839" w:type="dxa"/>
            <w:tcBorders/>
          </w:tcPr>
          <w:p>
            <w:pPr>
              <w:pStyle w:val="Normal"/>
              <w:tabs>
                <w:tab w:val="clear" w:pos="720"/>
              </w:tabs>
              <w:bidi w:val="0"/>
              <w:jc w:val="both"/>
              <w:rPr/>
            </w:pPr>
            <w:r>
              <w:rPr>
                <w:rFonts w:ascii="MS Sans Serif" w:hAnsi="MS Sans Serif"/>
                <w:b/>
              </w:rPr>
              <w:t>M_CRT_MW</w:t>
            </w:r>
          </w:p>
        </w:tc>
        <w:tc>
          <w:tcPr>
            <w:tcW w:w="7429" w:type="dxa"/>
            <w:tcBorders/>
          </w:tcPr>
          <w:p>
            <w:pPr>
              <w:pStyle w:val="Normal"/>
              <w:tabs>
                <w:tab w:val="clear" w:pos="720"/>
              </w:tabs>
              <w:bidi w:val="0"/>
              <w:jc w:val="start"/>
              <w:rPr/>
            </w:pPr>
            <w:r>
              <w:rPr>
                <w:rFonts w:ascii="MS Sans Serif" w:hAnsi="MS Sans Serif"/>
              </w:rPr>
              <w:t>Max of hourly outage per SLIC report.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6"/>
        </w:rPr>
        <w:t>2.    Provide bid data for those California ISO markets provided in the weekly compliance reports (beep, OOM, and AS markets) under Docket EL00-95-000.    Please provide the same data elements in the same format provided weekly, but for all bids including those under $150.</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MS Sans Serif">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