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rPr>
      </w:pPr>
      <w:r>
        <w:rPr>
          <w:sz w:val="26"/>
        </w:rPr>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t>Before Commissioners: Curt Hébert, Jr., Chairman;</w:t>
      </w:r>
    </w:p>
    <w:p>
      <w:pPr>
        <w:pStyle w:val="Normal"/>
        <w:widowControl/>
        <w:ind w:firstLine="2160" w:end="0"/>
        <w:rPr>
          <w:sz w:val="26"/>
        </w:rPr>
      </w:pPr>
      <w:r>
        <w:rPr>
          <w:sz w:val="26"/>
        </w:rPr>
        <w:t xml:space="preserve">      </w:t>
      </w:r>
      <w:r>
        <w:rPr>
          <w:sz w:val="26"/>
        </w:rPr>
        <w:t>William L. Massey, Linda Breathitt,</w:t>
      </w:r>
    </w:p>
    <w:p>
      <w:pPr>
        <w:pStyle w:val="Normal"/>
        <w:widowControl/>
        <w:ind w:firstLine="2160" w:end="0"/>
        <w:rPr>
          <w:sz w:val="26"/>
        </w:rPr>
      </w:pPr>
      <w:r>
        <w:rPr>
          <w:sz w:val="26"/>
        </w:rPr>
        <w:t xml:space="preserve">      </w:t>
      </w:r>
      <w:r>
        <w:rPr>
          <w:sz w:val="26"/>
        </w:rPr>
        <w:t>Pat Wood, III and Nora Mead Brownell.</w:t>
      </w:r>
    </w:p>
    <w:p>
      <w:pPr>
        <w:pStyle w:val="Normal"/>
        <w:widowControl/>
        <w:rPr>
          <w:sz w:val="26"/>
        </w:rPr>
      </w:pPr>
      <w:r>
        <w:rPr>
          <w:sz w:val="26"/>
        </w:rPr>
      </w:r>
    </w:p>
    <w:p>
      <w:pPr>
        <w:pStyle w:val="Normal"/>
        <w:widowControl/>
        <w:rPr>
          <w:sz w:val="26"/>
        </w:rPr>
      </w:pPr>
      <w:r>
        <w:rPr>
          <w:sz w:val="26"/>
        </w:rPr>
        <w:t>San Diego Gas &amp; Electric Company,</w:t>
      </w:r>
    </w:p>
    <w:p>
      <w:pPr>
        <w:pStyle w:val="Normal"/>
        <w:widowControl/>
        <w:ind w:firstLine="1440" w:end="0"/>
        <w:rPr>
          <w:sz w:val="26"/>
        </w:rPr>
      </w:pPr>
      <w:r>
        <w:rPr>
          <w:sz w:val="26"/>
        </w:rPr>
        <w:t>Complainant,</w:t>
      </w:r>
    </w:p>
    <w:p>
      <w:pPr>
        <w:pStyle w:val="Normal"/>
        <w:widowControl/>
        <w:rPr>
          <w:sz w:val="26"/>
        </w:rPr>
      </w:pPr>
      <w:r>
        <w:rPr>
          <w:sz w:val="26"/>
        </w:rPr>
      </w:r>
    </w:p>
    <w:p>
      <w:pPr>
        <w:pStyle w:val="Normal"/>
        <w:widowControl/>
        <w:ind w:firstLine="1440" w:end="0"/>
        <w:rPr>
          <w:sz w:val="26"/>
        </w:rPr>
      </w:pPr>
      <w:r>
        <w:rPr>
          <w:sz w:val="26"/>
        </w:rPr>
        <w:t>v.</w:t>
        <w:tab/>
        <w:tab/>
        <w:tab/>
        <w:tab/>
        <w:tab/>
        <w:tab/>
        <w:t>Docket Nos.  EL00-95-004</w:t>
      </w:r>
    </w:p>
    <w:p>
      <w:pPr>
        <w:pStyle w:val="Normal"/>
        <w:widowControl/>
        <w:ind w:firstLine="7200" w:end="0"/>
        <w:rPr>
          <w:sz w:val="26"/>
        </w:rPr>
      </w:pPr>
      <w:r>
        <w:rPr>
          <w:sz w:val="26"/>
        </w:rPr>
        <w:t>EL00-95-005</w:t>
      </w:r>
    </w:p>
    <w:p>
      <w:pPr>
        <w:pStyle w:val="Normal"/>
        <w:widowControl/>
        <w:rPr>
          <w:sz w:val="26"/>
        </w:rPr>
      </w:pPr>
      <w:r>
        <w:rPr>
          <w:sz w:val="26"/>
        </w:rPr>
        <w:t>Sellers of Energy and Ancillary Service Into</w:t>
        <w:tab/>
        <w:tab/>
        <w:tab/>
        <w:tab/>
        <w:t>EL00-95-019</w:t>
      </w:r>
    </w:p>
    <w:p>
      <w:pPr>
        <w:pStyle w:val="Normal"/>
        <w:widowControl/>
        <w:rPr>
          <w:sz w:val="26"/>
        </w:rPr>
      </w:pPr>
      <w:r>
        <w:rPr>
          <w:sz w:val="26"/>
        </w:rPr>
        <w:t>Markets Operated by the California</w:t>
        <w:tab/>
        <w:tab/>
        <w:tab/>
        <w:tab/>
        <w:tab/>
        <w:t>EL00-95-031</w:t>
      </w:r>
    </w:p>
    <w:p>
      <w:pPr>
        <w:pStyle w:val="Normal"/>
        <w:widowControl/>
        <w:rPr>
          <w:sz w:val="26"/>
        </w:rPr>
      </w:pPr>
      <w:r>
        <w:rPr>
          <w:sz w:val="26"/>
        </w:rPr>
        <w:t>Independent System Operator Corporation and the</w:t>
      </w:r>
    </w:p>
    <w:p>
      <w:pPr>
        <w:pStyle w:val="Normal"/>
        <w:widowControl/>
        <w:rPr>
          <w:sz w:val="26"/>
        </w:rPr>
      </w:pPr>
      <w:r>
        <w:rPr>
          <w:sz w:val="26"/>
        </w:rPr>
        <w:t>California Power Exchange,</w:t>
      </w:r>
    </w:p>
    <w:p>
      <w:pPr>
        <w:pStyle w:val="Normal"/>
        <w:widowControl/>
        <w:ind w:firstLine="1440" w:end="0"/>
        <w:rPr>
          <w:sz w:val="26"/>
        </w:rPr>
      </w:pPr>
      <w:r>
        <w:rPr>
          <w:sz w:val="26"/>
        </w:rPr>
        <w:t>Respondents.</w:t>
      </w:r>
    </w:p>
    <w:p>
      <w:pPr>
        <w:pStyle w:val="Normal"/>
        <w:widowControl/>
        <w:rPr>
          <w:sz w:val="26"/>
        </w:rPr>
      </w:pPr>
      <w:r>
        <w:rPr>
          <w:sz w:val="26"/>
        </w:rPr>
      </w:r>
    </w:p>
    <w:p>
      <w:pPr>
        <w:pStyle w:val="Normal"/>
        <w:widowControl/>
        <w:rPr>
          <w:sz w:val="26"/>
        </w:rPr>
      </w:pPr>
      <w:r>
        <w:rPr>
          <w:sz w:val="26"/>
        </w:rPr>
        <w:t>Investigation of Practices of the California</w:t>
        <w:tab/>
        <w:tab/>
        <w:t>Docket Nos.  EL00-98-004</w:t>
      </w:r>
    </w:p>
    <w:p>
      <w:pPr>
        <w:pStyle w:val="Normal"/>
        <w:widowControl/>
        <w:tabs>
          <w:tab w:val="clear" w:pos="720"/>
          <w:tab w:val="left" w:pos="-1440" w:leader="none"/>
        </w:tabs>
        <w:ind w:hanging="5760" w:start="5760" w:end="0"/>
        <w:rPr>
          <w:sz w:val="26"/>
        </w:rPr>
      </w:pPr>
      <w:r>
        <w:rPr>
          <w:sz w:val="26"/>
        </w:rPr>
        <w:t xml:space="preserve">  </w:t>
      </w:r>
      <w:r>
        <w:rPr>
          <w:sz w:val="26"/>
        </w:rPr>
        <w:t>Independent System Operator and the California</w:t>
        <w:tab/>
        <w:tab/>
        <w:t xml:space="preserve">      </w:t>
        <w:tab/>
        <w:t>EL00-98-005</w:t>
      </w:r>
    </w:p>
    <w:p>
      <w:pPr>
        <w:pStyle w:val="Normal"/>
        <w:widowControl/>
        <w:rPr>
          <w:sz w:val="26"/>
        </w:rPr>
      </w:pPr>
      <w:r>
        <w:rPr>
          <w:sz w:val="26"/>
        </w:rPr>
        <w:t xml:space="preserve">  </w:t>
      </w:r>
      <w:r>
        <w:rPr>
          <w:sz w:val="26"/>
        </w:rPr>
        <w:t>Power Exchange</w:t>
        <w:tab/>
        <w:tab/>
        <w:tab/>
        <w:tab/>
        <w:tab/>
        <w:tab/>
        <w:tab/>
        <w:tab/>
        <w:t>EL00-98-018</w:t>
      </w:r>
    </w:p>
    <w:p>
      <w:pPr>
        <w:pStyle w:val="Normal"/>
        <w:widowControl/>
        <w:ind w:firstLine="7200" w:end="0"/>
        <w:rPr>
          <w:sz w:val="26"/>
        </w:rPr>
      </w:pPr>
      <w:r>
        <w:rPr>
          <w:sz w:val="26"/>
        </w:rPr>
        <w:t>EL00-98-030</w:t>
      </w:r>
    </w:p>
    <w:p>
      <w:pPr>
        <w:pStyle w:val="Normal"/>
        <w:widowControl/>
        <w:rPr>
          <w:sz w:val="26"/>
        </w:rPr>
      </w:pPr>
      <w:r>
        <w:rPr>
          <w:sz w:val="26"/>
        </w:rPr>
      </w:r>
    </w:p>
    <w:p>
      <w:pPr>
        <w:pStyle w:val="Normal"/>
        <w:widowControl/>
        <w:rPr>
          <w:sz w:val="26"/>
        </w:rPr>
      </w:pPr>
      <w:r>
        <w:rPr>
          <w:sz w:val="26"/>
        </w:rPr>
        <w:t>Puget Sound Energy, Inc.,</w:t>
      </w:r>
    </w:p>
    <w:p>
      <w:pPr>
        <w:pStyle w:val="Normal"/>
        <w:widowControl/>
        <w:ind w:firstLine="1440" w:end="0"/>
        <w:rPr>
          <w:sz w:val="26"/>
        </w:rPr>
      </w:pPr>
      <w:r>
        <w:rPr>
          <w:sz w:val="26"/>
        </w:rPr>
        <w:t>Complainant,</w:t>
      </w:r>
    </w:p>
    <w:p>
      <w:pPr>
        <w:pStyle w:val="Normal"/>
        <w:widowControl/>
        <w:rPr>
          <w:sz w:val="26"/>
        </w:rPr>
      </w:pPr>
      <w:r>
        <w:rPr>
          <w:sz w:val="26"/>
        </w:rPr>
      </w:r>
    </w:p>
    <w:p>
      <w:pPr>
        <w:pStyle w:val="Normal"/>
        <w:widowControl/>
        <w:tabs>
          <w:tab w:val="clear" w:pos="720"/>
          <w:tab w:val="left" w:pos="-1440" w:leader="none"/>
        </w:tabs>
        <w:ind w:hanging="5760" w:start="7200" w:end="0"/>
        <w:rPr>
          <w:sz w:val="26"/>
        </w:rPr>
      </w:pPr>
      <w:r>
        <w:rPr>
          <w:sz w:val="26"/>
        </w:rPr>
        <w:t>v.</w:t>
        <w:tab/>
        <w:tab/>
        <w:tab/>
        <w:tab/>
        <w:tab/>
        <w:tab/>
        <w:t>Docket Nos.</w:t>
        <w:tab/>
        <w:t>EL01-10-000</w:t>
      </w:r>
    </w:p>
    <w:p>
      <w:pPr>
        <w:pStyle w:val="Normal"/>
        <w:widowControl/>
        <w:ind w:firstLine="7200" w:end="0"/>
        <w:rPr>
          <w:sz w:val="26"/>
        </w:rPr>
      </w:pPr>
      <w:r>
        <w:rPr>
          <w:sz w:val="26"/>
        </w:rPr>
        <w:t>EL01-10-001</w:t>
      </w:r>
    </w:p>
    <w:p>
      <w:pPr>
        <w:pStyle w:val="Normal"/>
        <w:widowControl/>
        <w:tabs>
          <w:tab w:val="clear" w:pos="720"/>
          <w:tab w:val="left" w:pos="-1440" w:leader="none"/>
        </w:tabs>
        <w:ind w:hanging="5760" w:start="5760" w:end="0"/>
        <w:rPr>
          <w:sz w:val="26"/>
        </w:rPr>
      </w:pPr>
      <w:r>
        <w:rPr>
          <w:sz w:val="26"/>
        </w:rPr>
        <w:t>All Jurisdictional Sellers of Energy and/or Capacity</w:t>
        <w:tab/>
      </w:r>
    </w:p>
    <w:p>
      <w:pPr>
        <w:pStyle w:val="Normal"/>
        <w:widowControl/>
        <w:rPr>
          <w:sz w:val="26"/>
        </w:rPr>
      </w:pPr>
      <w:r>
        <w:rPr>
          <w:sz w:val="26"/>
        </w:rPr>
        <w:t xml:space="preserve">  </w:t>
      </w:r>
      <w:r>
        <w:rPr>
          <w:sz w:val="26"/>
        </w:rPr>
        <w:t>at Wholesale Into Electric Energy and/or Capacity</w:t>
      </w:r>
    </w:p>
    <w:p>
      <w:pPr>
        <w:pStyle w:val="Normal"/>
        <w:widowControl/>
        <w:rPr>
          <w:sz w:val="26"/>
        </w:rPr>
      </w:pPr>
      <w:r>
        <w:rPr>
          <w:sz w:val="26"/>
        </w:rPr>
        <w:t xml:space="preserve">  </w:t>
      </w:r>
      <w:r>
        <w:rPr>
          <w:sz w:val="26"/>
        </w:rPr>
        <w:t xml:space="preserve">Markets in the Pacific Northwest, Including Parties </w:t>
      </w:r>
    </w:p>
    <w:p>
      <w:pPr>
        <w:pStyle w:val="Normal"/>
        <w:widowControl/>
        <w:rPr>
          <w:sz w:val="26"/>
        </w:rPr>
      </w:pPr>
      <w:r>
        <w:rPr>
          <w:sz w:val="26"/>
        </w:rPr>
        <w:t xml:space="preserve">  </w:t>
      </w:r>
      <w:r>
        <w:rPr>
          <w:sz w:val="26"/>
        </w:rPr>
        <w:t xml:space="preserve">to the Western Systems Power Pool Agreement, </w:t>
      </w:r>
    </w:p>
    <w:p>
      <w:pPr>
        <w:pStyle w:val="Normal"/>
        <w:widowControl/>
        <w:ind w:firstLine="1440" w:end="0"/>
        <w:rPr>
          <w:sz w:val="26"/>
        </w:rPr>
      </w:pPr>
      <w:r>
        <w:rPr>
          <w:sz w:val="26"/>
        </w:rPr>
        <w:t>Respondents.</w:t>
      </w:r>
    </w:p>
    <w:p>
      <w:pPr>
        <w:pStyle w:val="Normal"/>
        <w:widowControl/>
        <w:rPr>
          <w:sz w:val="26"/>
        </w:rPr>
      </w:pPr>
      <w:r>
        <w:rPr>
          <w:sz w:val="26"/>
        </w:rPr>
      </w:r>
    </w:p>
    <w:p>
      <w:pPr>
        <w:pStyle w:val="Normal"/>
        <w:widowControl/>
        <w:jc w:val="center"/>
        <w:rPr>
          <w:sz w:val="26"/>
        </w:rPr>
      </w:pPr>
      <w:r>
        <w:rPr>
          <w:sz w:val="26"/>
        </w:rPr>
        <w:t xml:space="preserve">ORDER ESTABLISHING EVIDENTIARY HEARING PROCEDURES, </w:t>
      </w:r>
    </w:p>
    <w:p>
      <w:pPr>
        <w:pStyle w:val="Normal"/>
        <w:widowControl/>
        <w:jc w:val="center"/>
        <w:rPr>
          <w:sz w:val="26"/>
        </w:rPr>
      </w:pPr>
      <w:r>
        <w:rPr>
          <w:sz w:val="26"/>
        </w:rPr>
        <w:t xml:space="preserve">GRANTING REHEARING IN PART, AND </w:t>
      </w:r>
    </w:p>
    <w:p>
      <w:pPr>
        <w:pStyle w:val="Normal"/>
        <w:widowControl/>
        <w:jc w:val="center"/>
        <w:rPr>
          <w:sz w:val="26"/>
        </w:rPr>
      </w:pPr>
      <w:r>
        <w:rPr>
          <w:sz w:val="26"/>
        </w:rPr>
        <w:t>DENYING REHEARING IN PART</w:t>
      </w:r>
    </w:p>
    <w:p>
      <w:pPr>
        <w:pStyle w:val="Normal"/>
        <w:widowControl/>
        <w:rPr>
          <w:sz w:val="26"/>
        </w:rPr>
      </w:pPr>
      <w:r>
        <w:rPr>
          <w:sz w:val="26"/>
        </w:rPr>
      </w:r>
    </w:p>
    <w:p>
      <w:pPr>
        <w:pStyle w:val="Normal"/>
        <w:widowControl/>
        <w:tabs>
          <w:tab w:val="clear" w:pos="720"/>
          <w:tab w:val="center" w:pos="4680" w:leader="none"/>
        </w:tabs>
        <w:rPr>
          <w:sz w:val="26"/>
        </w:rPr>
      </w:pPr>
      <w:r>
        <w:rPr>
          <w:sz w:val="26"/>
        </w:rPr>
        <w:tab/>
        <w:t>(Issued July 25, 2001)</w:t>
      </w:r>
    </w:p>
    <w:p>
      <w:pPr>
        <w:pStyle w:val="Normal"/>
        <w:widowControl/>
        <w:rPr>
          <w:sz w:val="26"/>
        </w:rPr>
      </w:pPr>
      <w:r>
        <w:rPr>
          <w:sz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sz w:val="26"/>
        </w:rPr>
      </w:pPr>
      <w:r>
        <w:rPr>
          <w:sz w:val="26"/>
        </w:rPr>
        <w:t xml:space="preserve">This order establishes the scope of and methodology for calculating refunds related to transactions in the spot markets operated by the California Independent System Operator Corporation (ISO) and the California Power Exchange Corporation (PX) </w:t>
      </w:r>
    </w:p>
    <w:p>
      <w:pPr>
        <w:pStyle w:val="Normal"/>
        <w:widowControl/>
        <w:rPr/>
      </w:pPr>
      <w:r>
        <w:rPr>
          <w:sz w:val="26"/>
        </w:rPr>
        <w:t xml:space="preserve">during the period October 2, 2000 through June 20, 2001.  The Commission makes clear that transactions subject to refund are limited to spot transactions in the organized markets operated by the ISO and PX during the period October 2, 2000, through June 20, 2001, and include sales by public and non-public utilities into these markets.  The order also establishes an evidentiary hearing proceeding in order to further develop the factual record in Docket No. EL00-95-031, </w:t>
      </w:r>
      <w:r>
        <w:rPr>
          <w:sz w:val="26"/>
          <w:u w:val="single"/>
        </w:rPr>
        <w:t>et</w:t>
      </w:r>
      <w:r>
        <w:rPr>
          <w:sz w:val="26"/>
        </w:rPr>
        <w:t xml:space="preserve"> </w:t>
      </w:r>
      <w:r>
        <w:rPr>
          <w:sz w:val="26"/>
          <w:u w:val="single"/>
        </w:rPr>
        <w:t>al.</w:t>
      </w:r>
      <w:r>
        <w:rPr>
          <w:sz w:val="26"/>
        </w:rPr>
        <w:t xml:space="preserve">, so that refunds may be calculated.  The order grants rehearing in part and denies rehearing in part of limited portions of earlier orders issued in this proceeding.  In addition, the Commission establishes another proceeding before an Administrative Law Judge to explore whether there may have been unjust and unreasonable charges for spot market sales in the Pacific Northwest from December 25, 2000 through June 20, 2001, and the calculation of any refunds associated with such charges. </w:t>
      </w:r>
    </w:p>
    <w:p>
      <w:pPr>
        <w:pStyle w:val="Normal"/>
        <w:widowControl/>
        <w:rPr>
          <w:sz w:val="26"/>
        </w:rPr>
      </w:pPr>
      <w:r>
        <w:rPr>
          <w:sz w:val="26"/>
        </w:rPr>
      </w:r>
    </w:p>
    <w:p>
      <w:pPr>
        <w:pStyle w:val="Normal"/>
        <w:widowControl/>
        <w:rPr>
          <w:sz w:val="26"/>
        </w:rPr>
      </w:pPr>
      <w:r>
        <w:rPr>
          <w:sz w:val="26"/>
          <w:u w:val="single"/>
        </w:rPr>
        <w:t>Background</w:t>
      </w:r>
    </w:p>
    <w:p>
      <w:pPr>
        <w:pStyle w:val="Normal"/>
        <w:widowControl/>
        <w:rPr>
          <w:sz w:val="26"/>
        </w:rPr>
      </w:pPr>
      <w:r>
        <w:rPr>
          <w:sz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In an order issued August 23, 2000,</w:t>
      </w:r>
      <w:r>
        <w:rPr>
          <w:rStyle w:val="FootnoteCharacters"/>
          <w:rStyle w:val="FootnoteReference"/>
          <w:b/>
          <w:sz w:val="31"/>
          <w:vertAlign w:val="superscript"/>
        </w:rPr>
        <w:footnoteReference w:id="2"/>
      </w:r>
      <w:r>
        <w:rPr>
          <w:sz w:val="26"/>
        </w:rPr>
        <w:t xml:space="preserve"> the Commission instituted formal hearing proceedings under section 206 of the Federal Power Act (FPA) to investigate the justness and reasonableness of the rates for energy and ancillary services of public utility sellers into the ISO and PX spot markets, and also to investigate whether the tariffs, contracts, institutional structures, and bylaws of the ISO and PX were adversely affecting the wholesale power markets in California.  In instituting an investigation into the reasonableness of the rates charged, however, the Commission denied a request by San Diego Gas and Electric Company (SDG&amp;E) contained in SDG&amp;E's complaint against all sellers of energy and ancillary services into the ISO and PX markets subject to the Commission's jurisdiction,  that the Commission impose a $250 price cap for sales into those markets.  The Commission denied this request in the August 23 Order, on the grounds that SDG&amp;E had not provided sufficient evidence to support an immediate seller's price cap.</w:t>
      </w:r>
      <w:r>
        <w:rPr>
          <w:rStyle w:val="FootnoteCharacters"/>
          <w:rStyle w:val="FootnoteReference"/>
          <w:b/>
          <w:sz w:val="31"/>
          <w:vertAlign w:val="superscript"/>
        </w:rPr>
        <w:footnoteReference w:id="3"/>
      </w:r>
      <w:r>
        <w:rPr>
          <w:sz w:val="26"/>
        </w:rPr>
        <w:t xml:space="preserve">  The Commission established a refund effective date of 60 days after publication of notice in the </w:t>
      </w:r>
      <w:r>
        <w:rPr>
          <w:sz w:val="26"/>
          <w:u w:val="single"/>
        </w:rPr>
        <w:t>Federal</w:t>
      </w:r>
      <w:r>
        <w:rPr>
          <w:sz w:val="26"/>
        </w:rPr>
        <w:t xml:space="preserve"> </w:t>
      </w:r>
      <w:r>
        <w:rPr>
          <w:sz w:val="26"/>
          <w:u w:val="single"/>
        </w:rPr>
        <w:t>Register</w:t>
      </w:r>
      <w:r>
        <w:rPr>
          <w:sz w:val="26"/>
        </w:rPr>
        <w:t xml:space="preserve"> of the Commission's intent to institute a proceeding .</w:t>
      </w:r>
      <w:r>
        <w:rPr>
          <w:rStyle w:val="FootnoteCharacters"/>
          <w:rStyle w:val="FootnoteReference"/>
          <w:b/>
          <w:sz w:val="31"/>
          <w:vertAlign w:val="superscript"/>
        </w:rPr>
        <w:footnoteReference w:id="4"/>
      </w:r>
    </w:p>
    <w:p>
      <w:pPr>
        <w:pStyle w:val="Normal"/>
        <w:widowControl/>
        <w:rPr>
          <w:sz w:val="26"/>
        </w:rPr>
      </w:pPr>
      <w:r>
        <w:rPr>
          <w:sz w:val="26"/>
        </w:rPr>
      </w:r>
    </w:p>
    <w:p>
      <w:pPr>
        <w:pStyle w:val="Normal"/>
        <w:widowControl/>
        <w:ind w:firstLine="720" w:end="0"/>
        <w:rPr>
          <w:sz w:val="26"/>
        </w:rPr>
      </w:pPr>
      <w:r>
        <w:rPr>
          <w:sz w:val="26"/>
        </w:rPr>
        <w:t>The Commission issued an order on November 1, 2000 finding that the "electric market structure and market rules for wholesale sales of electric energy in California were seriously flawed and that these structures and rules, in conjunction with an imbalance of supply and demand in California, have caused, and continue to have the potential to cause, unjust and unreasonable rates for short-term energy . . . under certain</w:t>
      </w:r>
    </w:p>
    <w:p>
      <w:pPr>
        <w:pStyle w:val="Normal"/>
        <w:widowControl/>
        <w:rPr>
          <w:sz w:val="26"/>
        </w:rPr>
      </w:pPr>
      <w:r>
        <w:rPr>
          <w:sz w:val="26"/>
        </w:rPr>
        <w:t>conditions."</w:t>
      </w:r>
      <w:r>
        <w:rPr>
          <w:rStyle w:val="FootnoteCharacters"/>
          <w:rStyle w:val="FootnoteReference"/>
          <w:b/>
          <w:sz w:val="31"/>
          <w:vertAlign w:val="superscript"/>
        </w:rPr>
        <w:footnoteReference w:id="5"/>
      </w:r>
      <w:r>
        <w:rPr>
          <w:sz w:val="26"/>
        </w:rPr>
        <w:t xml:space="preserve">  The order noted that, "[w]hile this record does not support findings of specific exercises of market power, and while we are not able to reach definite conclusions about the actions of individual sellers, there is clear evidence that the California market structure and rules provide the opportunity for sellers to exercise market power when supply is tight, and can result in unjust and unreasonable rates under the FPA." </w:t>
      </w:r>
      <w:r>
        <w:rPr>
          <w:rStyle w:val="FootnoteCharacters"/>
          <w:rStyle w:val="FootnoteReference"/>
          <w:b/>
          <w:sz w:val="31"/>
          <w:vertAlign w:val="superscript"/>
        </w:rPr>
        <w:footnoteReference w:id="6"/>
      </w:r>
    </w:p>
    <w:p>
      <w:pPr>
        <w:pStyle w:val="Normal"/>
        <w:widowControl/>
        <w:rPr>
          <w:sz w:val="26"/>
        </w:rPr>
      </w:pPr>
      <w:r>
        <w:rPr>
          <w:sz w:val="26"/>
        </w:rPr>
      </w:r>
    </w:p>
    <w:p>
      <w:pPr>
        <w:pStyle w:val="Normal"/>
        <w:widowControl/>
        <w:ind w:firstLine="720" w:end="0"/>
        <w:rPr>
          <w:sz w:val="26"/>
        </w:rPr>
      </w:pPr>
      <w:r>
        <w:rPr>
          <w:sz w:val="26"/>
        </w:rPr>
        <w:t>To deal with these flaws, the November 1 Order proposed remedies intended to reduce over-reliance on spot markets in California, and attempted "to balance, on the one hand, holding overall rates to levels that approximate competitive market levels for the benefit of consumers, with, on the other hand, inducing sufficient investment in capacity to ensure adequate service for the benefit of consumers."</w:t>
      </w:r>
      <w:r>
        <w:rPr>
          <w:rStyle w:val="FootnoteCharacters"/>
          <w:rStyle w:val="FootnoteReference"/>
          <w:b/>
          <w:sz w:val="31"/>
          <w:vertAlign w:val="superscript"/>
        </w:rPr>
        <w:footnoteReference w:id="7"/>
      </w:r>
      <w:r>
        <w:rPr>
          <w:sz w:val="26"/>
        </w:rPr>
        <w:t xml:space="preserve">  The November 1 Order changed the refund effective date contemplated in the August 23 Order from 60 days after publication of notice in the </w:t>
      </w:r>
      <w:r>
        <w:rPr>
          <w:sz w:val="26"/>
          <w:u w:val="single"/>
        </w:rPr>
        <w:t>Federal</w:t>
      </w:r>
      <w:r>
        <w:rPr>
          <w:sz w:val="26"/>
        </w:rPr>
        <w:t xml:space="preserve"> </w:t>
      </w:r>
      <w:r>
        <w:rPr>
          <w:sz w:val="26"/>
          <w:u w:val="single"/>
        </w:rPr>
        <w:t>Register</w:t>
      </w:r>
      <w:r>
        <w:rPr>
          <w:sz w:val="26"/>
        </w:rPr>
        <w:t>, October 29, 2000, to 60 days after the date of SDG&amp;E's complaint, October 2, 2000.    The order also contained extensive discussion of the Commission's authority to direct refunds, for the periods both before and after the refund effective date, and concluded that the Commission is not authorized by the FPA to order refunds prior to the October 2 refund effective date.  Several parties sought rehearing of this aspect of the November 1 Order.</w:t>
      </w:r>
      <w:r>
        <w:rPr>
          <w:rStyle w:val="FootnoteCharacters"/>
          <w:rStyle w:val="FootnoteReference"/>
          <w:b/>
          <w:sz w:val="31"/>
          <w:vertAlign w:val="superscript"/>
        </w:rPr>
        <w:footnoteReference w:id="8"/>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The Commission adopted many of the proposed remedies presented in the November 1 Order in an order issued December 15, 2000.</w:t>
      </w:r>
      <w:r>
        <w:rPr>
          <w:rStyle w:val="FootnoteCharacters"/>
          <w:rStyle w:val="FootnoteReference"/>
          <w:b/>
          <w:sz w:val="31"/>
          <w:vertAlign w:val="superscript"/>
        </w:rPr>
        <w:footnoteReference w:id="9"/>
      </w:r>
      <w:r>
        <w:rPr>
          <w:sz w:val="26"/>
        </w:rPr>
        <w:t xml:space="preserve">  The December 15 Order reiterated the earlier findings that the market structures and rules for wholesale sales of electric energy in California were seriously flawed and that these structures and rules, in conjunction with an imbalance of supply and demand in California, had caused, and continued to have the potential to cause, unjust and unreasonable rates for short-term energy under certain conditions.  The Commission, therefore, established a variety of remedies for the California wholesale electric markets, including, in part:  (1) eliminating the requirement that the IOUs sell all of their generation into and buy all their energy needs from the PX so as to terminate the over reliance on spot markets; (2) adopting an advisory benchmark for assessing prices of long-term electric supply contracts in order to provide guidance for market participants to evaluate the reasonableness of long-term prices; (3) requiring market participants to preschedule 95 percent of their load prior to real time and penalizing those who do not, so as to eliminate market participants' chronic underscheduling with the ISO; and (4) requiring an independent governing board for the ISO.</w:t>
      </w:r>
    </w:p>
    <w:p>
      <w:pPr>
        <w:pStyle w:val="Normal"/>
        <w:widowControl/>
        <w:rPr>
          <w:sz w:val="26"/>
        </w:rPr>
      </w:pPr>
      <w:r>
        <w:rPr>
          <w:sz w:val="26"/>
        </w:rPr>
      </w:r>
    </w:p>
    <w:p>
      <w:pPr>
        <w:pStyle w:val="Normal"/>
        <w:widowControl/>
        <w:ind w:firstLine="720" w:end="0"/>
        <w:rPr/>
      </w:pPr>
      <w:r>
        <w:rPr>
          <w:sz w:val="26"/>
        </w:rPr>
        <w:t>As an interim measure, the Commission also established a $150/MWh breakpoint under which public utility sellers bidding above the breakpoint receive their actual bids, but are subject to monitoring and reporting requirements to ensure that rates remain just and reasonable, including the potential for having to pay refunds for prices charged above the breakpoint.  The December 15 Order also required the development of a longer term mitigation plan to replace the interim breakpoint methodology by May 1, 2001.  In a separate order, the Commission established a settlement conference to facilitate forward contracting by California investor owned utilities.</w:t>
      </w:r>
      <w:r>
        <w:rPr>
          <w:rStyle w:val="FootnoteCharacters"/>
          <w:rStyle w:val="FootnoteReference"/>
          <w:b/>
          <w:sz w:val="31"/>
          <w:vertAlign w:val="superscript"/>
        </w:rPr>
        <w:footnoteReference w:id="10"/>
      </w:r>
      <w:r>
        <w:rPr>
          <w:sz w:val="26"/>
        </w:rPr>
        <w:t xml:space="preserve">  The Chief Administrative Law Judge convened discussions over five days in December 2000 and January 2001.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On January 23, 2001, the Director of the Division of Energy Markets in the Office of Markets, Tariffs and Rates convened a technical conference to develop a plan to replace the interim $150/MWh break-point price.  Comments and reply comments on how to replace the interim break-point were filed with the Commission.  In March 2001, Commission Staff issued a recommendation for prospective market monitoring and mitigation for the real-time electric market, and comments were filed on this proposal.</w:t>
      </w:r>
    </w:p>
    <w:p>
      <w:pPr>
        <w:pStyle w:val="Normal"/>
        <w:widowControl/>
        <w:rPr>
          <w:sz w:val="26"/>
        </w:rPr>
      </w:pPr>
      <w:r>
        <w:rPr>
          <w:sz w:val="26"/>
        </w:rPr>
      </w:r>
    </w:p>
    <w:p>
      <w:pPr>
        <w:pStyle w:val="Normal"/>
        <w:widowControl/>
        <w:ind w:firstLine="720" w:end="0"/>
        <w:rPr>
          <w:sz w:val="26"/>
        </w:rPr>
      </w:pPr>
      <w:r>
        <w:rPr>
          <w:sz w:val="26"/>
        </w:rPr>
        <w:t>On March 9, 2001, the Commission issued an order addressing above-breakpoint transactions that occurred in January.</w:t>
      </w:r>
      <w:r>
        <w:rPr>
          <w:rStyle w:val="FootnoteCharacters"/>
          <w:rStyle w:val="FootnoteReference"/>
          <w:b/>
          <w:sz w:val="31"/>
          <w:vertAlign w:val="superscript"/>
        </w:rPr>
        <w:footnoteReference w:id="11"/>
      </w:r>
      <w:r>
        <w:rPr>
          <w:sz w:val="26"/>
        </w:rPr>
        <w:t xml:space="preserve">  The March 9 Refund Order directed refunds from sellers for transactions occurring during Stage 3 Emergencies (when ISO reserves fell below 2.5 percent) above a proxy market clearing price ($273/MWh for that month), or alternatively, required sellers to submit additional cost or other justification for those transactions. </w:t>
      </w:r>
      <w:r>
        <w:rPr>
          <w:rStyle w:val="FootnoteCharacters"/>
          <w:rStyle w:val="FootnoteReference"/>
          <w:b/>
          <w:sz w:val="31"/>
          <w:vertAlign w:val="superscript"/>
        </w:rPr>
        <w:footnoteReference w:id="12"/>
      </w:r>
      <w:r>
        <w:rPr>
          <w:sz w:val="26"/>
        </w:rPr>
        <w:t xml:space="preserve">  Parties requested rehearing of the March 9 Refund Order on many grounds.  Among those were PG&amp;E, SDG&amp;E, and SoCal Edison's objections to the Commission's conclusion that it has no authority to order non-public utility sellers to make refunds.</w:t>
      </w:r>
      <w:r>
        <w:rPr>
          <w:rStyle w:val="FootnoteCharacters"/>
          <w:rStyle w:val="FootnoteReference"/>
          <w:b/>
          <w:sz w:val="31"/>
          <w:vertAlign w:val="superscript"/>
        </w:rPr>
        <w:footnoteReference w:id="13"/>
      </w:r>
      <w:r>
        <w:rPr>
          <w:sz w:val="26"/>
        </w:rPr>
        <w:t xml:space="preserve">  Additionally, numerous parties argued that price mitigation should apply during all hours.</w:t>
      </w:r>
      <w:r>
        <w:rPr>
          <w:rStyle w:val="FootnoteCharacters"/>
          <w:rStyle w:val="FootnoteReference"/>
          <w:b/>
          <w:sz w:val="31"/>
          <w:vertAlign w:val="superscript"/>
        </w:rPr>
        <w:footnoteReference w:id="14"/>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On April 26, 2001, the Commission issued its order adopting a prospective monitoring and mitigation plan for wholesale sales through the organized real-time markets operated by the ISO.</w:t>
      </w:r>
      <w:r>
        <w:rPr>
          <w:rStyle w:val="FootnoteCharacters"/>
          <w:rStyle w:val="FootnoteReference"/>
          <w:b/>
          <w:sz w:val="31"/>
          <w:vertAlign w:val="superscript"/>
        </w:rPr>
        <w:footnoteReference w:id="15"/>
      </w:r>
      <w:r>
        <w:rPr>
          <w:sz w:val="26"/>
        </w:rPr>
        <w:t xml:space="preserve">  The Commission's plan, in pertinent part, enhanced the ISO's ability to coordinate and control planned outages during all hours; required certain sellers to offer the ISO all their available power in real time during all hours; established conditions, including refund liability, on public utility sellers' market-based rate authority to prevent anti-competitive bidding behavior in the real-time ISO markets during all hours; and established a mechanism for price mitigation for all sellers (excluding out-of-state generators) bidding into the ISO's organized markets for real-time  sales during system emergencies.  In the April 26 Order, the Commission also established an inquiry into whether a price mitigation plan similar to the one for the California ISO's organized spot markets should be implemented in the Western Systems Coordinating Council (WSCC) and invited comment on how such a plan should be structured.</w:t>
      </w:r>
    </w:p>
    <w:p>
      <w:pPr>
        <w:pStyle w:val="Normal"/>
        <w:widowControl/>
        <w:rPr>
          <w:sz w:val="26"/>
        </w:rPr>
      </w:pPr>
      <w:r>
        <w:rPr>
          <w:sz w:val="26"/>
        </w:rPr>
      </w:r>
    </w:p>
    <w:p>
      <w:pPr>
        <w:pStyle w:val="Normal"/>
        <w:widowControl/>
        <w:ind w:firstLine="720" w:end="0"/>
        <w:rPr/>
      </w:pPr>
      <w:r>
        <w:rPr>
          <w:sz w:val="26"/>
        </w:rPr>
        <w:t>On June 19, 2001, the Commission expanded the price mitigation plan on rehearing, imposing curbs not only on California ISO organized spot market sales during all hours, but also constraining prices for bilateral spot market sales throughout the WSCC for the period June 20, 2001 through September 30, 2002.</w:t>
      </w:r>
      <w:r>
        <w:rPr>
          <w:rStyle w:val="FootnoteCharacters"/>
          <w:rStyle w:val="FootnoteReference"/>
          <w:b/>
          <w:sz w:val="31"/>
          <w:vertAlign w:val="superscript"/>
        </w:rPr>
        <w:footnoteReference w:id="16"/>
      </w:r>
      <w:r>
        <w:rPr>
          <w:sz w:val="26"/>
        </w:rPr>
        <w:t xml:space="preserve">  The order retained the use of a single price auction and must-offer and marginal cost bidding requirements when reserves are below 7 percent in the California ISO spot markets.  Under the plan, the ISO market clearing price will also serve as a limit on prices in all other spot market sales in the WSCC during reserve deficiencies in California.  Sellers in all spot markets in the WSCC will receive up to the clearing price without further justification.  Sellers other than marketers will have the opportunity to justify prices above the market clearing price during reserve deficiency hours.  </w:t>
      </w:r>
    </w:p>
    <w:p>
      <w:pPr>
        <w:pStyle w:val="Normal"/>
        <w:widowControl/>
        <w:rPr>
          <w:sz w:val="26"/>
        </w:rPr>
      </w:pPr>
      <w:r>
        <w:rPr>
          <w:sz w:val="26"/>
        </w:rPr>
      </w:r>
    </w:p>
    <w:p>
      <w:pPr>
        <w:pStyle w:val="Normal"/>
        <w:widowControl/>
        <w:ind w:firstLine="720" w:end="0"/>
        <w:rPr/>
      </w:pPr>
      <w:r>
        <w:rPr>
          <w:sz w:val="26"/>
        </w:rPr>
        <w:t>In the June 19 Order, the ISO market clearing price for reserve deficiency hours was also adapted for use in all Western spot markets when reserves are above 7 percent.  Prices during non-reserve deficiency hours cannot, absent justification, exceed 85 percent of the highest hourly clearing price that was in effect during the most recent Stage 1 reserve deficiency period (</w:t>
      </w:r>
      <w:r>
        <w:rPr>
          <w:sz w:val="26"/>
          <w:u w:val="single"/>
        </w:rPr>
        <w:t>i.e.</w:t>
      </w:r>
      <w:r>
        <w:rPr>
          <w:sz w:val="26"/>
        </w:rPr>
        <w:t>, when reserves are below 7 percent) called by the ISO.  These measures were applied to non-public utility sellers as well as public utilities to the extent they voluntarily sell power in the ISO or other WSCC spot markets or voluntarily use the ISO's or other Commission-jurisdictional interstate transmission facilities elsewhere in the WSCC.</w:t>
      </w:r>
    </w:p>
    <w:p>
      <w:pPr>
        <w:pStyle w:val="Normal"/>
        <w:widowControl/>
        <w:rPr>
          <w:sz w:val="26"/>
        </w:rPr>
      </w:pPr>
      <w:r>
        <w:rPr>
          <w:sz w:val="26"/>
        </w:rPr>
      </w:r>
    </w:p>
    <w:p>
      <w:pPr>
        <w:pStyle w:val="Normal"/>
        <w:widowControl/>
        <w:ind w:firstLine="720" w:end="0"/>
        <w:rPr>
          <w:sz w:val="26"/>
        </w:rPr>
      </w:pPr>
      <w:r>
        <w:rPr>
          <w:sz w:val="26"/>
        </w:rPr>
        <w:t xml:space="preserve">In addition, the Commission announced that it would hold a settlement conference before an Administrative Law Judge in order to resolve refund issues for past periods, among other things.  The Commission's Chief Judge convened the conference from </w:t>
      </w:r>
    </w:p>
    <w:p>
      <w:pPr>
        <w:pStyle w:val="Normal"/>
        <w:widowControl/>
        <w:rPr>
          <w:sz w:val="26"/>
        </w:rPr>
      </w:pPr>
      <w:r>
        <w:rPr>
          <w:sz w:val="26"/>
        </w:rPr>
        <w:t>June 25 through July 9, 2001.</w:t>
      </w:r>
    </w:p>
    <w:p>
      <w:pPr>
        <w:pStyle w:val="Normal"/>
        <w:widowControl/>
        <w:rPr>
          <w:sz w:val="26"/>
        </w:rPr>
      </w:pPr>
      <w:r>
        <w:rPr>
          <w:sz w:val="26"/>
        </w:rPr>
      </w:r>
    </w:p>
    <w:p>
      <w:pPr>
        <w:pStyle w:val="Normal"/>
        <w:widowControl/>
        <w:rPr>
          <w:sz w:val="26"/>
        </w:rPr>
      </w:pPr>
      <w:r>
        <w:rPr>
          <w:sz w:val="26"/>
          <w:u w:val="single"/>
        </w:rPr>
        <w:t>Chief Judge's Report and Recommendation</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On July 12, 2001, the Chief Judge issued a report detailing his efforts to forge a settlement among the parties.</w:t>
      </w:r>
      <w:r>
        <w:rPr>
          <w:rStyle w:val="FootnoteCharacters"/>
          <w:rStyle w:val="FootnoteReference"/>
          <w:b/>
          <w:sz w:val="31"/>
          <w:vertAlign w:val="superscript"/>
        </w:rPr>
        <w:footnoteReference w:id="17"/>
      </w:r>
      <w:r>
        <w:rPr>
          <w:sz w:val="26"/>
        </w:rPr>
        <w:t xml:space="preserve">  He explains that, while a global settlement agreement was not achieved, he believes that the negotiations were constructive.  The Report finds that refunds owed to purchasers of electricity "amount to hundreds of millions of dollars, probably more than a billion dollars in aggregate sum," although not the $8.9 billion claimed by the State of California.</w:t>
      </w:r>
      <w:r>
        <w:rPr>
          <w:rStyle w:val="FootnoteCharacters"/>
          <w:rStyle w:val="FootnoteReference"/>
          <w:b/>
          <w:sz w:val="31"/>
          <w:vertAlign w:val="superscript"/>
        </w:rPr>
        <w:footnoteReference w:id="18"/>
      </w:r>
      <w:r>
        <w:rPr>
          <w:sz w:val="26"/>
        </w:rPr>
        <w:t xml:space="preserve">  The Report mentions offers made by several sellers into the California market totaling $703.6 million, contingent upon reaching a global settlement of all issues.</w:t>
      </w:r>
    </w:p>
    <w:p>
      <w:pPr>
        <w:pStyle w:val="Normal"/>
        <w:widowControl/>
        <w:rPr>
          <w:sz w:val="26"/>
        </w:rPr>
      </w:pPr>
      <w:r>
        <w:rPr>
          <w:sz w:val="26"/>
        </w:rPr>
      </w:r>
    </w:p>
    <w:p>
      <w:pPr>
        <w:pStyle w:val="Normal"/>
        <w:widowControl/>
        <w:ind w:firstLine="720" w:end="0"/>
        <w:rPr/>
      </w:pPr>
      <w:r>
        <w:rPr>
          <w:sz w:val="26"/>
        </w:rPr>
        <w:t>According to the Report, efforts were hampered by incomplete data.  The Chief Judge had requested the parties to provide, among other things:  (1) the terms and prices of all forward contracts; (2) the amounts that California Department of Water Resources (DWR), the IOUs, and the ISO believe they owe to sellers; and (3) system load figures broken down by component.  These data were not made available in their entirety.  The Report also notes that the Pacific Northwest Parties did not have data on the amount of refunds due them nor balances past due from purchasers.  For these and other reasons, the Chief Judge was not able to determine the total volume of the spot market, nor were parties able to agree about the size of the market subject to the June 19 Order.  The Report concludes that the differences between what the State and the sellers believe should be refunded raise material issues of fact.  Further, the Report states, "[t]he appropriate numbers to calculate potential refunds involve factual disputes."</w:t>
      </w:r>
      <w:r>
        <w:rPr>
          <w:rStyle w:val="FootnoteCharacters"/>
          <w:rStyle w:val="FootnoteReference"/>
          <w:b/>
          <w:sz w:val="31"/>
          <w:vertAlign w:val="superscript"/>
        </w:rPr>
        <w:footnoteReference w:id="19"/>
      </w:r>
      <w:r>
        <w:rPr>
          <w:sz w:val="26"/>
        </w:rPr>
        <w:t xml:space="preserve">  Thus, the Chief Judge recommends that the Commission order a trial-type evidentiary hearing limited to developing a factual record against which to apply a refund methodology.</w:t>
      </w:r>
    </w:p>
    <w:p>
      <w:pPr>
        <w:pStyle w:val="Normal"/>
        <w:widowControl/>
        <w:rPr>
          <w:sz w:val="26"/>
        </w:rPr>
      </w:pPr>
      <w:r>
        <w:rPr>
          <w:sz w:val="26"/>
        </w:rPr>
      </w:r>
    </w:p>
    <w:p>
      <w:pPr>
        <w:pStyle w:val="Normal"/>
        <w:widowControl/>
        <w:ind w:firstLine="720" w:end="0"/>
        <w:rPr>
          <w:sz w:val="26"/>
        </w:rPr>
      </w:pPr>
      <w:r>
        <w:rPr>
          <w:sz w:val="26"/>
        </w:rPr>
        <w:t>The Chief Judge's recommended refund methodology would begin with the price mitigation approach set forth in the June 19 order, with several modifications for dealing with past, as opposed to future, transactions.  Key differences include:  (1) using actual, rather than hypothetical, heat rates; (2) using daily spot gas prices rather than monthly bid-week prices; (3) separating the state's gas market into northern and southern zones; (4) excluding emission costs from the market clearing price and treating them as an additional expense that may be subtracted from refund calculations; and (5) not using the 85 percent price ceiling for non-emergency hours, and instead recalculating each hour to determine the amount by which actual prices exceeded the mitigated  price.  The Chief Judge recommends retaining the 10 percent credit adder for sales after January 5, 2001, and not including interest unless the refund amount exceeds payments that are past due to the seller.</w:t>
      </w:r>
    </w:p>
    <w:p>
      <w:pPr>
        <w:pStyle w:val="Normal"/>
        <w:widowControl/>
        <w:rPr>
          <w:sz w:val="26"/>
          <w:u w:val="single"/>
        </w:rPr>
      </w:pPr>
      <w:r>
        <w:rPr>
          <w:sz w:val="26"/>
          <w:u w:val="single"/>
        </w:rPr>
      </w:r>
    </w:p>
    <w:p>
      <w:pPr>
        <w:pStyle w:val="Normal"/>
        <w:widowControl/>
        <w:rPr>
          <w:sz w:val="26"/>
          <w:u w:val="single"/>
        </w:rPr>
      </w:pPr>
      <w:r>
        <w:rPr>
          <w:sz w:val="26"/>
          <w:u w:val="single"/>
        </w:rPr>
      </w:r>
    </w:p>
    <w:p>
      <w:pPr>
        <w:pStyle w:val="Normal"/>
        <w:widowControl/>
        <w:rPr>
          <w:sz w:val="26"/>
          <w:u w:val="single"/>
        </w:rPr>
      </w:pPr>
      <w:r>
        <w:rPr>
          <w:sz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rPr>
      </w:pPr>
      <w:r>
        <w:rPr>
          <w:sz w:val="26"/>
          <w:u w:val="single"/>
        </w:rPr>
        <w:t>Docket No. EL01-10-000</w:t>
      </w:r>
    </w:p>
    <w:p>
      <w:pPr>
        <w:pStyle w:val="Normal"/>
        <w:widowControl/>
        <w:rPr>
          <w:sz w:val="26"/>
        </w:rPr>
      </w:pPr>
      <w:r>
        <w:rPr>
          <w:sz w:val="26"/>
        </w:rPr>
      </w:r>
    </w:p>
    <w:p>
      <w:pPr>
        <w:pStyle w:val="Normal"/>
        <w:widowControl/>
        <w:ind w:firstLine="720" w:end="0"/>
        <w:rPr/>
      </w:pPr>
      <w:r>
        <w:rPr>
          <w:sz w:val="26"/>
        </w:rPr>
        <w:t xml:space="preserve">On October 26, 2000, Puget Sound filed a complaint in Docket No. EL01-10-000 petitioning the Commission for an order capping the prices at which sellers subject to Commission jurisdiction, including sellers of energy and capacity under the Western Systems Power Pool Agreement, may sell energy or capacity in the Pacific Northwest's </w:t>
      </w:r>
      <w:r>
        <w:rPr>
          <w:rStyle w:val="FootnoteCharacters"/>
          <w:rStyle w:val="FootnoteReference"/>
          <w:b/>
          <w:sz w:val="31"/>
          <w:vertAlign w:val="superscript"/>
        </w:rPr>
        <w:footnoteReference w:id="20"/>
      </w:r>
      <w:r>
        <w:rPr>
          <w:sz w:val="26"/>
        </w:rPr>
        <w:t xml:space="preserve"> wholesale power markets.  Specifically, Puget Sound sought an order that prospectively capped the prices for wholesale sales of energy or capacity into the Pacific Northwest at a level equal to the lowest cap on prices established, ordered, or permitted by the Commission for wholesale purchases in, or wholesale sales of energy or capacity to or through the markets operated by the ISO or the PX.  The December 15 Order declined to implement a region-wide price cap because it found that such a pricing methodology was impracticable given the market structure in the Pacific Northwest and because complainant had not met its burden of proof to justify such an action. </w:t>
      </w:r>
      <w:r>
        <w:rPr>
          <w:rStyle w:val="FootnoteCharacters"/>
          <w:rStyle w:val="FootnoteReference"/>
          <w:b/>
          <w:sz w:val="31"/>
          <w:vertAlign w:val="superscript"/>
        </w:rPr>
        <w:footnoteReference w:id="21"/>
      </w:r>
      <w:r>
        <w:rPr>
          <w:sz w:val="26"/>
        </w:rPr>
        <w:t xml:space="preserve">  Puget Sound and others timely sought rehearing of the December 15 Order's determination not to impose a regional price cap or other mitigation. </w:t>
      </w:r>
    </w:p>
    <w:p>
      <w:pPr>
        <w:pStyle w:val="Normal"/>
        <w:widowControl/>
        <w:rPr>
          <w:sz w:val="26"/>
        </w:rPr>
      </w:pPr>
      <w:r>
        <w:rPr>
          <w:sz w:val="26"/>
        </w:rPr>
      </w:r>
    </w:p>
    <w:p>
      <w:pPr>
        <w:pStyle w:val="Normal"/>
        <w:widowControl/>
        <w:ind w:firstLine="720" w:end="0"/>
        <w:rPr>
          <w:sz w:val="26"/>
        </w:rPr>
      </w:pPr>
      <w:r>
        <w:rPr>
          <w:sz w:val="26"/>
        </w:rPr>
        <w:t>On June 22, 2001, Puget Sound filed a motion to dismiss its complaint and a notice of withdrawal of its complaint and its subsequent rehearing request.  Puget Sound explains that the June 19 Order satisfies its complaint because it implements price mitigation measures throughout WSCC.  Several parties filed answers to the motion.  Bonneville Power Administration (Bonneville) states that the Commission must fully resolve the issues raised in the complaint regardless of whether it grants Puget Sound's motion, arguing that the focus on spot markets in the June 19 Order is not appropriate outside of California, where utilities rely on forward contracts.  The City of Tacoma and Port of Seattle jointly filed an answer opposing the motion on the basis that dismissal would unduly prejudice parties outside of California that relied on the existence of the complaint, and arguing that the issues raised in the complaint are an integral part of market issues that the Commission is addressing in the SDG&amp;E proceeding.</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The City of Seattle (Seattle) filed an answer and a motion to intervene out-of-time in Docket No. EL01-10-000.  Seattle contends that, although the June 19 Order satisfied Puget Sound's complaint, the Commission should keep the proceeding open because non-California market participants have paid prices that are unjust and unreasonable, and because retaining the proceeding would permit the Commission greater flexibility in determining the scope and effective date for refunds.</w:t>
      </w:r>
    </w:p>
    <w:p>
      <w:pPr>
        <w:pStyle w:val="Normal"/>
        <w:widowControl/>
        <w:rPr>
          <w:sz w:val="26"/>
        </w:rPr>
      </w:pPr>
      <w:r>
        <w:rPr>
          <w:sz w:val="26"/>
        </w:rPr>
      </w:r>
    </w:p>
    <w:p>
      <w:pPr>
        <w:pStyle w:val="Normal"/>
        <w:widowControl/>
        <w:ind w:firstLine="720" w:end="0"/>
        <w:rPr/>
      </w:pPr>
      <w:r>
        <w:rPr>
          <w:sz w:val="26"/>
        </w:rPr>
        <w:t xml:space="preserve">The Washington Commission and the Attorney General of Washington state several principles that they believe should guide the Commission's determination of whether and how to order refunds for and by the utilities in the Pacific Northwest, </w:t>
      </w:r>
      <w:r>
        <w:rPr>
          <w:sz w:val="26"/>
          <w:u w:val="single"/>
        </w:rPr>
        <w:t>i.e.</w:t>
      </w:r>
      <w:r>
        <w:rPr>
          <w:sz w:val="26"/>
        </w:rPr>
        <w:t>, that refunds should be symmetrical as to all purchases and sales, and unbiased with respect to acquisition strategies.  In addition, the Attorney General of Washington moves to intervene out-of-time.</w:t>
      </w:r>
    </w:p>
    <w:p>
      <w:pPr>
        <w:pStyle w:val="Normal"/>
        <w:widowControl/>
        <w:rPr>
          <w:sz w:val="26"/>
        </w:rPr>
      </w:pPr>
      <w:r>
        <w:rPr>
          <w:sz w:val="26"/>
        </w:rPr>
      </w:r>
    </w:p>
    <w:p>
      <w:pPr>
        <w:pStyle w:val="Normal"/>
        <w:widowControl/>
        <w:ind w:firstLine="720" w:end="0"/>
        <w:rPr>
          <w:sz w:val="26"/>
        </w:rPr>
      </w:pPr>
      <w:r>
        <w:rPr>
          <w:sz w:val="26"/>
        </w:rPr>
        <w:t>On June 22, 2001, unaware of Puget Sound's motion filed on the same day, the Commission issued an order clarifying the June 19 Order to indicate that parties in the settlement proceeding were not limited to settling only California-related matters, but could also discuss settling past accounts related to sales in the Pacific Northwest.  The Chief Judge's Report stated that there was little time to address the issues raised by the parties in Puget Sound's proceeding and noted that they did not have data on unpaid balances nor on refunds due them.</w:t>
      </w:r>
    </w:p>
    <w:p>
      <w:pPr>
        <w:pStyle w:val="Normal"/>
        <w:widowControl/>
        <w:rPr>
          <w:sz w:val="26"/>
        </w:rPr>
      </w:pPr>
      <w:r>
        <w:rPr>
          <w:sz w:val="26"/>
        </w:rPr>
      </w:r>
    </w:p>
    <w:p>
      <w:pPr>
        <w:pStyle w:val="Normal"/>
        <w:widowControl/>
        <w:rPr>
          <w:sz w:val="26"/>
        </w:rPr>
      </w:pPr>
      <w:r>
        <w:rPr>
          <w:sz w:val="26"/>
          <w:u w:val="single"/>
        </w:rPr>
        <w:t>Discussion</w:t>
      </w:r>
    </w:p>
    <w:p>
      <w:pPr>
        <w:pStyle w:val="Normal"/>
        <w:widowControl/>
        <w:rPr>
          <w:sz w:val="26"/>
        </w:rPr>
      </w:pPr>
      <w:r>
        <w:rPr>
          <w:sz w:val="26"/>
        </w:rPr>
      </w:r>
    </w:p>
    <w:p>
      <w:pPr>
        <w:pStyle w:val="Normal"/>
        <w:widowControl/>
        <w:rPr>
          <w:sz w:val="26"/>
        </w:rPr>
      </w:pPr>
      <w:r>
        <w:rPr>
          <w:sz w:val="26"/>
        </w:rPr>
        <w:t>A.</w:t>
        <w:tab/>
      </w:r>
      <w:r>
        <w:rPr>
          <w:sz w:val="26"/>
          <w:u w:val="single"/>
        </w:rPr>
        <w:t>Procedural Matters</w:t>
      </w:r>
    </w:p>
    <w:p>
      <w:pPr>
        <w:pStyle w:val="Normal"/>
        <w:widowControl/>
        <w:rPr>
          <w:sz w:val="26"/>
        </w:rPr>
      </w:pPr>
      <w:r>
        <w:rPr>
          <w:sz w:val="26"/>
        </w:rPr>
      </w:r>
    </w:p>
    <w:p>
      <w:pPr>
        <w:pStyle w:val="Normal"/>
        <w:widowControl/>
        <w:ind w:firstLine="720" w:end="0"/>
        <w:rPr/>
      </w:pPr>
      <w:r>
        <w:rPr>
          <w:sz w:val="26"/>
        </w:rPr>
        <w:t xml:space="preserve">A number of entities filed late motions to intervene in this proceeding, as described below.  On December 28, 2000, the Southern California Water Company (SoCal Water) filed an intervention in Docket No. EL00-95-000, </w:t>
      </w:r>
      <w:r>
        <w:rPr>
          <w:sz w:val="26"/>
          <w:u w:val="single"/>
        </w:rPr>
        <w:t>et</w:t>
      </w:r>
      <w:r>
        <w:rPr>
          <w:sz w:val="26"/>
        </w:rPr>
        <w:t xml:space="preserve"> </w:t>
      </w:r>
      <w:r>
        <w:rPr>
          <w:sz w:val="26"/>
          <w:u w:val="single"/>
        </w:rPr>
        <w:t>al</w:t>
      </w:r>
      <w:r>
        <w:rPr>
          <w:sz w:val="26"/>
        </w:rPr>
        <w:t>.</w:t>
      </w:r>
      <w:r>
        <w:rPr>
          <w:rStyle w:val="FootnoteCharacters"/>
          <w:rStyle w:val="FootnoteReference"/>
          <w:b/>
          <w:sz w:val="31"/>
          <w:vertAlign w:val="superscript"/>
        </w:rPr>
        <w:footnoteReference w:id="22"/>
      </w:r>
      <w:r>
        <w:rPr>
          <w:sz w:val="26"/>
        </w:rPr>
        <w:t xml:space="preserve">  On January 30, 2001, the New Mexico Regulation Commission (New Mexico Commission) filed a motion to intervene out-of-time in Docket No. EL00-95-000, </w:t>
      </w:r>
      <w:r>
        <w:rPr>
          <w:sz w:val="26"/>
          <w:u w:val="single"/>
        </w:rPr>
        <w:t>et</w:t>
      </w:r>
      <w:r>
        <w:rPr>
          <w:sz w:val="26"/>
        </w:rPr>
        <w:t xml:space="preserve"> </w:t>
      </w:r>
      <w:r>
        <w:rPr>
          <w:sz w:val="26"/>
          <w:u w:val="single"/>
        </w:rPr>
        <w:t>al</w:t>
      </w:r>
      <w:r>
        <w:rPr>
          <w:sz w:val="26"/>
        </w:rPr>
        <w:t xml:space="preserve">., raising no substantive issues.  On February 9, 2001, the Public Utilities Commission of Nevada (Nevada Commission) filed a motion to intervene out-of-time with comments encouraging recognition of the regional scope of the crisis.  On April 9, 2001, the American Public Power Association (APPA) filed a motion to intervene and request for rehearing of the March 9 Refund Order.  On July 12, 2001, the Washington Utilities and Transportation Commission (Washington Commission) filed a motion for clarification of its intervenor status, or, in the alternative, a motion to intervene out-of-time in Docket No. EL00-95-031, </w:t>
      </w:r>
      <w:r>
        <w:rPr>
          <w:sz w:val="26"/>
          <w:u w:val="single"/>
        </w:rPr>
        <w:t>et</w:t>
      </w:r>
      <w:r>
        <w:rPr>
          <w:sz w:val="26"/>
        </w:rPr>
        <w:t xml:space="preserve"> </w:t>
      </w:r>
      <w:r>
        <w:rPr>
          <w:sz w:val="26"/>
          <w:u w:val="single"/>
        </w:rPr>
        <w:t>al</w:t>
      </w:r>
      <w:r>
        <w:rPr>
          <w:sz w:val="26"/>
        </w:rPr>
        <w:t xml:space="preserve">.  Finally, on July 17, 2001, the People of the State of California, </w:t>
      </w:r>
      <w:r>
        <w:rPr>
          <w:sz w:val="26"/>
          <w:u w:val="single"/>
        </w:rPr>
        <w:t>ex</w:t>
      </w:r>
      <w:r>
        <w:rPr>
          <w:sz w:val="26"/>
        </w:rPr>
        <w:t xml:space="preserve"> </w:t>
      </w:r>
      <w:r>
        <w:rPr>
          <w:sz w:val="26"/>
          <w:u w:val="single"/>
        </w:rPr>
        <w:t>rel</w:t>
      </w:r>
      <w:r>
        <w:rPr>
          <w:sz w:val="26"/>
        </w:rPr>
        <w:t xml:space="preserve">. Bill Lockyer (Attorney General of California) moved to intervene out-of-time in Docket No. EL00-95-031, </w:t>
      </w:r>
      <w:r>
        <w:rPr>
          <w:sz w:val="26"/>
          <w:u w:val="single"/>
        </w:rPr>
        <w:t>et</w:t>
      </w:r>
      <w:r>
        <w:rPr>
          <w:sz w:val="26"/>
        </w:rPr>
        <w:t xml:space="preserve"> </w:t>
      </w:r>
      <w:r>
        <w:rPr>
          <w:sz w:val="26"/>
          <w:u w:val="single"/>
        </w:rPr>
        <w:t>al</w:t>
      </w:r>
      <w:r>
        <w:rPr>
          <w:sz w:val="26"/>
        </w:rPr>
        <w:t>.</w:t>
      </w:r>
    </w:p>
    <w:p>
      <w:pPr>
        <w:pStyle w:val="Normal"/>
        <w:widowControl/>
        <w:ind w:firstLine="2880" w:end="0"/>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In addition, on December 26, 2000, the Oregon Public Utilities Commission (Oregon Commission) filed a late motion to intervene in Docket No. EL00-10-000, stating that it had not yet developed a position on Puget Sound's complaint.  On January 16, 2001, the Washington Commission also filed a late motion to intervene in that proceeding with comments in support of Puget Sound's request for rehearing.  The City of Seattle (Seattle) and the Attorney General of Washington filed motions to intervene out-of-time in Docket No. EL01-10-000 on July 9, 2001.</w:t>
      </w:r>
    </w:p>
    <w:p>
      <w:pPr>
        <w:pStyle w:val="Normal"/>
        <w:widowControl/>
        <w:rPr>
          <w:sz w:val="26"/>
        </w:rPr>
      </w:pPr>
      <w:r>
        <w:rPr>
          <w:sz w:val="26"/>
        </w:rPr>
      </w:r>
    </w:p>
    <w:p>
      <w:pPr>
        <w:pStyle w:val="Normal"/>
        <w:widowControl/>
        <w:ind w:firstLine="720" w:end="0"/>
        <w:rPr/>
      </w:pPr>
      <w:r>
        <w:rPr>
          <w:sz w:val="26"/>
        </w:rPr>
        <w:t xml:space="preserve">The Commission ordinarily does not permit late interventions after an order has been issued, particularly for the purpose of requesting rehearing. </w:t>
      </w:r>
      <w:r>
        <w:rPr>
          <w:rStyle w:val="FootnoteCharacters"/>
          <w:rStyle w:val="FootnoteReference"/>
          <w:b/>
          <w:sz w:val="31"/>
          <w:vertAlign w:val="superscript"/>
        </w:rPr>
        <w:footnoteReference w:id="23"/>
      </w:r>
      <w:r>
        <w:rPr>
          <w:sz w:val="26"/>
        </w:rPr>
        <w:t xml:space="preserve">  However, over the course of the SDG&amp;E proceeding, the Commission has expanded the scope of its focus from just California to include the entire Western interconnect and also to implicate wholesale spot market transactions of non-public utilities.  We find good cause, therefore, to grant the untimely, unopposed motions to intervene in Docket No. EL00-95-000 filed by the entities described above. </w:t>
      </w:r>
      <w:r>
        <w:rPr>
          <w:rStyle w:val="FootnoteCharacters"/>
          <w:rStyle w:val="FootnoteReference"/>
          <w:b/>
          <w:sz w:val="31"/>
          <w:vertAlign w:val="superscript"/>
        </w:rPr>
        <w:footnoteReference w:id="24"/>
      </w:r>
      <w:r>
        <w:rPr>
          <w:sz w:val="26"/>
        </w:rPr>
        <w:t xml:space="preserve">  </w:t>
      </w:r>
    </w:p>
    <w:p>
      <w:pPr>
        <w:pStyle w:val="Normal"/>
        <w:widowControl/>
        <w:rPr>
          <w:sz w:val="26"/>
        </w:rPr>
      </w:pPr>
      <w:r>
        <w:rPr>
          <w:sz w:val="26"/>
        </w:rPr>
      </w:r>
    </w:p>
    <w:p>
      <w:pPr>
        <w:pStyle w:val="Normal"/>
        <w:widowControl/>
        <w:ind w:firstLine="720" w:end="0"/>
        <w:rPr>
          <w:sz w:val="26"/>
        </w:rPr>
      </w:pPr>
      <w:r>
        <w:rPr>
          <w:sz w:val="26"/>
        </w:rPr>
        <w:t xml:space="preserve">These intervenors must accept the record as it had developed as of the date of their intervention, and their participation in this proceeding is limited to the issues that arose after the date each requested to participate in these proceedings.  Thus, the request for rehearing of the December 15 Order filed by SoCal Water will be dismissed because it was not a party as of the date that order was issued.  Similarly, APPA's request for rehearing of the March 9 Refund Order will be dismissed because it was not a party as of the date that order was issued.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In view of the interest of the Oregon Commission, the Washington Commission, the Attorney General of Washington, and Seattle, and the absence of any undue prejudice or delay, we will grant their untimely, unopposed motions to intervene.  We also clarify that the companies listed individually in the caption of the March 9 Refund Order are respondents, and thus, under Rule 102 of the Commission's Rules of Practice and Procedure,</w:t>
      </w:r>
      <w:r>
        <w:rPr>
          <w:rStyle w:val="FootnoteCharacters"/>
          <w:rStyle w:val="FootnoteReference"/>
          <w:b/>
          <w:sz w:val="31"/>
          <w:vertAlign w:val="superscript"/>
        </w:rPr>
        <w:footnoteReference w:id="25"/>
      </w:r>
      <w:r>
        <w:rPr>
          <w:sz w:val="26"/>
        </w:rPr>
        <w:t xml:space="preserve"> are parties in the SDG&amp;E proceeding.</w:t>
      </w:r>
    </w:p>
    <w:p>
      <w:pPr>
        <w:pStyle w:val="Normal"/>
        <w:widowControl/>
        <w:rPr>
          <w:sz w:val="26"/>
        </w:rPr>
      </w:pPr>
      <w:r>
        <w:rPr>
          <w:sz w:val="26"/>
        </w:rPr>
      </w:r>
    </w:p>
    <w:p>
      <w:pPr>
        <w:pStyle w:val="Normal"/>
        <w:widowControl/>
        <w:tabs>
          <w:tab w:val="clear" w:pos="720"/>
          <w:tab w:val="left" w:pos="-1440" w:leader="none"/>
        </w:tabs>
        <w:ind w:hanging="2880" w:start="2880" w:end="0"/>
        <w:rPr/>
      </w:pPr>
      <w:r>
        <w:rPr>
          <w:sz w:val="26"/>
        </w:rPr>
        <w:t>B.</w:t>
        <w:tab/>
      </w:r>
      <w:r>
        <w:rPr>
          <w:sz w:val="26"/>
          <w:u w:val="single"/>
        </w:rPr>
        <w:t>Scope of Refunds</w:t>
      </w:r>
      <w:r>
        <w:rPr>
          <w:sz w:val="26"/>
        </w:rPr>
        <w:tab/>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1.</w:t>
        <w:tab/>
      </w:r>
      <w:r>
        <w:rPr>
          <w:sz w:val="26"/>
          <w:u w:val="single"/>
        </w:rPr>
        <w:t>The Commission's Retroactive Refund Authority</w:t>
      </w:r>
    </w:p>
    <w:p>
      <w:pPr>
        <w:pStyle w:val="Normal"/>
        <w:widowControl/>
        <w:rPr>
          <w:sz w:val="26"/>
        </w:rPr>
      </w:pPr>
      <w:r>
        <w:rPr>
          <w:sz w:val="26"/>
        </w:rPr>
      </w:r>
    </w:p>
    <w:p>
      <w:pPr>
        <w:pStyle w:val="Normal"/>
        <w:widowControl/>
        <w:ind w:firstLine="1440" w:end="0"/>
        <w:rPr/>
      </w:pPr>
      <w:r>
        <w:rPr>
          <w:sz w:val="26"/>
        </w:rPr>
        <w:t>a.</w:t>
        <w:tab/>
      </w:r>
      <w:r>
        <w:rPr>
          <w:sz w:val="26"/>
          <w:u w:val="single"/>
        </w:rPr>
        <w:t>Introduction and Summary</w:t>
      </w:r>
    </w:p>
    <w:p>
      <w:pPr>
        <w:pStyle w:val="Normal"/>
        <w:widowControl/>
        <w:rPr>
          <w:sz w:val="26"/>
          <w:u w:val="single"/>
        </w:rPr>
      </w:pPr>
      <w:r>
        <w:rPr>
          <w:sz w:val="26"/>
          <w:u w:val="single"/>
        </w:rPr>
      </w:r>
    </w:p>
    <w:p>
      <w:pPr>
        <w:pStyle w:val="Normal"/>
        <w:widowControl/>
        <w:ind w:firstLine="720" w:end="0"/>
        <w:rPr>
          <w:sz w:val="26"/>
        </w:rPr>
      </w:pPr>
      <w:r>
        <w:rPr>
          <w:sz w:val="26"/>
        </w:rPr>
        <w:t>In the Commission's November 1 Order, we concluded that the FPA and the weight of court precedent strongly suggest that  refunds prior to October 2, 2000 are impermissible under the circumstances of this case, which arose in a section 206 complaint context.  In the December 15 Order, we addressed prospective remedies necessary to correct market dysfunctions and to assure just and reasonable rates, but did not address the comments on retroactive refund authority.  We do so here to clarify our statutory refund authority and the scope of refunds subject to the hearing being ordered below.</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We have again examined the statute, its legislative history and the case law, and have analyzed the arguments raised on this issue in comments on and requests for rehearing of the November 1 Order. We conclude that FPA section 206 does not permit the Commission to require refunds of unjust and unreasonable rates charged prior to a date 60 days after the filing of a complaint or 60 days after the initiation of a Commission investigation on its own motion.  To order such refunds would contravene explicit refund limitations that Congress put in FPA section 206.  While that refund authority can be expanded in limited circumstances (</w:t>
      </w:r>
      <w:r>
        <w:rPr>
          <w:sz w:val="26"/>
          <w:u w:val="single"/>
        </w:rPr>
        <w:t>e.g.</w:t>
      </w:r>
      <w:r>
        <w:rPr>
          <w:sz w:val="26"/>
        </w:rPr>
        <w:t>, where sellers have charged a rate other than the filed rate or where an appellate court has found that the Commission committed legal error), as discussed below, none of those circumstances is present here.  Thus, in the specific situation present here, we cannot order refunds of unjust and unreasonable rates charged prior to October 2, 2000, the start of the refund effective period.</w:t>
      </w:r>
      <w:r>
        <w:rPr>
          <w:rStyle w:val="FootnoteCharacters"/>
          <w:rStyle w:val="FootnoteReference"/>
          <w:b/>
          <w:sz w:val="31"/>
          <w:vertAlign w:val="superscript"/>
        </w:rPr>
        <w:footnoteReference w:id="26"/>
      </w:r>
      <w:r>
        <w:rPr>
          <w:sz w:val="26"/>
        </w:rPr>
        <w:t xml:space="preserve">  Accordingly, we will deny the requests for rehearing of the November 1 Order challenging the order's findings about the Commission's retroactive refund authority, </w:t>
      </w:r>
      <w:r>
        <w:rPr>
          <w:sz w:val="26"/>
          <w:u w:val="single"/>
        </w:rPr>
        <w:t>i.e.</w:t>
      </w:r>
      <w:r>
        <w:rPr>
          <w:sz w:val="26"/>
        </w:rPr>
        <w:t>, refund authority prior to October 2, 2000.</w:t>
      </w:r>
      <w:r>
        <w:rPr>
          <w:rStyle w:val="FootnoteCharacters"/>
          <w:rStyle w:val="FootnoteReference"/>
          <w:b/>
          <w:sz w:val="31"/>
          <w:vertAlign w:val="superscript"/>
        </w:rPr>
        <w:footnoteReference w:id="27"/>
      </w:r>
    </w:p>
    <w:p>
      <w:pPr>
        <w:pStyle w:val="Normal"/>
        <w:widowControl/>
        <w:rPr>
          <w:sz w:val="26"/>
        </w:rPr>
      </w:pPr>
      <w:r>
        <w:rPr>
          <w:sz w:val="26"/>
        </w:rPr>
      </w:r>
    </w:p>
    <w:p>
      <w:pPr>
        <w:pStyle w:val="Normal"/>
        <w:widowControl/>
        <w:tabs>
          <w:tab w:val="clear" w:pos="720"/>
          <w:tab w:val="left" w:pos="-1440" w:leader="none"/>
        </w:tabs>
        <w:ind w:hanging="720" w:start="2160" w:end="0"/>
        <w:rPr>
          <w:sz w:val="26"/>
        </w:rPr>
      </w:pPr>
      <w:r>
        <w:rPr>
          <w:sz w:val="26"/>
        </w:rPr>
        <w:t>b.</w:t>
        <w:tab/>
      </w:r>
      <w:r>
        <w:rPr>
          <w:sz w:val="26"/>
          <w:u w:val="single"/>
        </w:rPr>
        <w:t>The Commission's Retroactive Refund Authority</w:t>
      </w:r>
    </w:p>
    <w:p>
      <w:pPr>
        <w:pStyle w:val="Normal"/>
        <w:widowControl/>
        <w:rPr>
          <w:sz w:val="26"/>
        </w:rPr>
      </w:pPr>
      <w:r>
        <w:rPr>
          <w:sz w:val="26"/>
        </w:rPr>
      </w:r>
    </w:p>
    <w:p>
      <w:pPr>
        <w:pStyle w:val="Normal"/>
        <w:widowControl/>
        <w:ind w:firstLine="720" w:end="0"/>
        <w:rPr/>
      </w:pPr>
      <w:r>
        <w:rPr>
          <w:sz w:val="26"/>
        </w:rPr>
        <w:t>Several parties argue that the Commission's statutory duty to protect consumers and its broad legal and equitable authority to do so requires that the Commission remedy unjust and unreasonable rates for the period prior to October 2 by ordering refunds.</w:t>
      </w:r>
      <w:r>
        <w:rPr>
          <w:rStyle w:val="FootnoteCharacters"/>
          <w:rStyle w:val="FootnoteReference"/>
          <w:b/>
          <w:sz w:val="31"/>
          <w:vertAlign w:val="superscript"/>
        </w:rPr>
        <w:footnoteReference w:id="28"/>
      </w:r>
      <w:r>
        <w:rPr>
          <w:sz w:val="26"/>
        </w:rPr>
        <w:t xml:space="preserve"> Other parties agree with the November 1 Order's conclusion that the Commission has no legal authority to grant refunds for overcharges prior to October 2.</w:t>
      </w:r>
      <w:r>
        <w:rPr>
          <w:rStyle w:val="FootnoteCharacters"/>
          <w:rStyle w:val="FootnoteReference"/>
          <w:b/>
          <w:sz w:val="31"/>
          <w:vertAlign w:val="superscript"/>
        </w:rPr>
        <w:footnoteReference w:id="29"/>
      </w:r>
      <w:r>
        <w:rPr>
          <w:sz w:val="26"/>
        </w:rPr>
        <w:t xml:space="preserve">  As discussed below, we conclude that the Commission lacks the authority to order retroactive refunds of unjust and unreasonable rates charged prior to October 2.</w:t>
      </w:r>
    </w:p>
    <w:p>
      <w:pPr>
        <w:pStyle w:val="Normal"/>
        <w:widowControl/>
        <w:rPr>
          <w:sz w:val="26"/>
        </w:rPr>
      </w:pPr>
      <w:r>
        <w:rPr>
          <w:sz w:val="26"/>
        </w:rPr>
      </w:r>
    </w:p>
    <w:p>
      <w:pPr>
        <w:pStyle w:val="Normal"/>
        <w:widowControl/>
        <w:tabs>
          <w:tab w:val="clear" w:pos="720"/>
          <w:tab w:val="left" w:pos="-1440" w:leader="none"/>
        </w:tabs>
        <w:ind w:hanging="720" w:start="2880" w:end="2880"/>
        <w:rPr>
          <w:sz w:val="26"/>
        </w:rPr>
      </w:pPr>
      <w:r>
        <w:rPr>
          <w:sz w:val="26"/>
        </w:rPr>
        <w:t>i.</w:t>
        <w:tab/>
      </w:r>
      <w:r>
        <w:rPr>
          <w:sz w:val="26"/>
          <w:u w:val="single"/>
        </w:rPr>
        <w:t>Sections 205 and 206 of the FPA</w:t>
      </w:r>
    </w:p>
    <w:p>
      <w:pPr>
        <w:pStyle w:val="Normal"/>
        <w:widowControl/>
        <w:rPr>
          <w:sz w:val="26"/>
        </w:rPr>
      </w:pPr>
      <w:r>
        <w:rPr>
          <w:sz w:val="26"/>
        </w:rPr>
      </w:r>
    </w:p>
    <w:p>
      <w:pPr>
        <w:pStyle w:val="Normal"/>
        <w:widowControl/>
        <w:ind w:firstLine="720" w:end="0"/>
        <w:rPr>
          <w:sz w:val="26"/>
        </w:rPr>
      </w:pPr>
      <w:r>
        <w:rPr>
          <w:sz w:val="26"/>
          <w:u w:val="single"/>
        </w:rPr>
        <w:t>Comments</w:t>
      </w:r>
    </w:p>
    <w:p>
      <w:pPr>
        <w:pStyle w:val="Normal"/>
        <w:widowControl/>
        <w:rPr>
          <w:sz w:val="26"/>
        </w:rPr>
      </w:pPr>
      <w:r>
        <w:rPr>
          <w:sz w:val="26"/>
        </w:rPr>
      </w:r>
    </w:p>
    <w:p>
      <w:pPr>
        <w:pStyle w:val="Normal"/>
        <w:widowControl/>
        <w:ind w:firstLine="720" w:end="0"/>
        <w:rPr>
          <w:sz w:val="26"/>
        </w:rPr>
      </w:pPr>
      <w:r>
        <w:rPr>
          <w:sz w:val="26"/>
        </w:rPr>
        <w:t>Several parties argue that because sections 205 and 206 of the FPA require that the Commission ensure just and reasonable rates, the Commission, having found the pre</w:t>
        <w:softHyphen/>
        <w:t>October 2 rates to be unjust and unreasonable, is obligated to order refunds for that period. They further argue that the Commission is not prohibited from ordering retroactive refunds of market-based rates.</w:t>
      </w:r>
    </w:p>
    <w:p>
      <w:pPr>
        <w:pStyle w:val="Normal"/>
        <w:widowControl/>
        <w:rPr>
          <w:sz w:val="26"/>
        </w:rPr>
      </w:pPr>
      <w:r>
        <w:rPr>
          <w:sz w:val="26"/>
        </w:rPr>
      </w:r>
    </w:p>
    <w:p>
      <w:pPr>
        <w:pStyle w:val="Normal"/>
        <w:widowControl/>
        <w:ind w:firstLine="720" w:end="0"/>
        <w:rPr>
          <w:sz w:val="26"/>
        </w:rPr>
      </w:pPr>
      <w:r>
        <w:rPr>
          <w:sz w:val="26"/>
        </w:rPr>
        <w:t>Other parties argue that neither section 205 nor 206, on its face, grants the Commission authority to order retroactive refunds. Thus, they maintain that the Commission may not order refunds for the pre-October 2 period.</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u w:val="single"/>
        </w:rPr>
        <w:t>Commission Determination</w:t>
      </w:r>
    </w:p>
    <w:p>
      <w:pPr>
        <w:pStyle w:val="Normal"/>
        <w:widowControl/>
        <w:rPr>
          <w:sz w:val="26"/>
        </w:rPr>
      </w:pPr>
      <w:r>
        <w:rPr>
          <w:sz w:val="26"/>
        </w:rPr>
      </w:r>
    </w:p>
    <w:p>
      <w:pPr>
        <w:pStyle w:val="Normal"/>
        <w:widowControl/>
        <w:ind w:firstLine="720" w:end="0"/>
        <w:rPr/>
      </w:pPr>
      <w:r>
        <w:rPr>
          <w:sz w:val="26"/>
        </w:rPr>
        <w:t>A number of parties confuse the just and reasonable standard with the authority to order retroactive refunds of unjust and unreasonable rates.  Whether rates are unjust and unreasonable is a separate issue from whether the Commission is authorized under the statute to order refunds retroactively.  Under FPA section 206, if the Commission finds that rates no longer meet the just and reasonable standard, the Commission has a statutory obligation to fix a new rate or to fix practices "to be thereafter observed."</w:t>
      </w:r>
      <w:r>
        <w:rPr>
          <w:rStyle w:val="FootnoteCharacters"/>
          <w:rStyle w:val="FootnoteReference"/>
          <w:b/>
          <w:sz w:val="31"/>
          <w:vertAlign w:val="superscript"/>
        </w:rPr>
        <w:footnoteReference w:id="30"/>
      </w:r>
      <w:r>
        <w:rPr>
          <w:sz w:val="26"/>
        </w:rPr>
        <w:t xml:space="preserve">  In amending FPA section 206, Congress did not give the Commission authority to modify unjust and unreasonable rates retroactively.  As discussed in the Appendix to the November 1 Order, when Congress passed the FPA in 1935, it excluded a provision from the original bill that would have authorized the Commission to retroactively order reparations for charges found to be excessive or unreasonable if a complaint were filed within two years from the date of payment. Courts later concluded that this exclusion showed that Congress intended that the Commission have authority to only grant relief in a section 206 proceeding prospectively from the date of its order.  </w:t>
      </w:r>
      <w:r>
        <w:rPr>
          <w:sz w:val="26"/>
          <w:u w:val="single"/>
        </w:rPr>
        <w:t>See</w:t>
      </w:r>
      <w:r>
        <w:rPr>
          <w:sz w:val="26"/>
        </w:rPr>
        <w:t xml:space="preserve">, </w:t>
      </w:r>
      <w:r>
        <w:rPr>
          <w:sz w:val="26"/>
          <w:u w:val="single"/>
        </w:rPr>
        <w:t>e.g.</w:t>
      </w:r>
      <w:r>
        <w:rPr>
          <w:sz w:val="26"/>
        </w:rPr>
        <w:t xml:space="preserve">, </w:t>
      </w:r>
      <w:r>
        <w:rPr>
          <w:sz w:val="26"/>
          <w:u w:val="single"/>
        </w:rPr>
        <w:t>City of Bethany v. FERC</w:t>
      </w:r>
      <w:r>
        <w:rPr>
          <w:sz w:val="26"/>
        </w:rPr>
        <w:t xml:space="preserve">, 727 F.2d 1131 (D.C. Cir. 1984), </w:t>
      </w:r>
      <w:r>
        <w:rPr>
          <w:sz w:val="26"/>
          <w:u w:val="single"/>
        </w:rPr>
        <w:t>cert. denied</w:t>
      </w:r>
      <w:r>
        <w:rPr>
          <w:sz w:val="26"/>
        </w:rPr>
        <w:t xml:space="preserve">, 469 U.S. 917 (1984).  </w:t>
      </w:r>
    </w:p>
    <w:p>
      <w:pPr>
        <w:pStyle w:val="Normal"/>
        <w:widowControl/>
        <w:rPr>
          <w:sz w:val="26"/>
        </w:rPr>
      </w:pPr>
      <w:r>
        <w:rPr>
          <w:sz w:val="26"/>
        </w:rPr>
      </w:r>
    </w:p>
    <w:p>
      <w:pPr>
        <w:pStyle w:val="Normal"/>
        <w:widowControl/>
        <w:ind w:firstLine="720" w:end="0"/>
        <w:rPr/>
      </w:pPr>
      <w:r>
        <w:rPr>
          <w:sz w:val="26"/>
        </w:rPr>
        <w:t xml:space="preserve">As a result, Congress added limited refund authority to section 206 in the Regulatory Fairness Act of 1988 (RFA).  S. Rep. No. 491, 100th Cong., 2d Sess. 3-4 (1988), </w:t>
      </w:r>
      <w:r>
        <w:rPr>
          <w:sz w:val="26"/>
          <w:u w:val="single"/>
        </w:rPr>
        <w:t>reprinted in</w:t>
      </w:r>
      <w:r>
        <w:rPr>
          <w:sz w:val="26"/>
        </w:rPr>
        <w:t xml:space="preserve"> 1988 U.S.C.C.A.N. 2685. As amended, FPA section 206 restricts the Commission's authority to establish a refund effective date to no earlier than 60 days after the date that a complaint is filed or the Commission initiates an investigation. Therefore, section 206 does not permit retroactive refund relief for rates covering periods prior to the filing of a complaint or the initiation of a Commission investigation, even if the Commission determines that such past rates were unjust and unreasonable.</w:t>
      </w:r>
    </w:p>
    <w:p>
      <w:pPr>
        <w:pStyle w:val="Normal"/>
        <w:widowControl/>
        <w:rPr>
          <w:sz w:val="26"/>
        </w:rPr>
      </w:pPr>
      <w:r>
        <w:rPr>
          <w:sz w:val="26"/>
        </w:rPr>
      </w:r>
    </w:p>
    <w:p>
      <w:pPr>
        <w:pStyle w:val="Normal"/>
        <w:widowControl/>
        <w:tabs>
          <w:tab w:val="clear" w:pos="720"/>
          <w:tab w:val="left" w:pos="-1440" w:leader="none"/>
        </w:tabs>
        <w:ind w:hanging="720" w:start="2880" w:end="0"/>
        <w:rPr>
          <w:sz w:val="26"/>
        </w:rPr>
      </w:pPr>
      <w:r>
        <w:rPr>
          <w:sz w:val="26"/>
        </w:rPr>
        <w:t>ii.</w:t>
        <w:tab/>
      </w:r>
      <w:r>
        <w:rPr>
          <w:sz w:val="26"/>
          <w:u w:val="single"/>
        </w:rPr>
        <w:t xml:space="preserve">The Filed Rate Doctrine and the Rule Against Retroactive Ratemaking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Parties urging retroactive refunds make several arguments concerning the filed rate doctrine and its corollary, the rule against retroactive ratemaking. Taken together, the doctrine and its corollary stand for the propositions that a utility may charge only those rates that are on file with and approved by the Commission, and conversely that the Commission may not alter those filed rates retrospectively. The arguments against the application of the doctrine and its corollary can be condensed to the following:  the filed rate doctrine does not apply to market-based rates; the Commission's past market-based rate authorizations in California markets constituted legal error; and the rates charged were inconsistent with sellers' filed rates.  According to these parties, the filed rate doctrine does not preclude retroactive refunds in these specific circumstances.</w:t>
      </w:r>
    </w:p>
    <w:p>
      <w:pPr>
        <w:pStyle w:val="Normal"/>
        <w:widowControl/>
        <w:rPr>
          <w:sz w:val="26"/>
        </w:rPr>
      </w:pPr>
      <w:r>
        <w:rPr>
          <w:sz w:val="26"/>
        </w:rPr>
      </w:r>
    </w:p>
    <w:p>
      <w:pPr>
        <w:pStyle w:val="Normal"/>
        <w:widowControl/>
        <w:tabs>
          <w:tab w:val="clear" w:pos="720"/>
          <w:tab w:val="left" w:pos="-1440" w:leader="none"/>
        </w:tabs>
        <w:ind w:hanging="720" w:start="2880" w:end="0"/>
        <w:rPr>
          <w:sz w:val="26"/>
        </w:rPr>
      </w:pPr>
      <w:r>
        <w:rPr>
          <w:sz w:val="26"/>
        </w:rPr>
        <w:t>(a)</w:t>
        <w:tab/>
      </w:r>
      <w:r>
        <w:rPr>
          <w:sz w:val="26"/>
          <w:u w:val="single"/>
        </w:rPr>
        <w:t>Whether the Filed Rated Doctrine Applies to Market-Based Rates</w:t>
      </w:r>
    </w:p>
    <w:p>
      <w:pPr>
        <w:pStyle w:val="Normal"/>
        <w:widowControl/>
        <w:rPr>
          <w:sz w:val="26"/>
        </w:rPr>
      </w:pPr>
      <w:r>
        <w:rPr>
          <w:sz w:val="26"/>
        </w:rPr>
      </w:r>
    </w:p>
    <w:p>
      <w:pPr>
        <w:pStyle w:val="Normal"/>
        <w:widowControl/>
        <w:ind w:firstLine="720" w:end="0"/>
        <w:rPr>
          <w:sz w:val="26"/>
        </w:rPr>
      </w:pPr>
      <w:r>
        <w:rPr>
          <w:sz w:val="26"/>
          <w:u w:val="single"/>
        </w:rPr>
        <w:t>Comments</w:t>
      </w:r>
    </w:p>
    <w:p>
      <w:pPr>
        <w:pStyle w:val="Normal"/>
        <w:widowControl/>
        <w:rPr>
          <w:sz w:val="26"/>
        </w:rPr>
      </w:pPr>
      <w:r>
        <w:rPr>
          <w:sz w:val="26"/>
        </w:rPr>
      </w:r>
    </w:p>
    <w:p>
      <w:pPr>
        <w:pStyle w:val="Normal"/>
        <w:widowControl/>
        <w:ind w:firstLine="720" w:end="0"/>
        <w:rPr>
          <w:sz w:val="26"/>
        </w:rPr>
      </w:pPr>
      <w:r>
        <w:rPr>
          <w:sz w:val="26"/>
        </w:rPr>
        <w:t>Oversight Board and County of San Diego argue that the filed rate doctrine does not apply to market-based rates because the actual rates have not been filed with the Commission, and because prices fluctuate with the market.  Accordingly, they assert that there is no fixed rate on file on which buyers and sellers could rely, and which would prohibit retroactive refunds.</w:t>
      </w:r>
    </w:p>
    <w:p>
      <w:pPr>
        <w:pStyle w:val="Normal"/>
        <w:widowControl/>
        <w:rPr>
          <w:sz w:val="26"/>
        </w:rPr>
      </w:pPr>
      <w:r>
        <w:rPr>
          <w:sz w:val="26"/>
        </w:rPr>
      </w:r>
    </w:p>
    <w:p>
      <w:pPr>
        <w:pStyle w:val="Normal"/>
        <w:widowControl/>
        <w:ind w:firstLine="720" w:end="0"/>
        <w:rPr>
          <w:sz w:val="26"/>
        </w:rPr>
      </w:pPr>
      <w:r>
        <w:rPr>
          <w:sz w:val="26"/>
        </w:rPr>
        <w:t>County of San Diego contends that several principles underlying the filed rate doctrine and the rule against retroactive ratemaking do not apply to market-based rates and, thus, are not dispositive in this case.  Specifically, it contends that: the principle that regulated companies can charge only those rates of which the agency is cognizant does not apply to these facts, because the Commission no longer receives prior notice of actual market-based rates; the non</w:t>
        <w:softHyphen/>
        <w:t>discrimination principle does not apply, because market-based pricing allows utilities to sell at different rates to different customers; and the principle of predictability is not applicable, because the market, not a fixed rate or published formula, determines prices.  Instead, County of San Diego asserts that another principle underlying the filed rate doctrine --  the principle of reasonable expectations -- is dispositive.  It contends that market participants and the Commission clearly expected that competitive forces would be adequate to restrain prices in the California markets to just and reasonable levels, whereas sellers had no legitimate or reasonable expectation of being able to demand unjust and unreasonable prices due to an absence of competition. Thus, it argues that the reasonable expectations rationale underlying the filed rate doctrine supports a requirement for refunds in this case.</w:t>
      </w:r>
      <w:r>
        <w:rPr>
          <w:rStyle w:val="FootnoteCharacters"/>
          <w:rStyle w:val="FootnoteReference"/>
          <w:b/>
          <w:sz w:val="31"/>
          <w:vertAlign w:val="superscript"/>
        </w:rPr>
        <w:footnoteReference w:id="31"/>
      </w:r>
    </w:p>
    <w:p>
      <w:pPr>
        <w:pStyle w:val="Normal"/>
        <w:widowControl/>
        <w:rPr>
          <w:sz w:val="26"/>
        </w:rPr>
      </w:pPr>
      <w:r>
        <w:rPr>
          <w:sz w:val="26"/>
        </w:rPr>
      </w:r>
    </w:p>
    <w:p>
      <w:pPr>
        <w:pStyle w:val="Normal"/>
        <w:widowControl/>
        <w:ind w:firstLine="720" w:end="0"/>
        <w:rPr>
          <w:sz w:val="26"/>
        </w:rPr>
      </w:pPr>
      <w:r>
        <w:rPr>
          <w:sz w:val="26"/>
          <w:u w:val="single"/>
        </w:rPr>
        <w:t>Commission Determination</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 xml:space="preserve">Under the FPA, sections 205 and 206 are the statutory foundation for the filed rate doctrine and the rule against retroactive ratemaking.  FPA section 205(c) states:  "Under such rules and regulations as the Commission may prescribe, every public utility shall file with the Commission, within such time and in such form as the Commission may designate . . . schedules showing all rates and charges subject to the jurisdiction of the Commission . . . ."  This provision does not distinguish between cost-based and market-based rates.  Nor does the provision require that the Commission receive prior notice of market-based rates, as San Diego contends. </w:t>
      </w:r>
      <w:r>
        <w:rPr>
          <w:rStyle w:val="FootnoteCharacters"/>
          <w:rStyle w:val="FootnoteReference"/>
          <w:b/>
          <w:sz w:val="31"/>
          <w:vertAlign w:val="superscript"/>
        </w:rPr>
        <w:footnoteReference w:id="32"/>
      </w:r>
    </w:p>
    <w:p>
      <w:pPr>
        <w:pStyle w:val="Normal"/>
        <w:widowControl/>
        <w:rPr>
          <w:sz w:val="26"/>
        </w:rPr>
      </w:pPr>
      <w:r>
        <w:rPr>
          <w:sz w:val="26"/>
        </w:rPr>
      </w:r>
    </w:p>
    <w:p>
      <w:pPr>
        <w:pStyle w:val="Normal"/>
        <w:widowControl/>
        <w:ind w:firstLine="720" w:end="0"/>
        <w:rPr/>
      </w:pPr>
      <w:r>
        <w:rPr>
          <w:sz w:val="26"/>
        </w:rPr>
        <w:t>As the Court of Appeals for the District of Columbia Circuit recently recognized, "[t]he Commission has held that traditional utilities and power marketers who engage in market-based rate transactions are required to file quarterly reports summarizing transactions and that these reports satisfy the filing requirements of § 205(c),"</w:t>
      </w:r>
      <w:r>
        <w:rPr>
          <w:rStyle w:val="FootnoteCharacters"/>
          <w:rStyle w:val="FootnoteReference"/>
          <w:b/>
          <w:sz w:val="31"/>
          <w:vertAlign w:val="superscript"/>
        </w:rPr>
        <w:footnoteReference w:id="33"/>
      </w:r>
      <w:r>
        <w:rPr>
          <w:sz w:val="26"/>
        </w:rPr>
        <w:t xml:space="preserve"> and the court did not question the Commission's judgment in this regard.  Consequently, the Commission's current procedures for quarterly filing of market-based transactions satisfy the section 205(c) filing requirements for market-based rates.  The market-based rates at issue here were on file with and approved by the Commission.  Second, in response to section 206 complaints and our own investigation, the December 15 Order implemented a number of structural changes to the existing California market mechanisms to eliminate those features that were creating the possibility of unjust and unreasonable rates.  The structural changes satisfied our section 206(a) obligation to determine the just and reasonable provisions to be thereafter in force.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We find San Diego's reasonable expectation principle not to be a tenet of the filed rate doctrine, but merely a restatement of our statutory duty to set just and reasonable rates.  San Diego's effort to engraft this principle into the filed rate doctrine seeks to evade the distinction, noted above, between our delegated authority under section 206 to find that existing rates are unjust and unreasonable and the statutory restriction on refunds in such cases.  The filed rate doctrine cannot give us greater refund authority than that allowed in the FPA, and therefore we reject San Diego's claim that its reasonable expectation rationale supports a requirement for refunds in this case.</w:t>
      </w:r>
      <w:r>
        <w:rPr>
          <w:rStyle w:val="FootnoteCharacters"/>
          <w:rStyle w:val="FootnoteReference"/>
          <w:b/>
          <w:sz w:val="31"/>
          <w:vertAlign w:val="superscript"/>
        </w:rPr>
        <w:footnoteReference w:id="34"/>
      </w:r>
    </w:p>
    <w:p>
      <w:pPr>
        <w:pStyle w:val="Normal"/>
        <w:widowControl/>
        <w:rPr>
          <w:sz w:val="26"/>
        </w:rPr>
      </w:pPr>
      <w:r>
        <w:rPr>
          <w:sz w:val="26"/>
        </w:rPr>
      </w:r>
    </w:p>
    <w:p>
      <w:pPr>
        <w:pStyle w:val="Normal"/>
        <w:widowControl/>
        <w:ind w:firstLine="720" w:end="0"/>
        <w:rPr>
          <w:sz w:val="26"/>
        </w:rPr>
      </w:pPr>
      <w:r>
        <w:rPr>
          <w:sz w:val="26"/>
        </w:rPr>
        <w:t>To conclude, the filed rate doctrine applies to the market-based rates at issue here, and the statutory limitations on our refund authority prohibit retroactive refunds.</w:t>
      </w:r>
    </w:p>
    <w:p>
      <w:pPr>
        <w:pStyle w:val="Normal"/>
        <w:widowControl/>
        <w:rPr>
          <w:sz w:val="26"/>
        </w:rPr>
      </w:pPr>
      <w:r>
        <w:rPr>
          <w:sz w:val="26"/>
        </w:rPr>
      </w:r>
    </w:p>
    <w:p>
      <w:pPr>
        <w:pStyle w:val="Normal"/>
        <w:widowControl/>
        <w:tabs>
          <w:tab w:val="clear" w:pos="720"/>
          <w:tab w:val="left" w:pos="-1440" w:leader="none"/>
        </w:tabs>
        <w:ind w:hanging="720" w:start="2880" w:end="0"/>
        <w:rPr>
          <w:sz w:val="26"/>
        </w:rPr>
      </w:pPr>
      <w:r>
        <w:rPr>
          <w:sz w:val="26"/>
        </w:rPr>
        <w:t>(b)</w:t>
        <w:tab/>
      </w:r>
      <w:r>
        <w:rPr>
          <w:sz w:val="26"/>
          <w:u w:val="single"/>
        </w:rPr>
        <w:t>Legal Error</w:t>
      </w:r>
    </w:p>
    <w:p>
      <w:pPr>
        <w:pStyle w:val="Normal"/>
        <w:widowControl/>
        <w:rPr>
          <w:sz w:val="26"/>
        </w:rPr>
      </w:pPr>
      <w:r>
        <w:rPr>
          <w:sz w:val="26"/>
        </w:rPr>
      </w:r>
    </w:p>
    <w:p>
      <w:pPr>
        <w:pStyle w:val="Normal"/>
        <w:widowControl/>
        <w:ind w:firstLine="720" w:end="0"/>
        <w:rPr>
          <w:sz w:val="26"/>
        </w:rPr>
      </w:pPr>
      <w:r>
        <w:rPr>
          <w:sz w:val="26"/>
          <w:u w:val="single"/>
        </w:rPr>
        <w:t>Comments</w:t>
      </w:r>
    </w:p>
    <w:p>
      <w:pPr>
        <w:pStyle w:val="Normal"/>
        <w:widowControl/>
        <w:rPr>
          <w:sz w:val="26"/>
        </w:rPr>
      </w:pPr>
      <w:r>
        <w:rPr>
          <w:sz w:val="26"/>
        </w:rPr>
      </w:r>
    </w:p>
    <w:p>
      <w:pPr>
        <w:pStyle w:val="Normal"/>
        <w:widowControl/>
        <w:ind w:firstLine="720" w:end="0"/>
        <w:rPr>
          <w:sz w:val="26"/>
        </w:rPr>
      </w:pPr>
      <w:r>
        <w:rPr>
          <w:sz w:val="26"/>
        </w:rPr>
        <w:t>Some parties argue that the Commission's market-based rate authorizations relied on determinations that the markets were competitive, but that the markets have now been shown not to be competitive. They argue that, by allowing market-based rates in markets that were not workably competitive, the Commission committed legal error, which constitutes a basis for the Commission to order retroactive refunds to correct its mistakes.</w:t>
      </w:r>
    </w:p>
    <w:p>
      <w:pPr>
        <w:pStyle w:val="Normal"/>
        <w:widowControl/>
        <w:rPr>
          <w:sz w:val="26"/>
        </w:rPr>
      </w:pPr>
      <w:r>
        <w:rPr>
          <w:sz w:val="26"/>
        </w:rPr>
      </w:r>
    </w:p>
    <w:p>
      <w:pPr>
        <w:pStyle w:val="Normal"/>
        <w:widowControl/>
        <w:ind w:firstLine="720" w:end="0"/>
        <w:rPr>
          <w:sz w:val="26"/>
        </w:rPr>
      </w:pPr>
      <w:r>
        <w:rPr>
          <w:sz w:val="26"/>
          <w:u w:val="single"/>
        </w:rPr>
        <w:t>Commission Determination</w:t>
      </w:r>
    </w:p>
    <w:p>
      <w:pPr>
        <w:pStyle w:val="Normal"/>
        <w:widowControl/>
        <w:rPr>
          <w:sz w:val="26"/>
        </w:rPr>
      </w:pPr>
      <w:r>
        <w:rPr>
          <w:sz w:val="26"/>
        </w:rPr>
      </w:r>
    </w:p>
    <w:p>
      <w:pPr>
        <w:pStyle w:val="Normal"/>
        <w:widowControl/>
        <w:ind w:firstLine="720" w:end="0"/>
        <w:rPr/>
      </w:pPr>
      <w:r>
        <w:rPr>
          <w:sz w:val="26"/>
        </w:rPr>
        <w:t>The parties' reliance on a "legal error" theory is flawed.  First, we disagree that the Commission committed legal error by allowing market-based rates to remain in effect in California.  Rather than eliminate market-based rates entirely, as these parties seem to advocate, the Commission reasonably sought to correct the flaws that could cause unjust and unreasonable rates in certain conditions.  The December 15 Order contained a number of remedial measures designed to correct those flaws.  As found by the Ninth Circuit, "FERC's actions, taken together, appear to be fully consistent with § 206(a)."</w:t>
      </w:r>
      <w:r>
        <w:rPr>
          <w:rStyle w:val="FootnoteCharacters"/>
          <w:rStyle w:val="FootnoteReference"/>
          <w:b/>
          <w:sz w:val="31"/>
          <w:vertAlign w:val="superscript"/>
        </w:rPr>
        <w:footnoteReference w:id="35"/>
      </w:r>
      <w:r>
        <w:rPr>
          <w:sz w:val="26"/>
        </w:rPr>
        <w:t xml:space="preserve"> Thus, we disagree that the Commission's approach can be considered to constitute legal error.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Second, while we recognize that retroactive refunds can be ordered where a court reverses a non-final Commission decision on the merits,</w:t>
      </w:r>
      <w:r>
        <w:rPr>
          <w:rStyle w:val="FootnoteCharacters"/>
          <w:rStyle w:val="FootnoteReference"/>
          <w:b/>
          <w:sz w:val="31"/>
          <w:vertAlign w:val="superscript"/>
        </w:rPr>
        <w:footnoteReference w:id="36"/>
      </w:r>
      <w:r>
        <w:rPr>
          <w:sz w:val="26"/>
        </w:rPr>
        <w:t xml:space="preserve"> the parties have challenged the Commission's original decisions to grant market-based pricing authority to various applicants.  Those orders have, however, become final and non-appealable under FPA section 313, and thus courts would lack jurisdiction to review those decisions.  Third, to the extent that the parties are raising questions about the operation of specific sellers' exercise of market-based pricing, those cases must proceed under section 206, as, in fact, this case does.  In a section 206 complaint, our refund authority is confined by the statutory language to commence 60 days after the complaint was filed, or October 2, 2000 in the instant case.  We do not see how a court could find legal error in our decision to follow the statutory requirement.</w:t>
      </w:r>
    </w:p>
    <w:p>
      <w:pPr>
        <w:pStyle w:val="Normal"/>
        <w:widowControl/>
        <w:rPr>
          <w:sz w:val="26"/>
        </w:rPr>
      </w:pPr>
      <w:r>
        <w:rPr>
          <w:sz w:val="26"/>
        </w:rPr>
      </w:r>
    </w:p>
    <w:p>
      <w:pPr>
        <w:pStyle w:val="Normal"/>
        <w:widowControl/>
        <w:tabs>
          <w:tab w:val="clear" w:pos="720"/>
          <w:tab w:val="left" w:pos="-1440" w:leader="none"/>
        </w:tabs>
        <w:ind w:hanging="720" w:start="2880" w:end="0"/>
        <w:rPr>
          <w:sz w:val="26"/>
        </w:rPr>
      </w:pPr>
      <w:r>
        <w:rPr>
          <w:sz w:val="26"/>
        </w:rPr>
        <w:t>(c)</w:t>
        <w:tab/>
      </w:r>
      <w:r>
        <w:rPr>
          <w:sz w:val="26"/>
          <w:u w:val="single"/>
        </w:rPr>
        <w:t>Whether the Rates Charged Were Inconsistent with a Competitive Market Rate</w:t>
      </w:r>
    </w:p>
    <w:p>
      <w:pPr>
        <w:pStyle w:val="Normal"/>
        <w:widowControl/>
        <w:rPr>
          <w:sz w:val="26"/>
        </w:rPr>
      </w:pPr>
      <w:r>
        <w:rPr>
          <w:sz w:val="26"/>
        </w:rPr>
      </w:r>
    </w:p>
    <w:p>
      <w:pPr>
        <w:pStyle w:val="Normal"/>
        <w:widowControl/>
        <w:ind w:firstLine="720" w:end="0"/>
        <w:rPr>
          <w:sz w:val="26"/>
        </w:rPr>
      </w:pPr>
      <w:r>
        <w:rPr>
          <w:sz w:val="26"/>
          <w:u w:val="single"/>
        </w:rPr>
        <w:t>Comments</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 xml:space="preserve">Several parties argue that market-based rates are just and reasonable only if the market is sufficiently efficient and sufficiently free from the ability of market participants to exercise market power so that actual prices charged in the marketplace approximate the "true" market price, </w:t>
      </w:r>
      <w:r>
        <w:rPr>
          <w:sz w:val="26"/>
          <w:u w:val="single"/>
        </w:rPr>
        <w:t>i.e.</w:t>
      </w:r>
      <w:r>
        <w:rPr>
          <w:sz w:val="26"/>
        </w:rPr>
        <w:t>, the price that would obtain in a hypothetically "fully competitive" and efficient market.  The parties argue that there was an implied condition in the seller authorizations,</w:t>
      </w:r>
      <w:r>
        <w:rPr>
          <w:rStyle w:val="FootnoteCharacters"/>
          <w:rStyle w:val="FootnoteReference"/>
          <w:b/>
          <w:sz w:val="31"/>
          <w:vertAlign w:val="superscript"/>
        </w:rPr>
        <w:footnoteReference w:id="37"/>
      </w:r>
      <w:r>
        <w:rPr>
          <w:sz w:val="26"/>
        </w:rPr>
        <w:t xml:space="preserve"> or that the market power conditions of market-based rate authorizations are analogous to an implied contract between seller and buyer,</w:t>
      </w:r>
      <w:r>
        <w:rPr>
          <w:rStyle w:val="FootnoteCharacters"/>
          <w:rStyle w:val="FootnoteReference"/>
          <w:b/>
          <w:sz w:val="31"/>
          <w:vertAlign w:val="superscript"/>
        </w:rPr>
        <w:footnoteReference w:id="38"/>
      </w:r>
      <w:r>
        <w:rPr>
          <w:sz w:val="26"/>
        </w:rPr>
        <w:t xml:space="preserve"> such that if a seller were found, after-the-fact, to have exercised market power, this would be deemed a violation of the seller's market rate tariffs and subject the seller to retroactive refund liability.  They contend that the exercise of market power resulted in prices well above what would prevail in a workably competitive market, and, accordingly, prices charged by sellers during the summer of 2000 are contrary to the filed rate authorizations, and refunds should be ordered.</w:t>
      </w:r>
      <w:r>
        <w:rPr>
          <w:rStyle w:val="FootnoteCharacters"/>
          <w:rStyle w:val="FootnoteReference"/>
          <w:b/>
          <w:sz w:val="31"/>
          <w:vertAlign w:val="superscript"/>
        </w:rPr>
        <w:footnoteReference w:id="39"/>
      </w:r>
      <w:r>
        <w:rPr>
          <w:sz w:val="26"/>
        </w:rPr>
        <w:t xml:space="preserve">  </w:t>
      </w:r>
    </w:p>
    <w:p>
      <w:pPr>
        <w:pStyle w:val="Normal"/>
        <w:widowControl/>
        <w:rPr>
          <w:sz w:val="26"/>
        </w:rPr>
      </w:pPr>
      <w:r>
        <w:rPr>
          <w:sz w:val="26"/>
        </w:rPr>
      </w:r>
    </w:p>
    <w:p>
      <w:pPr>
        <w:pStyle w:val="Normal"/>
        <w:widowControl/>
        <w:ind w:firstLine="720" w:end="0"/>
        <w:rPr>
          <w:sz w:val="26"/>
        </w:rPr>
      </w:pPr>
      <w:r>
        <w:rPr>
          <w:sz w:val="26"/>
        </w:rPr>
        <w:t>The parties further argue that the Commission may order retroactive refunds where the rates charged exceed the filed rate or for violations of the conditions of sellers' market-based rate authority.  In support, they cite cases in which the Commission ordered:  disgorgement of profits for a period prior to the initiation of the Commission's complaint as a sanction against a public utility that violated the standards of conduct that were contained in its market-based tariff; refunds for monies illegally recovered through a fuel adjustment clause; refunds when the utility charges impermissible costs through a filed formula rate; and disgorgement of some revenues resulting from a transaction that lacked necessary Commission authorization.</w:t>
      </w:r>
      <w:r>
        <w:rPr>
          <w:rStyle w:val="FootnoteCharacters"/>
          <w:rStyle w:val="FootnoteReference"/>
          <w:b/>
          <w:sz w:val="31"/>
          <w:vertAlign w:val="superscript"/>
        </w:rPr>
        <w:footnoteReference w:id="40"/>
      </w:r>
    </w:p>
    <w:p>
      <w:pPr>
        <w:pStyle w:val="Normal"/>
        <w:widowControl/>
        <w:rPr>
          <w:sz w:val="26"/>
        </w:rPr>
      </w:pPr>
      <w:r>
        <w:rPr>
          <w:sz w:val="26"/>
        </w:rPr>
      </w:r>
    </w:p>
    <w:p>
      <w:pPr>
        <w:pStyle w:val="Normal"/>
        <w:widowControl/>
        <w:ind w:firstLine="720" w:end="0"/>
        <w:rPr>
          <w:sz w:val="26"/>
        </w:rPr>
      </w:pPr>
      <w:r>
        <w:rPr>
          <w:sz w:val="26"/>
        </w:rPr>
        <w:t>Other parties assert that the rates charged this summer comport with the filed rate doctrine, that there is no evidence that sellers charged rates that were not in compliance with the tariffs on file, and that sellers must be able to rely on the finality of filed rates.</w:t>
      </w:r>
    </w:p>
    <w:p>
      <w:pPr>
        <w:pStyle w:val="Normal"/>
        <w:widowControl/>
        <w:rPr>
          <w:sz w:val="26"/>
        </w:rPr>
      </w:pPr>
      <w:r>
        <w:rPr>
          <w:sz w:val="26"/>
        </w:rPr>
      </w:r>
    </w:p>
    <w:p>
      <w:pPr>
        <w:pStyle w:val="Normal"/>
        <w:widowControl/>
        <w:ind w:firstLine="720" w:end="0"/>
        <w:rPr>
          <w:sz w:val="26"/>
        </w:rPr>
      </w:pPr>
      <w:r>
        <w:rPr>
          <w:sz w:val="26"/>
          <w:u w:val="single"/>
        </w:rPr>
        <w:t>Commission Determination</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We agree that the Commission may take retroactive action to address circumstances where a seller did not charge the filed rate or violated statutory or regulatory requirements or rules in applicable rate tariffs.</w:t>
      </w:r>
      <w:r>
        <w:rPr>
          <w:rStyle w:val="FootnoteCharacters"/>
          <w:rStyle w:val="FootnoteReference"/>
          <w:b/>
          <w:sz w:val="31"/>
          <w:vertAlign w:val="superscript"/>
        </w:rPr>
        <w:footnoteReference w:id="41"/>
      </w:r>
      <w:r>
        <w:rPr>
          <w:sz w:val="26"/>
        </w:rPr>
        <w:t xml:space="preserve">  However, it has not been demonstrated that any conditions or limitations of sellers' market-based rate tariffs have been violated.  The conditions hypothesized by the parties are not evident from the market-based rate schedules or our orders.  Thus, there is no basis for finding that the sellers acted inconsistently with Commission-filed tariffs or with specific requirements in their filed rate authorizations.  To the extent the Commission found that changed conditions in California created the opportunity for unjust and unreasonable rates, it remedied those problems prospectively. If it finds that refunds are appropriate, it can order refunds in accordance with the RFA refund effective date. </w:t>
      </w:r>
    </w:p>
    <w:p>
      <w:pPr>
        <w:pStyle w:val="Normal"/>
        <w:widowControl/>
        <w:rPr>
          <w:sz w:val="26"/>
        </w:rPr>
      </w:pPr>
      <w:r>
        <w:rPr>
          <w:sz w:val="26"/>
        </w:rPr>
      </w:r>
    </w:p>
    <w:p>
      <w:pPr>
        <w:pStyle w:val="Normal"/>
        <w:widowControl/>
        <w:tabs>
          <w:tab w:val="clear" w:pos="720"/>
          <w:tab w:val="left" w:pos="-1440" w:leader="none"/>
        </w:tabs>
        <w:ind w:hanging="720" w:start="2880" w:end="0"/>
        <w:rPr>
          <w:sz w:val="26"/>
        </w:rPr>
      </w:pPr>
      <w:r>
        <w:rPr>
          <w:sz w:val="26"/>
        </w:rPr>
        <w:t>iii.</w:t>
        <w:tab/>
      </w:r>
      <w:r>
        <w:rPr>
          <w:sz w:val="26"/>
          <w:u w:val="single"/>
        </w:rPr>
        <w:t>Whether Sellers' Market-Based Rate Authorizations Were Provisional, Making the Rates Being Charged Subject to Retroactive Adjustment</w:t>
      </w:r>
    </w:p>
    <w:p>
      <w:pPr>
        <w:pStyle w:val="Normal"/>
        <w:widowControl/>
        <w:rPr>
          <w:sz w:val="26"/>
        </w:rPr>
      </w:pPr>
      <w:r>
        <w:rPr>
          <w:sz w:val="26"/>
        </w:rPr>
      </w:r>
    </w:p>
    <w:p>
      <w:pPr>
        <w:pStyle w:val="Normal"/>
        <w:widowControl/>
        <w:ind w:firstLine="720" w:end="0"/>
        <w:rPr>
          <w:sz w:val="26"/>
        </w:rPr>
      </w:pPr>
      <w:r>
        <w:rPr>
          <w:sz w:val="26"/>
          <w:u w:val="single"/>
        </w:rPr>
        <w:t>Comments</w:t>
      </w:r>
    </w:p>
    <w:p>
      <w:pPr>
        <w:pStyle w:val="Normal"/>
        <w:widowControl/>
        <w:rPr>
          <w:sz w:val="26"/>
        </w:rPr>
      </w:pPr>
      <w:r>
        <w:rPr>
          <w:sz w:val="26"/>
        </w:rPr>
      </w:r>
    </w:p>
    <w:p>
      <w:pPr>
        <w:pStyle w:val="Normal"/>
        <w:widowControl/>
        <w:ind w:firstLine="720" w:end="0"/>
        <w:rPr>
          <w:sz w:val="26"/>
        </w:rPr>
      </w:pPr>
      <w:r>
        <w:rPr>
          <w:sz w:val="26"/>
        </w:rPr>
        <w:t xml:space="preserve">The California Commission argues that the Commission may order refunds without violating the filed rate doctrine or the corollary rule against retroactive ratemaking if buyers and sellers were on notice that the rates being charged were "provisional," and might be subject to adjustment in the future.  It argues that the Commission's early California electric restructuring orders contained qualifications that indicate that these decisions were provisional, and which warn that the structure and dynamics of the markets and their resulting rates were subject to adjustment or revision. It cites the November 1996 order (authorizing the establishment of the PX and the ISO) as characterizing the Commission's determination as "conditional" and "preliminary." </w:t>
      </w:r>
      <w:r>
        <w:rPr>
          <w:sz w:val="26"/>
          <w:u w:val="single"/>
        </w:rPr>
        <w:t>See PG&amp;E, et al.</w:t>
      </w:r>
      <w:r>
        <w:rPr>
          <w:sz w:val="26"/>
        </w:rPr>
        <w:t xml:space="preserve">, 77 FERC ¶ 61,204 at 61,793 (1996).  It also cites the October 1997 order authorizing the PX and the ISO to commence operations, </w:t>
      </w:r>
      <w:r>
        <w:rPr>
          <w:sz w:val="26"/>
          <w:u w:val="single"/>
        </w:rPr>
        <w:t>PG&amp;E, et al.</w:t>
      </w:r>
      <w:r>
        <w:rPr>
          <w:sz w:val="26"/>
        </w:rPr>
        <w:t xml:space="preserve">, 81 FERC ¶ 61,122 at 61,435 (describing such authorization as "interim" and "conditional"); the December 1997 order authorizing the transfer of operational control of jurisdictional facilities, </w:t>
      </w:r>
      <w:r>
        <w:rPr>
          <w:sz w:val="26"/>
          <w:u w:val="single"/>
        </w:rPr>
        <w:t>PG&amp;E, et al.</w:t>
      </w:r>
      <w:r>
        <w:rPr>
          <w:sz w:val="26"/>
        </w:rPr>
        <w:t>, 81 FERC ¶ 62,210 at 64,473 (expressly reserving the right to "place further conditions on the transfer for good cause shown.").  Thus, according to the California Commission, there was nothing certain on which buyers and sellers could have justifiably relied.  Accordingly, there was no predictability as to what rates were being protected by the filed rate doctrine and rule against retroactive ratemaking.</w:t>
      </w:r>
      <w:r>
        <w:rPr>
          <w:rStyle w:val="FootnoteCharacters"/>
          <w:rStyle w:val="FootnoteReference"/>
          <w:b/>
          <w:sz w:val="31"/>
          <w:vertAlign w:val="superscript"/>
        </w:rPr>
        <w:footnoteReference w:id="42"/>
      </w:r>
    </w:p>
    <w:p>
      <w:pPr>
        <w:pStyle w:val="Normal"/>
        <w:widowControl/>
        <w:rPr>
          <w:sz w:val="26"/>
        </w:rPr>
      </w:pPr>
      <w:r>
        <w:rPr>
          <w:sz w:val="26"/>
        </w:rPr>
      </w:r>
    </w:p>
    <w:p>
      <w:pPr>
        <w:pStyle w:val="Normal"/>
        <w:widowControl/>
        <w:ind w:firstLine="720" w:end="0"/>
        <w:rPr/>
      </w:pPr>
      <w:r>
        <w:rPr>
          <w:sz w:val="26"/>
        </w:rPr>
        <w:t xml:space="preserve">Oversight Board argues that the controversy over the high prices during the spring and summer of 2000 effectively put sellers on notice that their rates would be challenged, </w:t>
      </w:r>
      <w:r>
        <w:rPr>
          <w:sz w:val="26"/>
          <w:u w:val="single"/>
        </w:rPr>
        <w:t>i.e.</w:t>
      </w:r>
      <w:r>
        <w:rPr>
          <w:sz w:val="26"/>
        </w:rPr>
        <w:t>, no reasonable seller would believe that their rates would go unchallenged.</w:t>
      </w:r>
    </w:p>
    <w:p>
      <w:pPr>
        <w:pStyle w:val="Normal"/>
        <w:widowControl/>
        <w:rPr>
          <w:sz w:val="26"/>
        </w:rPr>
      </w:pPr>
      <w:r>
        <w:rPr>
          <w:sz w:val="26"/>
        </w:rPr>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u w:val="single"/>
        </w:rPr>
        <w:t>Commission Determination</w:t>
      </w:r>
    </w:p>
    <w:p>
      <w:pPr>
        <w:pStyle w:val="Normal"/>
        <w:widowControl/>
        <w:rPr>
          <w:sz w:val="26"/>
        </w:rPr>
      </w:pPr>
      <w:r>
        <w:rPr>
          <w:sz w:val="26"/>
        </w:rPr>
      </w:r>
    </w:p>
    <w:p>
      <w:pPr>
        <w:pStyle w:val="Normal"/>
        <w:widowControl/>
        <w:ind w:firstLine="720" w:end="0"/>
        <w:rPr/>
      </w:pPr>
      <w:r>
        <w:rPr>
          <w:sz w:val="26"/>
        </w:rPr>
        <w:t>While it is correct that the Commission issued conditional orders on the restructuring and indicated that future changes might be made, the conditions went to the restructuring and the market rules, which were at that time not entirely finalized and were being implemented in phases.  The Commission did not make changes to the individual sellers' market rate authorizations.  The individual market-based rate applications were not made subject to a retroactive refund obligation when accepted, and the applicants had no reasonable expectation of such an obligation.</w:t>
      </w:r>
      <w:r>
        <w:rPr>
          <w:rStyle w:val="FootnoteCharacters"/>
          <w:rStyle w:val="FootnoteReference"/>
          <w:b/>
          <w:sz w:val="31"/>
          <w:vertAlign w:val="superscript"/>
        </w:rPr>
        <w:footnoteReference w:id="43"/>
      </w:r>
      <w:r>
        <w:rPr>
          <w:sz w:val="26"/>
        </w:rPr>
        <w:t xml:space="preserve">  The orders give no indication that the Commission would consider retroactively changing rates.  The conditions in the authorizations were very explicit, and indicated only that the Commission would revoke market rates if the seller acquired market power, not that it would retroactively change the rates.</w:t>
      </w:r>
      <w:r>
        <w:rPr>
          <w:rStyle w:val="FootnoteCharacters"/>
          <w:rStyle w:val="FootnoteReference"/>
          <w:b/>
          <w:sz w:val="31"/>
          <w:vertAlign w:val="superscript"/>
        </w:rPr>
        <w:footnoteReference w:id="44"/>
      </w:r>
      <w:r>
        <w:rPr>
          <w:sz w:val="26"/>
        </w:rPr>
        <w:t xml:space="preserve">  Further, nothing in the restructuring or market rule orders indicates that the Commission was placing such a condition on sales into the ISO or PX.  </w:t>
      </w:r>
    </w:p>
    <w:p>
      <w:pPr>
        <w:pStyle w:val="Normal"/>
        <w:widowControl/>
        <w:rPr>
          <w:sz w:val="26"/>
        </w:rPr>
      </w:pPr>
      <w:r>
        <w:rPr>
          <w:sz w:val="26"/>
        </w:rPr>
      </w:r>
    </w:p>
    <w:p>
      <w:pPr>
        <w:pStyle w:val="Normal"/>
        <w:widowControl/>
        <w:ind w:firstLine="720" w:end="0"/>
        <w:rPr/>
      </w:pPr>
      <w:r>
        <w:rPr>
          <w:sz w:val="26"/>
        </w:rPr>
        <w:t xml:space="preserve">Moreover, the mere existence of uncertainty or expectation of future controversy concerning sellers' rates would not serve to establish a </w:t>
      </w:r>
      <w:r>
        <w:rPr>
          <w:sz w:val="26"/>
          <w:u w:val="single"/>
        </w:rPr>
        <w:t>de</w:t>
      </w:r>
      <w:r>
        <w:rPr>
          <w:sz w:val="26"/>
        </w:rPr>
        <w:t xml:space="preserve"> </w:t>
      </w:r>
      <w:r>
        <w:rPr>
          <w:sz w:val="26"/>
          <w:u w:val="single"/>
        </w:rPr>
        <w:t>facto</w:t>
      </w:r>
      <w:r>
        <w:rPr>
          <w:sz w:val="26"/>
        </w:rPr>
        <w:t xml:space="preserve"> refund effective date for purposes of retroactive refunds.  As discussed above, the establishment of a refund effective period is governed by the statute.  As the instant matter arose from a complaint under section 206, we must look to that provision.  Its terms specifically provide that the refund effective date is triggered by the filing of a complaint or the initiation of an investigation by the Commission.  Section 206 does not provide for constructive notice. The refund effective date of October 2, 2000 is consistent with the statutory framework.</w:t>
      </w:r>
    </w:p>
    <w:p>
      <w:pPr>
        <w:pStyle w:val="Normal"/>
        <w:widowControl/>
        <w:rPr>
          <w:sz w:val="26"/>
        </w:rPr>
      </w:pPr>
      <w:r>
        <w:rPr>
          <w:sz w:val="26"/>
        </w:rPr>
      </w:r>
    </w:p>
    <w:p>
      <w:pPr>
        <w:pStyle w:val="Normal"/>
        <w:widowControl/>
        <w:tabs>
          <w:tab w:val="clear" w:pos="720"/>
          <w:tab w:val="left" w:pos="-1440" w:leader="none"/>
        </w:tabs>
        <w:ind w:hanging="720" w:start="2880" w:end="0"/>
        <w:rPr>
          <w:sz w:val="26"/>
        </w:rPr>
      </w:pPr>
      <w:r>
        <w:rPr>
          <w:sz w:val="26"/>
        </w:rPr>
        <w:t>iv.</w:t>
        <w:tab/>
      </w:r>
      <w:r>
        <w:rPr>
          <w:sz w:val="26"/>
          <w:u w:val="single"/>
        </w:rPr>
        <w:t>Section 309 Authority</w:t>
      </w:r>
    </w:p>
    <w:p>
      <w:pPr>
        <w:pStyle w:val="Normal"/>
        <w:widowControl/>
        <w:rPr>
          <w:sz w:val="26"/>
        </w:rPr>
      </w:pPr>
      <w:r>
        <w:rPr>
          <w:sz w:val="26"/>
        </w:rPr>
      </w:r>
    </w:p>
    <w:p>
      <w:pPr>
        <w:pStyle w:val="Normal"/>
        <w:widowControl/>
        <w:ind w:firstLine="720" w:end="0"/>
        <w:rPr>
          <w:sz w:val="26"/>
        </w:rPr>
      </w:pPr>
      <w:r>
        <w:rPr>
          <w:sz w:val="26"/>
          <w:u w:val="single"/>
        </w:rPr>
        <w:t>Comments</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Several parties argue that there is substantial evidence that sellers were unjustly enriched by ISO and PX prices above competitive levels because sellers exercised or benefitted from the exercise of market power.  They cite the Staff Report and the market monitoring reports prepared by California's independent market monitors.</w:t>
      </w:r>
      <w:r>
        <w:rPr>
          <w:rStyle w:val="FootnoteCharacters"/>
          <w:rStyle w:val="FootnoteReference"/>
          <w:b/>
          <w:sz w:val="31"/>
          <w:vertAlign w:val="superscript"/>
        </w:rPr>
        <w:footnoteReference w:id="45"/>
      </w:r>
      <w:r>
        <w:rPr>
          <w:sz w:val="26"/>
        </w:rPr>
        <w:t xml:space="preserve">  They argue that the Commission has broad authority under section 309 of the FPA  to restore the status quo and prevent unjust enrichment.  In effect, they argue that section 309 gives the Commission retroactive refund authority for past unjust and unreasonable rates.  They cite </w:t>
      </w:r>
      <w:r>
        <w:rPr>
          <w:sz w:val="26"/>
          <w:u w:val="single"/>
        </w:rPr>
        <w:t>Niagara Mohawk Power Corp. v. FPC</w:t>
      </w:r>
      <w:r>
        <w:rPr>
          <w:sz w:val="26"/>
        </w:rPr>
        <w:t xml:space="preserve">, 379 F.2d 153, 158 (D.C. Cir. 1967) (upholding decision to backdate a hydro license, and thus require back payments from a licensee who had failed to obtain its license prior to constructing hydro facilities); </w:t>
      </w:r>
      <w:r>
        <w:rPr>
          <w:sz w:val="26"/>
          <w:u w:val="single"/>
        </w:rPr>
        <w:t>Mesa Petroleum Co. v. FPC</w:t>
      </w:r>
      <w:r>
        <w:rPr>
          <w:sz w:val="26"/>
        </w:rPr>
        <w:t xml:space="preserve">, 441 F.2d 182 (5th Cir. 1971) (requiring a gas supplier to pay a purchaser the difference between what the purchaser would have paid under its contract with the supplier and the amounts it actually had to pay for replacement gas when the supplier abandoned the contract without Commission approval); and </w:t>
      </w:r>
      <w:r>
        <w:rPr>
          <w:sz w:val="26"/>
          <w:u w:val="single"/>
        </w:rPr>
        <w:t>Louisiana Public Serv. Comm'n v. FERC</w:t>
      </w:r>
      <w:r>
        <w:rPr>
          <w:sz w:val="26"/>
        </w:rPr>
        <w:t>, 174 F.3d 218, 224 n.6 (D.C. Cir. 1999) ("[t]he Commission's authority to order refunds of amounts improperly collected in violation of the filed rate derives from FPA § 309.").  These parties urge the Commission to use FPA section 309 to order equitable relief that requires sellers to repay buyers the profits above competitive levels that the sellers received as a result of the exercise of market power.</w:t>
      </w:r>
      <w:r>
        <w:rPr>
          <w:rStyle w:val="FootnoteCharacters"/>
          <w:rStyle w:val="FootnoteReference"/>
          <w:b/>
          <w:sz w:val="31"/>
          <w:vertAlign w:val="superscript"/>
        </w:rPr>
        <w:footnoteReference w:id="46"/>
      </w:r>
    </w:p>
    <w:p>
      <w:pPr>
        <w:pStyle w:val="Normal"/>
        <w:widowControl/>
        <w:rPr>
          <w:sz w:val="26"/>
        </w:rPr>
      </w:pPr>
      <w:r>
        <w:rPr>
          <w:sz w:val="26"/>
        </w:rPr>
      </w:r>
    </w:p>
    <w:p>
      <w:pPr>
        <w:pStyle w:val="Normal"/>
        <w:widowControl/>
        <w:ind w:firstLine="720" w:end="0"/>
        <w:rPr>
          <w:sz w:val="26"/>
        </w:rPr>
      </w:pPr>
      <w:r>
        <w:rPr>
          <w:sz w:val="26"/>
        </w:rPr>
        <w:t>Oversight Board further asserts that section 4(i) of the Communications Act is analogous to section 309 of the FPA and that a court interpreted section 4(i) as conferring upon the Federal Communications Commission (FCC) authority to order retroactive refunds, even though sections 204 and 205 of the Communications Act, which it states are analogous to sections 205 and 206 of the FPA, do not authorize the FCC to order retroactive refunds.</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SDG&amp;E argues that the imposition of sanctions by the Commission may provide the only means to remedy abuses of market power by sellers.  It expresses concern that courts may rule that antitrust claims and state law claims alleging injury due to unlawfully high prices -- even if those prices are shown to have resulted from price-fixing collusion by sellers -- would be preempted by the filed rate doctrine.  It asserts that the Commission should investigate whether, and which, sellers have engaged in manipulative conduct including, but not limited to, the submission of phantom schedules to create apparent transmission congestion, the export and later re-importation of power to evade PX and ISO price caps, and the aggregation of significant amounts of supply from multiple sources by one scheduling coordinator for composite bidding in the wholesale markets.  According to SDG&amp;E, sellers who engage in such market abuse should be sanctioned by disgorgement of profits that resulted from such abuse.</w:t>
      </w:r>
    </w:p>
    <w:p>
      <w:pPr>
        <w:pStyle w:val="Normal"/>
        <w:widowControl/>
        <w:rPr>
          <w:sz w:val="26"/>
        </w:rPr>
      </w:pPr>
      <w:r>
        <w:rPr>
          <w:sz w:val="26"/>
        </w:rPr>
      </w:r>
    </w:p>
    <w:p>
      <w:pPr>
        <w:pStyle w:val="Normal"/>
        <w:widowControl/>
        <w:ind w:firstLine="720" w:end="0"/>
        <w:rPr>
          <w:sz w:val="26"/>
        </w:rPr>
      </w:pPr>
      <w:r>
        <w:rPr>
          <w:sz w:val="26"/>
        </w:rPr>
        <w:t xml:space="preserve">Oversight Board argues that the Commission's failure to address the legal issue of refund authority for the period prior to October 2, 2000 creates uncertainty and prevents resolution of the issue on appellate review.  </w:t>
      </w:r>
    </w:p>
    <w:p>
      <w:pPr>
        <w:pStyle w:val="Normal"/>
        <w:widowControl/>
        <w:rPr>
          <w:sz w:val="26"/>
        </w:rPr>
      </w:pPr>
      <w:r>
        <w:rPr>
          <w:sz w:val="26"/>
        </w:rPr>
      </w:r>
    </w:p>
    <w:p>
      <w:pPr>
        <w:pStyle w:val="Normal"/>
        <w:widowControl/>
        <w:ind w:firstLine="720" w:end="0"/>
        <w:rPr>
          <w:sz w:val="26"/>
        </w:rPr>
      </w:pPr>
      <w:r>
        <w:rPr>
          <w:sz w:val="26"/>
          <w:u w:val="single"/>
        </w:rPr>
        <w:t>Commission Determination</w:t>
      </w:r>
    </w:p>
    <w:p>
      <w:pPr>
        <w:pStyle w:val="Normal"/>
        <w:widowControl/>
        <w:rPr>
          <w:sz w:val="26"/>
        </w:rPr>
      </w:pPr>
      <w:r>
        <w:rPr>
          <w:sz w:val="26"/>
        </w:rPr>
      </w:r>
    </w:p>
    <w:p>
      <w:pPr>
        <w:pStyle w:val="Normal"/>
        <w:widowControl/>
        <w:ind w:firstLine="720" w:end="0"/>
        <w:rPr/>
      </w:pPr>
      <w:r>
        <w:rPr>
          <w:sz w:val="26"/>
        </w:rPr>
        <w:t>The remedial authority under section 309</w:t>
      </w:r>
      <w:r>
        <w:rPr>
          <w:rStyle w:val="FootnoteCharacters"/>
          <w:rStyle w:val="FootnoteReference"/>
          <w:b/>
          <w:sz w:val="31"/>
          <w:vertAlign w:val="superscript"/>
        </w:rPr>
        <w:footnoteReference w:id="47"/>
      </w:r>
      <w:r>
        <w:rPr>
          <w:sz w:val="26"/>
        </w:rPr>
        <w:t xml:space="preserve"> is designed to fill in gaps where the FPA is silent, not to rewrite the explicit Congressional delegations of authority and explicit limitations on that authority.  Section 309 and similar provisions "authorize an agency to use means of regulation not spelled out in detail, provided the agency's action conforms with the purposes and policies of Congress and does not contravene any terms of the Act." </w:t>
      </w:r>
      <w:r>
        <w:rPr>
          <w:sz w:val="26"/>
          <w:u w:val="single"/>
        </w:rPr>
        <w:t>Niagara Mohawk</w:t>
      </w:r>
      <w:r>
        <w:rPr>
          <w:sz w:val="26"/>
        </w:rPr>
        <w:t>, 379 F.2d at 158.  Here, as we have reiterated, Congress explicitly delineated the extent of our refund authority under FPA sections 205 and 206.  We do not read section 309 to permit us to go beyond that delegation.</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 xml:space="preserve">Courts interpreting FPA section 309, and its counterpart NGA section 16, have indicated that "[b]oth sections are of an implementary rather than substantive character. . . . These sections merely augment existing powers conferred upon the agency by Congress, they do not confer independent authority to act." </w:t>
      </w:r>
      <w:r>
        <w:rPr>
          <w:sz w:val="26"/>
          <w:u w:val="single"/>
        </w:rPr>
        <w:t>New England Power Co.</w:t>
      </w:r>
      <w:r>
        <w:rPr>
          <w:sz w:val="26"/>
        </w:rPr>
        <w:t xml:space="preserve"> v. </w:t>
      </w:r>
      <w:r>
        <w:rPr>
          <w:sz w:val="26"/>
          <w:u w:val="single"/>
        </w:rPr>
        <w:t>FPC</w:t>
      </w:r>
      <w:r>
        <w:rPr>
          <w:sz w:val="26"/>
        </w:rPr>
        <w:t xml:space="preserve">, 467 F.2d 425, 430-31 (D.C. Cir. 1972), </w:t>
      </w:r>
      <w:r>
        <w:rPr>
          <w:sz w:val="26"/>
          <w:u w:val="single"/>
        </w:rPr>
        <w:t>aff'd</w:t>
      </w:r>
      <w:r>
        <w:rPr>
          <w:sz w:val="26"/>
        </w:rPr>
        <w:t>, 415 U.S. 345 (1974).</w:t>
      </w:r>
      <w:r>
        <w:rPr>
          <w:rStyle w:val="FootnoteCharacters"/>
          <w:rStyle w:val="FootnoteReference"/>
          <w:b/>
          <w:sz w:val="31"/>
          <w:vertAlign w:val="superscript"/>
        </w:rPr>
        <w:footnoteReference w:id="48"/>
      </w:r>
      <w:r>
        <w:rPr>
          <w:sz w:val="26"/>
        </w:rPr>
        <w:t xml:space="preserve"> Contrary to what the parties here seem to suggest, section 309 is not an independent source of authority that allows the Commission to expand its authority beyond that allowed in its governing statutes:</w:t>
      </w:r>
    </w:p>
    <w:p>
      <w:pPr>
        <w:pStyle w:val="Normal"/>
        <w:widowControl/>
        <w:rPr>
          <w:sz w:val="26"/>
        </w:rPr>
      </w:pPr>
      <w:r>
        <w:rPr>
          <w:sz w:val="26"/>
        </w:rPr>
      </w:r>
    </w:p>
    <w:p>
      <w:pPr>
        <w:pStyle w:val="Normal"/>
        <w:widowControl/>
        <w:tabs>
          <w:tab w:val="clear" w:pos="720"/>
          <w:tab w:val="left" w:pos="-720" w:leader="none"/>
        </w:tabs>
        <w:ind w:start="720" w:end="720"/>
        <w:rPr>
          <w:sz w:val="26"/>
        </w:rPr>
      </w:pPr>
      <w:r>
        <w:rPr>
          <w:sz w:val="26"/>
        </w:rPr>
        <w:t>The substantive provisions of the [NGA] contemplate certain procedures, as incident to the functions provided.  The range of permissible procedures must be derived from these sections, sections like section 4 and 5 of the [NGA], and the functions they describe.  Section 16, which uses a broad generality of "necessary and appropriate" that is not rooted in a function, cannot enlarge the choice of permissible procedures beyond those that may fairly be implied from the substantive sections and the functions there defined.</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pPr>
      <w:r>
        <w:rPr>
          <w:sz w:val="26"/>
          <w:u w:val="single"/>
        </w:rPr>
        <w:t>Mobil Oil Corp. v. FPC</w:t>
      </w:r>
      <w:r>
        <w:rPr>
          <w:sz w:val="26"/>
        </w:rPr>
        <w:t xml:space="preserve">, 483 F.2d 1238, 1257 (D.C.Cir. 1973). The parties here seek not to introduce new procedures under FPA section 309, but to enlarge the substantive refund limitations in section 206 by expanding the refund period.  If section 309 cannot be used to enlarge the permissible procedures under the FPA, as </w:t>
      </w:r>
      <w:r>
        <w:rPr>
          <w:sz w:val="26"/>
          <w:u w:val="single"/>
        </w:rPr>
        <w:t>Mobil</w:t>
      </w:r>
      <w:r>
        <w:rPr>
          <w:sz w:val="26"/>
        </w:rPr>
        <w:t xml:space="preserve"> found, then it surely cannot be used to expand the substantive provisions of the Act. </w:t>
        <w:tab/>
      </w:r>
    </w:p>
    <w:p>
      <w:pPr>
        <w:pStyle w:val="Normal"/>
        <w:widowControl/>
        <w:tabs>
          <w:tab w:val="clear" w:pos="720"/>
          <w:tab w:val="left" w:pos="-1440" w:leader="none"/>
        </w:tabs>
        <w:ind w:firstLine="720" w:end="0"/>
        <w:rPr>
          <w:sz w:val="26"/>
        </w:rPr>
      </w:pPr>
      <w:r>
        <w:rPr>
          <w:sz w:val="26"/>
        </w:rPr>
      </w:r>
    </w:p>
    <w:p>
      <w:pPr>
        <w:pStyle w:val="Normal"/>
        <w:widowControl/>
        <w:tabs>
          <w:tab w:val="clear" w:pos="720"/>
          <w:tab w:val="left" w:pos="-1440" w:leader="none"/>
        </w:tabs>
        <w:ind w:firstLine="720" w:end="0"/>
        <w:rPr/>
      </w:pPr>
      <w:r>
        <w:rPr>
          <w:sz w:val="26"/>
        </w:rPr>
        <w:t xml:space="preserve">Oversight Board's reliance on </w:t>
      </w:r>
      <w:r>
        <w:rPr>
          <w:sz w:val="26"/>
          <w:u w:val="single"/>
        </w:rPr>
        <w:t>New England Telephone &amp; Telegraph Co. v. FCC</w:t>
      </w:r>
      <w:r>
        <w:rPr>
          <w:rStyle w:val="FootnoteCharacters"/>
          <w:rStyle w:val="FootnoteReference"/>
          <w:b/>
          <w:sz w:val="31"/>
          <w:vertAlign w:val="superscript"/>
        </w:rPr>
        <w:footnoteReference w:id="49"/>
      </w:r>
      <w:r>
        <w:rPr>
          <w:sz w:val="26"/>
        </w:rPr>
        <w:t xml:space="preserve"> is misplaced.  Although the Communications Act ("CA") contains similar provisions to FPA sections 205, 206, and 309, the statutory language differs in several respects as does the underlying regulatory approaches of the two Acts.  The FCC in that case addressed different circumstances from those we face, in particular in that case the FCC used its powers to "prescribe rates of return," rather than to prescribe overall rates.</w:t>
      </w:r>
      <w:r>
        <w:rPr>
          <w:rStyle w:val="FootnoteCharacters"/>
          <w:rStyle w:val="FootnoteReference"/>
          <w:b/>
          <w:sz w:val="31"/>
          <w:vertAlign w:val="superscript"/>
        </w:rPr>
        <w:footnoteReference w:id="50"/>
      </w:r>
      <w:r>
        <w:rPr>
          <w:sz w:val="26"/>
        </w:rPr>
        <w:t xml:space="preserve">  That prescription was upheld under CA section 4(i), analogous to FPA section 309, despite a finding that "[CA] section 205 does not authorize the Commission to prescribe rates of return," </w:t>
      </w:r>
      <w:r>
        <w:rPr>
          <w:sz w:val="26"/>
          <w:u w:val="single"/>
        </w:rPr>
        <w:t>Nader</w:t>
      </w:r>
      <w:r>
        <w:rPr>
          <w:sz w:val="26"/>
        </w:rPr>
        <w:t xml:space="preserve">, 520 F.2d at 203, as being consistent with the purposes of CA section 205. </w:t>
      </w:r>
      <w:r>
        <w:rPr>
          <w:sz w:val="26"/>
          <w:u w:val="single"/>
        </w:rPr>
        <w:t>Id</w:t>
      </w:r>
      <w:r>
        <w:rPr>
          <w:sz w:val="26"/>
        </w:rPr>
        <w:t xml:space="preserve">. at 204-05. </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pPr>
      <w:r>
        <w:rPr>
          <w:sz w:val="26"/>
        </w:rPr>
        <w:t xml:space="preserve">Importantly for this question, at the same time it prescribed a rate of return, the FCC stated that "the filing of a tariff designed to produce a rate of return in excess of [the allowed amount] is </w:t>
      </w:r>
      <w:r>
        <w:rPr>
          <w:sz w:val="26"/>
          <w:u w:val="single"/>
        </w:rPr>
        <w:t>prima</w:t>
      </w:r>
      <w:r>
        <w:rPr>
          <w:sz w:val="26"/>
        </w:rPr>
        <w:t xml:space="preserve"> </w:t>
      </w:r>
      <w:r>
        <w:rPr>
          <w:sz w:val="26"/>
          <w:u w:val="single"/>
        </w:rPr>
        <w:t>facie</w:t>
      </w:r>
      <w:r>
        <w:rPr>
          <w:sz w:val="26"/>
        </w:rPr>
        <w:t xml:space="preserve"> unlawful." </w:t>
      </w:r>
      <w:r>
        <w:rPr>
          <w:sz w:val="26"/>
          <w:u w:val="single"/>
        </w:rPr>
        <w:t>Id</w:t>
      </w:r>
      <w:r>
        <w:rPr>
          <w:sz w:val="26"/>
        </w:rPr>
        <w:t xml:space="preserve">. at 205 n. 25.  This, the Court stated, meant "the Commission retains full latitude to order refunds on all other grounds," except that the allowed rate of return was too high. </w:t>
      </w:r>
      <w:r>
        <w:rPr>
          <w:sz w:val="26"/>
          <w:u w:val="single"/>
        </w:rPr>
        <w:t>Id</w:t>
      </w:r>
      <w:r>
        <w:rPr>
          <w:sz w:val="26"/>
        </w:rPr>
        <w:t>.  Subsequently, when the FCC found that AT&amp;T had earned a rate of return in excess of the allowed amount and ordered refunds, the court upheld this determination as "a straightforward and legitimate means for the Commission to enforce its 1976 rate</w:t>
        <w:noBreakHyphen/>
        <w:t>of</w:t>
        <w:noBreakHyphen/>
        <w:t>return prescription."</w:t>
      </w:r>
      <w:r>
        <w:rPr>
          <w:rStyle w:val="FootnoteCharacters"/>
          <w:rStyle w:val="FootnoteReference"/>
          <w:b/>
          <w:sz w:val="31"/>
          <w:vertAlign w:val="superscript"/>
        </w:rPr>
        <w:footnoteReference w:id="51"/>
      </w:r>
      <w:r>
        <w:rPr>
          <w:sz w:val="26"/>
        </w:rPr>
        <w:t xml:space="preserve">  The Court found that this did not represent retroactive ratemaking "because the carriers' obligations were set prospectively in 1976, when the Commission forbade AT&amp;T from earning more than 10%," the allowed rate of return.</w:t>
      </w:r>
      <w:r>
        <w:rPr>
          <w:rStyle w:val="FootnoteCharacters"/>
          <w:rStyle w:val="FootnoteReference"/>
          <w:b/>
          <w:sz w:val="31"/>
          <w:vertAlign w:val="superscript"/>
        </w:rPr>
        <w:footnoteReference w:id="52"/>
      </w:r>
      <w:r>
        <w:rPr>
          <w:sz w:val="26"/>
        </w:rPr>
        <w:t xml:space="preserve">  As the FCC had set the 1976 rate of return prescription under its CA section 4(i) authority, it "properly exercised its authority under section 4(i) to remedy the violation by ordering rate reductions in the amount of AT&amp;T's excessive earnings in 1978." </w:t>
      </w:r>
      <w:r>
        <w:rPr>
          <w:sz w:val="26"/>
          <w:u w:val="single"/>
        </w:rPr>
        <w:t>Id</w:t>
      </w:r>
      <w:r>
        <w:rPr>
          <w:sz w:val="26"/>
        </w:rPr>
        <w:t>. at 1109.</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 xml:space="preserve">There is no parallel in the instant case.  The Commission did not use its FPA section 309 power to establish individual market pricing authorizations.  Nor did it set an objective standard against which market pricing standards would be measured or indicate that any price above that standard would be considered </w:t>
      </w:r>
      <w:r>
        <w:rPr>
          <w:sz w:val="26"/>
          <w:u w:val="single"/>
        </w:rPr>
        <w:t>prima</w:t>
      </w:r>
      <w:r>
        <w:rPr>
          <w:sz w:val="26"/>
        </w:rPr>
        <w:t xml:space="preserve"> </w:t>
      </w:r>
      <w:r>
        <w:rPr>
          <w:sz w:val="26"/>
          <w:u w:val="single"/>
        </w:rPr>
        <w:t>facie</w:t>
      </w:r>
      <w:r>
        <w:rPr>
          <w:sz w:val="26"/>
        </w:rPr>
        <w:t xml:space="preserve"> excessive.  Thus, none of the elements that allowed the FCC to use its CA section 4(i) power to order refunds are presented here.  Consequently, use of FPA section 309 as a means now to order retroactive refunds cannot be justified in face of the statutory limitations found in section 206.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720" w:start="2160" w:end="0"/>
        <w:rPr>
          <w:sz w:val="26"/>
        </w:rPr>
      </w:pPr>
      <w:r>
        <w:rPr>
          <w:sz w:val="26"/>
        </w:rPr>
        <w:t>c.</w:t>
        <w:tab/>
      </w:r>
      <w:r>
        <w:rPr>
          <w:sz w:val="26"/>
          <w:u w:val="single"/>
        </w:rPr>
        <w:t>Equitable Relief</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PG&amp;E proposes that, as an equitable alternative to price adjustments and refunds for the past period, the overcharges occurring prior to October 2 be quantified and amortized over a period of time, with the costs to be recovered from power sellers in California through an adjustment to their future bids in the ISO and PX markets.  PG&amp;E maintains there are precedents in the gas and electric industry for doing so.  PG&amp;E notes that the Commission's restructuring of the natural gas pipeline and electric industries permitted recovery of costs resulting from a fundamental change in market rules and regulatory policies.  According to PG&amp;E, a finding that the overcharges of the summer relate to flawed market rules and regulatory policies rather than tariff violations makes it equally appropriate that there be recovery of the unjustly incurred costs for buyers of power in California.  It asserts that the profound changes in industry rules, brought on by the fundamental shift in regulatory policy in California and at the Commission, required that the California IOUs buy power on the volatile spot market.  They were required to participate in the new industry structure, and they have incurred unprecedented costs as a result, according to PG&amp;E.</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IEP contends that market participants cannot manage or hedge the risks associated with the November 1 Order's equitable solutions proposal and that the proposal only invites litigation and exacerbates uncertainty that will harm California.  If the Commission retains the equitable solutions proposal, IEP argues that the Commission must clarify that it is a temporary transition device only and that it will end on a date certain and not be subject to reopening.</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u w:val="single"/>
        </w:rPr>
        <w:t>Commission Determination</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The electric and gas restructuring cases cited by PG&amp;E are different from this case.  They involved a change in regulatory scheme and allowed utilities to recover costs incurred under the pre-existing regulatory scheme.  Order No. 637-A, cited by SoCal Edison, is also different from this case, because the equitable relief provided for in the rule under section 16 of the Natural Gas Act pertains to remedies for specific violations.  Similarly, other cases cited by the parties involved sanctions for violations of explicit statutory commands.</w:t>
      </w:r>
      <w:r>
        <w:rPr>
          <w:rStyle w:val="FootnoteCharacters"/>
          <w:rStyle w:val="FootnoteReference"/>
          <w:b/>
          <w:sz w:val="31"/>
          <w:vertAlign w:val="superscript"/>
        </w:rPr>
        <w:footnoteReference w:id="53"/>
      </w:r>
      <w:r>
        <w:rPr>
          <w:sz w:val="26"/>
        </w:rPr>
        <w:t xml:space="preserve"> </w:t>
        <w:tab/>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720" w:start="1440" w:end="0"/>
        <w:rPr>
          <w:sz w:val="26"/>
        </w:rPr>
      </w:pPr>
      <w:r>
        <w:rPr>
          <w:sz w:val="26"/>
        </w:rPr>
        <w:t>2.</w:t>
        <w:tab/>
      </w:r>
      <w:r>
        <w:rPr>
          <w:sz w:val="26"/>
          <w:u w:val="single"/>
        </w:rPr>
        <w:t>Refund Liability Should Apply To All Sellers of Energy In California</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pPr>
      <w:r>
        <w:rPr>
          <w:sz w:val="26"/>
        </w:rPr>
        <w:t>The Commission has determined that all sellers of energy in the California ISO and PX spot markets should be subject to refund liability for the period beginning October 2, 2000.</w:t>
      </w:r>
      <w:r>
        <w:rPr>
          <w:rStyle w:val="FootnoteCharacters"/>
          <w:rStyle w:val="FootnoteReference"/>
          <w:b/>
          <w:sz w:val="31"/>
          <w:vertAlign w:val="superscript"/>
        </w:rPr>
        <w:footnoteReference w:id="54"/>
      </w:r>
      <w:r>
        <w:rPr>
          <w:sz w:val="26"/>
        </w:rPr>
        <w:t xml:space="preserve">  We have decided to extend refund liability to public and non-public utility sellers based on our review of the controlling law, the involvement of both types of sellers in the California centralized ISO and PX spot markets, and the equities of the situation.  Non-public utility sellers as well as public utility sellers of electric energy in those California markets contributed to and benefitted from the dysfunctions that offered the possibilities for the market abuse under certain conditions, on which the call for refunds are based.  In these circumstances, as discussed below, we conclude that although we do not have direct regulatory rate authority over power sales by non-public utilities, we do have authority to order them to abide by the market rules we have established and to make refunds of unjust and unreasonable rates for sales pursuant to those market rules.  Accordingly, PG&amp;E's, SoCal Edison's, and SDG&amp;E's requests for rehearing of the March 9 Refund Order seeking refund liability for non-public utilities will be granted.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720" w:start="2160" w:end="0"/>
        <w:rPr>
          <w:sz w:val="26"/>
        </w:rPr>
      </w:pPr>
      <w:r>
        <w:rPr>
          <w:sz w:val="26"/>
        </w:rPr>
        <w:t>a.</w:t>
        <w:tab/>
      </w:r>
      <w:r>
        <w:rPr>
          <w:sz w:val="26"/>
          <w:u w:val="single"/>
        </w:rPr>
        <w:t>Statutory Framework</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 xml:space="preserve">Analysis of the Commission's authority begins, as it must, with the FPA statutory language.  The refund obligations at issue relate to the sale of electricity for resale in the California ISO's and PX's interstate spot markets.  The Commission's authority, under FPA section 201(b), encompasses "the sale of electric energy at wholesale in interstate commerce."  In the restructured California market, all sales into the PX or ISO meet this definition.  </w:t>
      </w:r>
      <w:r>
        <w:rPr>
          <w:sz w:val="26"/>
          <w:u w:val="single"/>
        </w:rPr>
        <w:t>See</w:t>
      </w:r>
      <w:r>
        <w:rPr>
          <w:sz w:val="26"/>
        </w:rPr>
        <w:t xml:space="preserve"> </w:t>
      </w:r>
      <w:r>
        <w:rPr>
          <w:sz w:val="26"/>
          <w:u w:val="single"/>
        </w:rPr>
        <w:t>also</w:t>
      </w:r>
      <w:r>
        <w:rPr>
          <w:sz w:val="26"/>
        </w:rPr>
        <w:t xml:space="preserve"> FPA § 201(b)(2) (defining wholesale sales).  The wholesale sales of electricity here thus fall within the subject matter of the Commission's statutory authority.</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The question at issue involves the interplay between that subject matter jurisdiction and the express limitations on FPA jurisdiction to public utilities. The Commission's authority under FPA section 206(a) is limited to rates "collected by any public utility for any . . . sale subject to the jurisdiction of the Commission."  FPA section 201(d)(2)(f) provides that, except where specifically stated otherwise, no provision of Part II of the FPA applies to "the United States, a state or any political subdivision of a state, or any agency, authority or instrumentality of any one or more of the foregoing").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720" w:start="2160" w:end="0"/>
        <w:rPr>
          <w:sz w:val="26"/>
        </w:rPr>
      </w:pPr>
      <w:r>
        <w:rPr>
          <w:sz w:val="26"/>
        </w:rPr>
        <w:t>b.</w:t>
        <w:tab/>
      </w:r>
      <w:r>
        <w:rPr>
          <w:sz w:val="26"/>
          <w:u w:val="single"/>
        </w:rPr>
        <w:t>FERC Has Jurisdiction Over the Subject Matter of The Sales At Issue</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pPr>
      <w:r>
        <w:rPr>
          <w:sz w:val="26"/>
        </w:rPr>
        <w:t>At issue is whether the Commission can assert jurisdiction over the California ISO and PX wholesale electricity markets in a manner that encompasses non-public utility sellers that are not subject to our direct jurisdiction under FPA section 206.  Under the specific circumstances presented, we conclude that such jurisdiction may properly be asserted over non-public utility sellers of energy.  Under the single price auction mechanism that operated in the centralized ISO and PX spot markets, all sellers agreed to accept the same clearing price for any given sale.  From the time the Commission acted on SDG&amp;E's complaint, all sellers into those markets were on notice that those clearing prices , and the market rules that set the clearing prices, were subject to change if they were found to be unjust and unreasonable.  For example, the November 1 Order states: ". . . if the Commission finds that the wholesale markets in California are unable to produce competitive, just and reasonable prices . . . we may require refunds for sales made during the refund effective period."</w:t>
      </w:r>
      <w:r>
        <w:rPr>
          <w:rStyle w:val="FootnoteCharacters"/>
          <w:rStyle w:val="FootnoteReference"/>
          <w:b/>
          <w:sz w:val="31"/>
          <w:vertAlign w:val="superscript"/>
        </w:rPr>
        <w:footnoteReference w:id="55"/>
      </w:r>
      <w:r>
        <w:rPr>
          <w:sz w:val="26"/>
        </w:rPr>
        <w:t xml:space="preserve">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Our action here establishes a revised method for calculating the just and reasonable clearing prices to be applied in those markets for the period beginning </w:t>
      </w:r>
    </w:p>
    <w:p>
      <w:pPr>
        <w:pStyle w:val="Normal"/>
        <w:widowControl/>
        <w:tabs>
          <w:tab w:val="clear" w:pos="720"/>
          <w:tab w:val="left" w:pos="-1440" w:leader="none"/>
        </w:tabs>
        <w:rPr>
          <w:sz w:val="26"/>
        </w:rPr>
      </w:pPr>
      <w:r>
        <w:rPr>
          <w:sz w:val="26"/>
        </w:rPr>
        <w:t>October 2, 2000.  This is pursuant to the Commission's authority under FPA section 206 to fix the just and reasonable rate.  Our action thus revises the market clearing prices that all market participants previously agreed to accept for their sales.  In this context, we see no reason to treat non-public utility sellers differently, as they are receiving the same price, the just and reasonable market clearing price established pursuant to market rules approved by this Commission, that they expected to obtain for their wholesale sales into the centralized ISO and PX spot markets.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 xml:space="preserve">When faced with a similar question under the Natural Gas Act, the D.C. Circuit concluded that the Commission could exert rate authority over non-jurisdictional entities to fulfill its statutory responsibilities regarding the subject matter of its NGA jurisdiction.  In </w:t>
      </w:r>
      <w:r>
        <w:rPr>
          <w:sz w:val="26"/>
          <w:u w:val="single"/>
        </w:rPr>
        <w:t>United Gas Distribution Cos. v. FERC</w:t>
      </w:r>
      <w:r>
        <w:rPr>
          <w:sz w:val="26"/>
        </w:rPr>
        <w:t xml:space="preserve">, 88 F.3d 1105 (D.C. Cir. 1996), local distribution companies and municipalities, both of whom are exempt from NGA jurisdiction, challenged application of FERC's open access rules to their release of their own capacity on a pipeline system.  The court focused on the subject matter of the transaction, not the parties involved, to determine the Commission's authority to act.  The court found that, notwithstanding the LDCs' exemption from the NGA, "the Commission's jurisdiction attaches to the subject of the capacity release transaction: interstate transportation rights."  88 F.3d at 1152.  Further, the court found that exempting LDCs would allow them to engage in capacity release "without regard to the principles of open access and nondiscrimination that are at the heart" of the program.  </w:t>
      </w:r>
      <w:r>
        <w:rPr>
          <w:sz w:val="26"/>
          <w:u w:val="single"/>
        </w:rPr>
        <w:t>Id</w:t>
      </w:r>
      <w:r>
        <w:rPr>
          <w:sz w:val="26"/>
        </w:rPr>
        <w:t xml:space="preserve">. That result would be "directly contrary to Congress' intent in enacting the [NGA]."  </w:t>
      </w:r>
      <w:r>
        <w:rPr>
          <w:sz w:val="26"/>
          <w:u w:val="single"/>
        </w:rPr>
        <w:t>Id</w:t>
      </w:r>
      <w:r>
        <w:rPr>
          <w:sz w:val="26"/>
        </w:rPr>
        <w:t>.  Consequently, the court found the Commission properly included LDCs within the regulatory plan to further the statutory goals.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Similarly, here, Commission jurisdiction attaches to the subject matter of the affected transactions:  wholesale sales of electric energy in interstate commerce through a Commission-authorized and Commission-regulated centralized clearinghouse that set a market clearing price for all wholesale seller participants, including non-public utilities.  Exempting transactions involving non-public utility sellers from refund scrutiny here would allow them to make such sales without regard to the just and reasonable standard that applies to the market clearing price administered by the ISO (and previously by the PX), and that pervades all Commission ratemaking policies.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It is noteworthy that California may not regulate out of state sellers and has declined to regulate California non-public utilities' sales in the California centralized ISO and PX spot markets.  As a result, absent FERC jurisdiction, a regulatory gap for these sales could exist.  Such a result could preclude us from protecting consumers from exploitation in these markets, one of our statutory objectives under the FPA.</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 xml:space="preserve">For essentially the same reasons, the court in </w:t>
      </w:r>
      <w:r>
        <w:rPr>
          <w:sz w:val="26"/>
          <w:u w:val="single"/>
        </w:rPr>
        <w:t>UDC</w:t>
      </w:r>
      <w:r>
        <w:rPr>
          <w:sz w:val="26"/>
        </w:rPr>
        <w:t xml:space="preserve"> found the Commission could require compliance with its capacity release regulations from municipalities.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start="720" w:end="0"/>
        <w:rPr/>
      </w:pPr>
      <w:r>
        <w:rPr>
          <w:sz w:val="26"/>
        </w:rPr>
        <w:t xml:space="preserve">FERC may, consistent with the NGA, require municipalities to comply with its capacity release regulations . . . . FERC's transportation jurisdiction extends as a separate matter over capacity release given the involvement of interstate gas </w:t>
      </w:r>
      <w:r>
        <w:rPr>
          <w:sz w:val="26"/>
          <w:u w:val="single"/>
        </w:rPr>
        <w:t>pipelines</w:t>
      </w:r>
      <w:r>
        <w:rPr>
          <w:sz w:val="26"/>
        </w:rPr>
        <w:t>.  The pipelines' role in capacity release is absolutely central, and the transaction itself controls access to interstate transportation capacity, entirely independent of the jurisdictional nature of the releasing and replacement shippers.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pPr>
      <w:r>
        <w:rPr>
          <w:sz w:val="26"/>
        </w:rPr>
        <w:t xml:space="preserve">88 F.3d at 1154 (emphasis in original; footnotes omitted).  The court also found "compelling" that prior to adoption of the Commission's capacity release program, neither jurisdictional nor non-jurisdictional entities could release capacity.  Thus, as the Commission set up the program that benefitted both jurisdictional and non-jurisdictional parties, it could establish rules by which </w:t>
      </w:r>
      <w:r>
        <w:rPr>
          <w:sz w:val="26"/>
          <w:u w:val="single"/>
        </w:rPr>
        <w:t>all</w:t>
      </w:r>
      <w:r>
        <w:rPr>
          <w:sz w:val="26"/>
        </w:rPr>
        <w:t xml:space="preserve"> parties must abide.  </w:t>
      </w:r>
      <w:r>
        <w:rPr>
          <w:sz w:val="26"/>
          <w:u w:val="single"/>
        </w:rPr>
        <w:t>Id</w:t>
      </w:r>
      <w:r>
        <w:rPr>
          <w:sz w:val="26"/>
        </w:rPr>
        <w:t xml:space="preserve">.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Here, the central transactions, wholesale sales of energy in interstate commerce, were governed by FERC-approved rules and a FERC-jurisdictional ISO and PX.  Those transactions thus fell within FERC's jurisdiction regardless of the jurisdictional nature of the sellers or buyers.  Further, the centralized wholesale spot electricity markets operated by the California ISO and PX were established (and have been modified) subject to FERC review and approval.  Because the market did not exist prior to FERC authorization, all those who participated in the market had to recognize the controlling weight of FERC authority.  Moreover, it is fair that all those who benefitted from this market also bear responsibility for remedying any potential unlawful transactions that might have occurred in the market.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 xml:space="preserve">Non-public utility sellers in the California market entered into various arrangements that acknowledged the Commission's authority over the centralized transactions.  For example, in </w:t>
      </w:r>
      <w:r>
        <w:rPr>
          <w:sz w:val="26"/>
          <w:u w:val="single"/>
        </w:rPr>
        <w:t>Pacific Gas and Electric Co.</w:t>
      </w:r>
      <w:r>
        <w:rPr>
          <w:sz w:val="26"/>
        </w:rPr>
        <w:t xml:space="preserve">, </w:t>
      </w:r>
      <w:r>
        <w:rPr>
          <w:sz w:val="26"/>
          <w:u w:val="single"/>
        </w:rPr>
        <w:t>et</w:t>
      </w:r>
      <w:r>
        <w:rPr>
          <w:sz w:val="26"/>
        </w:rPr>
        <w:t xml:space="preserve"> </w:t>
      </w:r>
      <w:r>
        <w:rPr>
          <w:sz w:val="26"/>
          <w:u w:val="single"/>
        </w:rPr>
        <w:t>al</w:t>
      </w:r>
      <w:r>
        <w:rPr>
          <w:sz w:val="26"/>
        </w:rPr>
        <w:t>., 82 FERC</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rPr/>
      </w:pPr>
      <w:r>
        <w:rPr>
          <w:sz w:val="26"/>
        </w:rPr>
        <w:t xml:space="preserve"> </w:t>
      </w:r>
      <w:r>
        <w:rPr>
          <w:sz w:val="26"/>
        </w:rPr>
        <w:t xml:space="preserve">¶ 61,326 (1998), many non-public utility sellers accepted a FERC-authorized, </w:t>
      </w:r>
      <w:r>
        <w:rPr>
          <w:sz w:val="26"/>
          <w:u w:val="single"/>
        </w:rPr>
        <w:t>pro</w:t>
      </w:r>
      <w:r>
        <w:rPr>
          <w:sz w:val="26"/>
        </w:rPr>
        <w:t>-</w:t>
      </w:r>
      <w:r>
        <w:rPr>
          <w:sz w:val="26"/>
          <w:u w:val="single"/>
        </w:rPr>
        <w:t>forma</w:t>
      </w:r>
      <w:r>
        <w:rPr>
          <w:sz w:val="26"/>
        </w:rPr>
        <w:t xml:space="preserve"> Scheduling Coordinator Agreement.  </w:t>
      </w:r>
      <w:r>
        <w:rPr>
          <w:sz w:val="26"/>
          <w:u w:val="single"/>
        </w:rPr>
        <w:t>Id</w:t>
      </w:r>
      <w:r>
        <w:rPr>
          <w:sz w:val="26"/>
        </w:rPr>
        <w:t>. at 62,283.</w:t>
      </w:r>
      <w:r>
        <w:rPr>
          <w:rStyle w:val="FootnoteCharacters"/>
          <w:rStyle w:val="FootnoteReference"/>
          <w:b/>
          <w:sz w:val="31"/>
          <w:vertAlign w:val="superscript"/>
        </w:rPr>
        <w:footnoteReference w:id="56"/>
      </w:r>
      <w:r>
        <w:rPr>
          <w:sz w:val="26"/>
        </w:rPr>
        <w:t xml:space="preserve">  Among the obligations under the Agreement, parties agreed "to comply with the terms and conditions of the ISO Tariff and ISO Protocols."  </w:t>
      </w:r>
      <w:r>
        <w:rPr>
          <w:sz w:val="26"/>
          <w:u w:val="single"/>
        </w:rPr>
        <w:t>Id</w:t>
      </w:r>
      <w:r>
        <w:rPr>
          <w:sz w:val="26"/>
        </w:rPr>
        <w:t xml:space="preserve">.  For the PX, the Commission required that parties sign a FERC-authorized, </w:t>
      </w:r>
      <w:r>
        <w:rPr>
          <w:sz w:val="26"/>
          <w:u w:val="single"/>
        </w:rPr>
        <w:t>pro</w:t>
      </w:r>
      <w:r>
        <w:rPr>
          <w:sz w:val="26"/>
        </w:rPr>
        <w:t>-</w:t>
      </w:r>
      <w:r>
        <w:rPr>
          <w:sz w:val="26"/>
          <w:u w:val="single"/>
        </w:rPr>
        <w:t>forma</w:t>
      </w:r>
      <w:r>
        <w:rPr>
          <w:sz w:val="26"/>
        </w:rPr>
        <w:t xml:space="preserve"> Participation Agreement.  </w:t>
      </w:r>
      <w:r>
        <w:rPr>
          <w:sz w:val="26"/>
          <w:u w:val="single"/>
        </w:rPr>
        <w:t>California Power Exchange Corp</w:t>
      </w:r>
      <w:r>
        <w:rPr>
          <w:sz w:val="26"/>
        </w:rPr>
        <w:t xml:space="preserve">., 83 FERC ¶ 61,186 (1998).  Against opposition, the Commission concluded that the Participation Agreement and "the services provided under the PX Tariff are jurisdictional."  </w:t>
      </w:r>
      <w:r>
        <w:rPr>
          <w:sz w:val="26"/>
          <w:u w:val="single"/>
        </w:rPr>
        <w:t>Id</w:t>
      </w:r>
      <w:r>
        <w:rPr>
          <w:sz w:val="26"/>
        </w:rPr>
        <w:t xml:space="preserve">. at 61,771.  The Commission indicated that the Agreement "is the contract under which the California PX provides these services to its customers" and, as such, could be required to be filed in accordance with FPA section 205(c).  </w:t>
      </w:r>
      <w:r>
        <w:rPr>
          <w:sz w:val="26"/>
          <w:u w:val="single"/>
        </w:rPr>
        <w:t>Id</w:t>
      </w:r>
      <w:r>
        <w:rPr>
          <w:sz w:val="26"/>
        </w:rPr>
        <w:t xml:space="preserve">.  A large number of non-public utility sellers executed the Participation Agreement.  </w:t>
      </w:r>
      <w:r>
        <w:rPr>
          <w:sz w:val="26"/>
          <w:u w:val="single"/>
        </w:rPr>
        <w:t>See</w:t>
      </w:r>
      <w:r>
        <w:rPr>
          <w:sz w:val="26"/>
        </w:rPr>
        <w:t xml:space="preserve">, </w:t>
      </w:r>
      <w:r>
        <w:rPr>
          <w:sz w:val="26"/>
          <w:u w:val="single"/>
        </w:rPr>
        <w:t>e.g.</w:t>
      </w:r>
      <w:r>
        <w:rPr>
          <w:sz w:val="26"/>
        </w:rPr>
        <w:t>, PX letter filing of January 25, 2001 (index of parties who executed the Agreement as of December 31, 2000).</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Placing jurisdictional and non-jurisdictional sellers on the same footing for refund purposes promotes the underlying goals of the FPA.  Under California's restructuring system, interstate, wholesale sales of electric energy were transacted largely through hourly single price auctions, which meant that all bidders into these spot markets received the same price for a specific sale.  In fact, prior to Commission modification, California public utilities were required by California to transact exclusively through the PX under the mandatory buy/sell rule.</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Consequently, if the price for a specific sale is found to be unjust and unreasonable, then all sellers who obtained that price received an unjust and unreasonable rate.  To the extent the Commission determines refunds are an appropriate remedy for that sale, consumers can only be made whole by refunds from all sellers who received the excessive price.</w:t>
      </w:r>
      <w:r>
        <w:rPr>
          <w:rStyle w:val="FootnoteCharacters"/>
          <w:rStyle w:val="FootnoteReference"/>
          <w:b/>
          <w:sz w:val="31"/>
          <w:vertAlign w:val="superscript"/>
        </w:rPr>
        <w:footnoteReference w:id="57"/>
      </w:r>
      <w:r>
        <w:rPr>
          <w:sz w:val="26"/>
        </w:rPr>
        <w:t xml:space="preserve">  As non-public utility sellers of energy and ancillary services accounted for up to 30 percent of all sales in the California centralized ISO and PX spot markets, excluding them from a potential refund remedy could have a serious detrimental effect on consumers.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1440" w:end="0"/>
        <w:rPr>
          <w:sz w:val="26"/>
        </w:rPr>
      </w:pPr>
      <w:r>
        <w:rPr>
          <w:sz w:val="26"/>
        </w:rPr>
        <w:t>3.</w:t>
        <w:tab/>
      </w:r>
      <w:r>
        <w:rPr>
          <w:sz w:val="26"/>
          <w:u w:val="single"/>
        </w:rPr>
        <w:t>Refund Liability Can Apply  From October 2, 2000 Through June 20, 2001</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 xml:space="preserve">The above discussion also largely disposes of any claim that the Commission is impermissibly applying refund liability to non-public utility sellers back to the October 2, 2000, refund effective date that we previously announced.  Because refund obligations relate to factual issues concerning past periods, their resolution is considered to be adjudication.  Adjudications are generally given retroactive effect.  </w:t>
      </w:r>
      <w:r>
        <w:rPr>
          <w:sz w:val="26"/>
          <w:u w:val="single"/>
        </w:rPr>
        <w:t>See</w:t>
      </w:r>
      <w:r>
        <w:rPr>
          <w:sz w:val="26"/>
        </w:rPr>
        <w:t xml:space="preserve"> </w:t>
      </w:r>
      <w:r>
        <w:rPr>
          <w:sz w:val="26"/>
          <w:u w:val="single"/>
        </w:rPr>
        <w:t>Harper v. Virginia Dept. of Taxation</w:t>
      </w:r>
      <w:r>
        <w:rPr>
          <w:sz w:val="26"/>
        </w:rPr>
        <w:t xml:space="preserve">, 509 U.S. 86, 94-95 (1993)(referring to "the fundamental rule of retrospective operation that has governed judicial decisions for near a thousand years").  The Court has declined to accept equitable reliance as grounds for limiting the retroactive application of an adjudicatory decision.  "The federal law applicable to a particular case does not turn on whether litigants actually relied on an old rule [or] how they would suffer from retroactive application of a new one."  </w:t>
      </w:r>
      <w:r>
        <w:rPr>
          <w:sz w:val="26"/>
          <w:u w:val="single"/>
        </w:rPr>
        <w:t>Id</w:t>
      </w:r>
      <w:r>
        <w:rPr>
          <w:sz w:val="26"/>
        </w:rPr>
        <w:t>. at n.9 (citation and quotation marks omitted).</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 xml:space="preserve">Of course, in the instant matter, as explained above, the non-public utility sellers were well aware that these transactions involved wholesale sales of electricity subject  to FERC jurisdiction.  These sellers had executed the </w:t>
      </w:r>
      <w:r>
        <w:rPr>
          <w:sz w:val="26"/>
          <w:u w:val="single"/>
        </w:rPr>
        <w:t>pro</w:t>
      </w:r>
      <w:r>
        <w:rPr>
          <w:sz w:val="26"/>
        </w:rPr>
        <w:t xml:space="preserve"> </w:t>
      </w:r>
      <w:r>
        <w:rPr>
          <w:sz w:val="26"/>
          <w:u w:val="single"/>
        </w:rPr>
        <w:t>forma</w:t>
      </w:r>
      <w:r>
        <w:rPr>
          <w:sz w:val="26"/>
        </w:rPr>
        <w:t xml:space="preserve"> agreements established by the Commission that indicated, in part, their willingness to comply with the terms of the FERC-jurisdictional ISO or PX tariffs.  These factors undermine possible claims that non-public utility sellers of energy could reasonably have relied on their sales for resale of electricity into the centralized interstate California ISO and PX spot markets not properly being subject to FERC jurisdiction.</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 xml:space="preserve">The Supreme Court's discussion of retroactivity arose in the context of judicial adjudication, but the same principles counsel strongly for like treatment in agency adjudications.  </w:t>
      </w:r>
      <w:r>
        <w:rPr>
          <w:sz w:val="26"/>
          <w:u w:val="single"/>
        </w:rPr>
        <w:t>See</w:t>
      </w:r>
      <w:r>
        <w:rPr>
          <w:sz w:val="26"/>
        </w:rPr>
        <w:t xml:space="preserve"> </w:t>
      </w:r>
      <w:r>
        <w:rPr>
          <w:sz w:val="26"/>
          <w:u w:val="single"/>
        </w:rPr>
        <w:t>Southwestern Public Service Co. v. FERC</w:t>
      </w:r>
      <w:r>
        <w:rPr>
          <w:sz w:val="26"/>
        </w:rPr>
        <w:t>, 952 F.2d 555, 563 (D.C. Cir. 1992) (indicating FERC "should take note" of  recent Supreme Court case that "may forbid agencies to apply rules with selective retrospectivity.") (citation omitted). The D.C. Circuit also recently indicated that selective retroactivity</w:t>
      </w:r>
      <w:r>
        <w:rPr>
          <w:rStyle w:val="FootnoteCharacters"/>
          <w:rStyle w:val="FootnoteReference"/>
          <w:b/>
          <w:sz w:val="31"/>
          <w:vertAlign w:val="superscript"/>
        </w:rPr>
        <w:footnoteReference w:id="58"/>
      </w:r>
      <w:r>
        <w:rPr>
          <w:sz w:val="26"/>
        </w:rPr>
        <w:t xml:space="preserve"> for remedial purposes "breaches the principle that litigants in similar situations should be treated the same, a fundamental component of </w:t>
      </w:r>
      <w:r>
        <w:rPr>
          <w:sz w:val="26"/>
          <w:u w:val="single"/>
        </w:rPr>
        <w:t>stare</w:t>
      </w:r>
      <w:r>
        <w:rPr>
          <w:sz w:val="26"/>
        </w:rPr>
        <w:t xml:space="preserve"> </w:t>
      </w:r>
      <w:r>
        <w:rPr>
          <w:sz w:val="26"/>
          <w:u w:val="single"/>
        </w:rPr>
        <w:t>decisis</w:t>
      </w:r>
      <w:r>
        <w:rPr>
          <w:sz w:val="26"/>
        </w:rPr>
        <w:t xml:space="preserve"> and the rule of law generally."  </w:t>
      </w:r>
      <w:r>
        <w:rPr>
          <w:sz w:val="26"/>
          <w:u w:val="single"/>
        </w:rPr>
        <w:t>Nat'l Fuel Gas Supply Corp. v. FERC</w:t>
      </w:r>
      <w:r>
        <w:rPr>
          <w:sz w:val="26"/>
        </w:rPr>
        <w:t xml:space="preserve">, 59 F.3d 1781, 1789 (D.C. Cir. 1995)(citation omitted).  Here, as discussed above, public utility and non-public utility sellers under the single price auction system used in the affected markets were similarly situated regarding the price they received for their sales for resale of electricity, and thus should be treated similarly in the consideration of whether refunds should be required.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pPr>
      <w:r>
        <w:rPr>
          <w:sz w:val="26"/>
        </w:rPr>
        <w:t xml:space="preserve">The D.C. Circuit has, however, expressly declined to require that agency adjudications enforcing agency decisions apply retroactively.  </w:t>
      </w:r>
      <w:r>
        <w:rPr>
          <w:sz w:val="26"/>
          <w:u w:val="single"/>
        </w:rPr>
        <w:t>See</w:t>
      </w:r>
      <w:r>
        <w:rPr>
          <w:sz w:val="26"/>
        </w:rPr>
        <w:t xml:space="preserve">, </w:t>
      </w:r>
      <w:r>
        <w:rPr>
          <w:sz w:val="26"/>
          <w:u w:val="single"/>
        </w:rPr>
        <w:t>e.g.</w:t>
      </w:r>
      <w:r>
        <w:rPr>
          <w:sz w:val="26"/>
        </w:rPr>
        <w:t xml:space="preserve">, </w:t>
      </w:r>
      <w:r>
        <w:rPr>
          <w:sz w:val="26"/>
          <w:u w:val="single"/>
        </w:rPr>
        <w:t>Power Corp. of America</w:t>
      </w:r>
      <w:r>
        <w:rPr>
          <w:sz w:val="26"/>
        </w:rPr>
        <w:t xml:space="preserve">, 245 F.3d at 847.  Instead, the court applies a five-part test for deciding if retroactivity is inappropriate.  </w:t>
      </w:r>
      <w:r>
        <w:rPr>
          <w:sz w:val="26"/>
          <w:u w:val="single"/>
        </w:rPr>
        <w:t>Williams Natural Gas Co. v. FERC</w:t>
      </w:r>
      <w:r>
        <w:rPr>
          <w:sz w:val="26"/>
        </w:rPr>
        <w:t xml:space="preserve">, 3F.3d 1544, 1553-55 (D.C. Cir. 1993); see </w:t>
      </w:r>
      <w:r>
        <w:rPr>
          <w:sz w:val="26"/>
          <w:u w:val="single"/>
        </w:rPr>
        <w:t>Retail Wholesale &amp; Dept. Store Union v. NLRB</w:t>
      </w:r>
      <w:r>
        <w:rPr>
          <w:sz w:val="26"/>
        </w:rPr>
        <w:t xml:space="preserve">, 466 F.2d 380, 390 (D.C. Cir. 1972)(one formulation of criteria).  Under these criteria, our determination that non-public utility sellers of energy in the California market can be liable for refunds should apply retroactively.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The initial criterion asks whether the issue is one of first impression.  We have no trouble finding that the instant question is, given that California was the first state to restructure its electricity market and the Commission had never dealt with market-wide refunds in a single price auction for widespread centralized spot purchases of wholesale electricity in interstate commerce.  The next criterion looks to whether Commission action seeks to fill a void in an unsettled area of the law.  For the same reasons mentioned in the first criterion, this factor weighs in favor of retroactivity.  The Commission seeks to redress a previously unencountered situation in a manner that furthers the underlying purpose of the FPA.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The third criterion asks the extent to which parties relied on the old rule.  Here, there was no old rule to apply to the precise situation.  But, in any event, non-public utility sellers should have recognized their sales for resale into the centralized ISO or PX spot markets were the subject of FERC jurisdiction and scrutiny.  Among other things, FERC's investigation into the ISO and PX market practices and rules, with indications in the August 23 Order that possible remedies included changes to the market clearing price mechanisms and refunds, should have alerted non-public utility (as well as public utility) sellers of FERC's authority over their sales in those markets. Moreover, those sellers signed FERC pro forma agreements that indicated their willingness to comply with FERC-authorized tariffs.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The fourth and fifth criteria also weigh in favor of retroactivity.  Ordering non-public utility sellers to refund amounts received in excess of just and reasonable rates does not impose an unfair burden, but merely place those sellers in the same position as public utility sellers.  Finally, the statutory interest in protecting consumers against exploitation is furthered by subjecting non-public utility sellers, who represent up to 30 percent of all sales into the California ISO and PX spot markets during the applicable time period, to possible refund liability to the same extent as public utility sellers.  Otherwise, consumers will not be made whole for any prices found to be excessive.  Moreover, fundamental fairness dictates that in the context of a single price auction, where all bidders received the same price for a specific sale, all those parties should now bear the responsibility of refunding any amounts found to be unjust and unreasonable.</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In short, the balance tips decidedly in favor of retroactive application of refund liability to October 2, 2000, for all sellers in the California ISO and PX spot markets.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720" w:start="1440" w:end="0"/>
        <w:rPr>
          <w:sz w:val="26"/>
        </w:rPr>
      </w:pPr>
      <w:r>
        <w:rPr>
          <w:sz w:val="26"/>
        </w:rPr>
        <w:t>4.</w:t>
        <w:tab/>
      </w:r>
      <w:r>
        <w:rPr>
          <w:sz w:val="26"/>
          <w:u w:val="single"/>
        </w:rPr>
        <w:t>DWR Transactions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   </w:t>
      </w:r>
      <w:r>
        <w:rPr>
          <w:sz w:val="26"/>
        </w:rPr>
        <w:t xml:space="preserve">By motion dated March 1, 2001, the Oversight Board requested clarification and extension of the December 15 Order, arguing that DWR bilateral contracts should be subject to refund.  These contracts became an issue when, on January 17, 2001, the Governor of California issued an emergency proclamation giving DWR authority to enter into arrangements to purchase power.  DWR began purchasing under this authority the next day.  DWR has purchased substantial amounts of energy in the ISO's Imbalance Energy market and is in the process of executing long-term purchases.  The California Commission and SoCal Edison supported the motion.  Numerous other parties opposed the motion, contending that the relief sought would be inconsistent with the objectives of the December 15 Order and because the proposed changes to parties' market-based rate authorizations would have to be considered under FPA section 206.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Subsequently, a number of parties filed comments on the Chief Judge's Report arguing that the DWR bilateral contracts should remain outside the scope of the Commission's refund orders given that these transactions represent bargained-for exchanges between willing buyers and sellers (with DWR picking and choosing the transactions it wanted, exercising discretion and exhibiting price response).</w:t>
      </w:r>
      <w:r>
        <w:rPr>
          <w:rStyle w:val="FootnoteCharacters"/>
          <w:rStyle w:val="FootnoteReference"/>
          <w:b/>
          <w:sz w:val="31"/>
          <w:vertAlign w:val="superscript"/>
        </w:rPr>
        <w:footnoteReference w:id="59"/>
      </w:r>
      <w:r>
        <w:rPr>
          <w:sz w:val="26"/>
        </w:rPr>
        <w:t xml:space="preserve">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  </w:t>
      </w:r>
      <w:r>
        <w:rPr>
          <w:sz w:val="26"/>
        </w:rPr>
        <w:t>We believe imposing after-the-fact refund liability on California transactions outside of the centralized ISO and PX markets is unjustified.  This is particularly true in the instant proceeding when the Commission consistently encouraged California load serving entities to acquire a balanced portfolio of short, medium and long-term contracts.  Expanding the scope of transactions subject to refund over the period October 2, 2000, through June 20, 2001 to include transactions outside the ISO and PX centralized markets would simply hinder the ability of parties to enter into new bilateral contracts.  Accordingly, the Commission will deny the Oversight Board's motion.</w:t>
      </w:r>
      <w:r>
        <w:rPr>
          <w:rStyle w:val="FootnoteCharacters"/>
          <w:rStyle w:val="FootnoteReference"/>
          <w:b/>
          <w:sz w:val="31"/>
          <w:vertAlign w:val="superscript"/>
        </w:rPr>
        <w:footnoteReference w:id="60"/>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pPr>
      <w:r>
        <w:rPr>
          <w:sz w:val="26"/>
        </w:rPr>
        <w:t>Further, we note that while DWR is a market participant that competes with other suppliers and purchasers of energy and ancillary services in the ISO markets, unlike other market participants, DWR has had access to the ISO's control room and associated written materials, visual observations, and oral statements regarding the ISO's markets, systems, operations and activities.</w:t>
      </w:r>
      <w:r>
        <w:rPr>
          <w:rStyle w:val="FootnoteCharacters"/>
          <w:rStyle w:val="FootnoteReference"/>
          <w:b/>
          <w:sz w:val="31"/>
          <w:vertAlign w:val="superscript"/>
        </w:rPr>
        <w:footnoteReference w:id="61"/>
      </w:r>
      <w:r>
        <w:rPr>
          <w:sz w:val="26"/>
        </w:rPr>
        <w:t xml:space="preserve">  This has provided DWR a competitive advantage in entering into its bilateral contracts.  In addition, by voluntarily entering into bilateral transactions outside the ISO and PX, DWR made a conscious decision to forego the refund protection that the Commission provided for purchases through the ISO and PX.  Thus, there is no equitable rationale that supports making DWR's bilateral contracts subject to refund.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The Commission will issue a further order concerning the standards of conduct between the ISO and DWR in Docket No. ER01-889.</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720" w:start="1440" w:end="0"/>
        <w:rPr>
          <w:sz w:val="26"/>
        </w:rPr>
      </w:pPr>
      <w:r>
        <w:rPr>
          <w:sz w:val="26"/>
        </w:rPr>
        <w:t>5.</w:t>
        <w:tab/>
      </w:r>
      <w:r>
        <w:rPr>
          <w:sz w:val="26"/>
          <w:u w:val="single"/>
        </w:rPr>
        <w:t>OOM Transactions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Several parties request clarification that the ISO's out-of-market (OOM) purchases are subject to refund.  We grant this clarification.  As we stated previously in our November 1 Order, "the electric market structure and market rules for wholesale sales of electric energy in California are seriously flawed and [ ] these structures and rules, in conjunction with an imbalance of supply and demand in California, have caused, and continue to have the potential to cause, unjust and unreasonable rates for short-term energy . . . under certain conditions."</w:t>
      </w:r>
      <w:r>
        <w:rPr>
          <w:rStyle w:val="FootnoteCharacters"/>
          <w:rStyle w:val="FootnoteReference"/>
          <w:b/>
          <w:sz w:val="31"/>
          <w:vertAlign w:val="superscript"/>
        </w:rPr>
        <w:footnoteReference w:id="62"/>
      </w:r>
      <w:r>
        <w:rPr>
          <w:sz w:val="26"/>
        </w:rPr>
        <w:t xml:space="preserve">  The order noted that the "California market structure and rules provide the opportunity for sellers to exercise market power when supply is tight and can result in unjust and unreasonable rates under the FPA."</w:t>
      </w:r>
      <w:r>
        <w:rPr>
          <w:rStyle w:val="FootnoteCharacters"/>
          <w:rStyle w:val="FootnoteReference"/>
          <w:b/>
          <w:sz w:val="31"/>
          <w:vertAlign w:val="superscript"/>
        </w:rPr>
        <w:footnoteReference w:id="63"/>
      </w:r>
      <w:r>
        <w:rPr>
          <w:sz w:val="26"/>
        </w:rPr>
        <w:t xml:space="preserve">  These statements are most true with respect to the ISO's daily OOM purchases for obtaining the resources it needs to reliably operate the grid. </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pPr>
      <w:r>
        <w:rPr>
          <w:sz w:val="26"/>
        </w:rPr>
        <w:t>As stated in the August 23 Order, if there is insufficient supply in the ISO markets, then the ISO must procure additional supplies at the last minute with OOM purchases in order to meet its needs for the operating day.  Historically, the ISO procured on a daily basis only the resources needed for the operating day.  Not only did this procurement practice put pressure on the grid operator to secure needed resources at the last minute, but the practice was uneconomical.  Because the ISO is the supplier of last resort for these services, when OOM calls are made, suppliers realize that the ISO is in a must-buy situation.  For this reason, we directed the ISO to immediately institute a more forward approach to procuring the resources necessary to reliably operate the grid.</w:t>
      </w:r>
      <w:r>
        <w:rPr>
          <w:rStyle w:val="FootnoteCharacters"/>
          <w:rStyle w:val="FootnoteReference"/>
          <w:b/>
          <w:sz w:val="31"/>
          <w:vertAlign w:val="superscript"/>
        </w:rPr>
        <w:footnoteReference w:id="64"/>
      </w:r>
      <w:r>
        <w:rPr>
          <w:sz w:val="26"/>
        </w:rPr>
        <w:t xml:space="preserve">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To the extent the ISO made spot market OOM purchases (</w:t>
      </w:r>
      <w:r>
        <w:rPr>
          <w:sz w:val="26"/>
          <w:u w:val="single"/>
        </w:rPr>
        <w:t>i.e.</w:t>
      </w:r>
      <w:r>
        <w:rPr>
          <w:sz w:val="26"/>
        </w:rPr>
        <w:t xml:space="preserve">, 24 hours or less and that were entered into the day of or day prior to delivery), such purchases are no different than purchases through its markets.  Both types of purchases are made by the ISO in order to procure the resources necessary to reliably operate the grid.  Therefore, we clarify that spot market OOM transactions are subject to refund and subject to the hourly mitigated price established in the ordered hearing.  The hourly price will establish the maximum price with refunds for transactions over this level.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720" w:start="1440" w:end="0"/>
        <w:rPr>
          <w:sz w:val="26"/>
        </w:rPr>
      </w:pPr>
      <w:r>
        <w:rPr>
          <w:sz w:val="26"/>
        </w:rPr>
        <w:t>6.</w:t>
        <w:tab/>
      </w:r>
      <w:r>
        <w:rPr>
          <w:sz w:val="26"/>
          <w:u w:val="single"/>
        </w:rPr>
        <w:t>Sales Made Pursuant to DOE Orders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PPL Montana, PPL EnergyPlus, and PPL Southwest Generation Holdings (PPL Parties) state that in the exercise of his authority under section 202(c) of the FPA, the Secretary of Energy (Secretary), in a series of orders directed PPL Montana, among others, to make the necessary arrangements to supply energy as requested by the California ISO.  PPL Parties maintain that such sales made pursuant to the orders issued by the Secretary under this authority should not be subject to refund because they were not made pursuant to section 205 of the FPA.  The ISO maintains that sales made pursuant to section 202(c) should be subject to refund.</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PPL Parties state that section 202(c) has its own mechanism for determining sales prices.  Under the section, sales are to be made at an agreed upon price.  Only if price and terms cannot be agreed to in accordance with the existing regulations, the terms are to be immediately prescribed by the Secretary and the price referred to this Commission for subsequent determination of a rate it determines is "just and reasonable."</w:t>
      </w:r>
      <w:r>
        <w:rPr>
          <w:rStyle w:val="FootnoteCharacters"/>
          <w:rStyle w:val="FootnoteReference"/>
          <w:b/>
          <w:sz w:val="31"/>
          <w:vertAlign w:val="superscript"/>
        </w:rPr>
        <w:footnoteReference w:id="65"/>
      </w:r>
      <w:r>
        <w:rPr>
          <w:sz w:val="26"/>
        </w:rPr>
        <w:t xml:space="preserve">   According to PPL Parties, there is nothing in section 202(c) that authorizes the payment of refunds or the redetermination of sales prices where there has been mutual agreement.</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 xml:space="preserve">Furthermore, PPL Parties state that the Secretary specifically directed in his orders that "the terms of any arrangement made between the entities subject to this order and the California ISO pursuant to this order are to be agreed to by the parties."  Therefore, they assert that any action by the Commission to alter the terms of agreements voluntarily reached by ordering refunds would be inconsistent with the Secretary's mandate.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We agree that rates for transactions entered into under section 202(c) in compliance with the Secretary's orders are outside the scope of this proceeding.  The Secretary has not referred any sales to this Commission for a rate determination; if any had been referred here, they would have been reviewed in a separate proceeding.</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720" w:start="1440" w:end="0"/>
        <w:rPr>
          <w:sz w:val="26"/>
        </w:rPr>
      </w:pPr>
      <w:r>
        <w:rPr>
          <w:sz w:val="26"/>
        </w:rPr>
        <w:t>7.</w:t>
        <w:tab/>
      </w:r>
      <w:r>
        <w:rPr>
          <w:sz w:val="26"/>
          <w:u w:val="single"/>
        </w:rPr>
        <w:t>PG&amp;E Bankruptcy</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We note that on April 6, 2001, PG&amp;E filed for Chapter 11 bankruptcy protection.  Although the Bankruptcy Code provides that the filing of a bankruptcy petition automatically stays certain actions against the debtor,</w:t>
      </w:r>
      <w:r>
        <w:rPr>
          <w:rStyle w:val="FootnoteCharacters"/>
          <w:rStyle w:val="FootnoteReference"/>
          <w:b/>
          <w:sz w:val="31"/>
          <w:vertAlign w:val="superscript"/>
        </w:rPr>
        <w:footnoteReference w:id="66"/>
      </w:r>
      <w:r>
        <w:rPr>
          <w:sz w:val="26"/>
        </w:rPr>
        <w:t xml:space="preserve"> the Code also provides an exception from this automatic stay for:</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start="720" w:end="720"/>
        <w:rPr>
          <w:sz w:val="26"/>
        </w:rPr>
      </w:pPr>
      <w:r>
        <w:rPr>
          <w:sz w:val="26"/>
        </w:rPr>
        <w:t>An action or proceeding by a governmental unit . . . to enforce such governmental unit's or organization's police and regulatory power, including the enforcement of a judgment other than a money judgment, obtained in an action or proceeding by the governmental unit to enforce such governmental unit's or organization's police or regulatory power.</w:t>
      </w:r>
      <w:r>
        <w:rPr>
          <w:rStyle w:val="FootnoteCharacters"/>
          <w:rStyle w:val="FootnoteReference"/>
          <w:b/>
          <w:sz w:val="31"/>
          <w:vertAlign w:val="superscript"/>
        </w:rPr>
        <w:footnoteReference w:id="67"/>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pPr>
      <w:r>
        <w:rPr>
          <w:sz w:val="26"/>
        </w:rPr>
        <w:t>The Commission has found in the past that actions taken under the authority granted it by the Federal Power Act and the controlling regulations fit within this exception, and, therefore, are exempt from the automatic stay provision.</w:t>
      </w:r>
      <w:r>
        <w:rPr>
          <w:rStyle w:val="FootnoteCharacters"/>
          <w:rStyle w:val="FootnoteReference"/>
          <w:b/>
          <w:sz w:val="31"/>
          <w:vertAlign w:val="superscript"/>
        </w:rPr>
        <w:footnoteReference w:id="68"/>
      </w:r>
      <w:r>
        <w:rPr>
          <w:sz w:val="26"/>
        </w:rPr>
        <w:t xml:space="preserve">  In the instant matter, we are exercising our regulatory power under section 206 of the Federal Power Act as permitted by section 362(b)(4) of the Bankruptcy Code to issue an order that does not threaten the bankruptcy court's control over the property of the bankruptcy estate.  </w:t>
      </w:r>
    </w:p>
    <w:p>
      <w:pPr>
        <w:pStyle w:val="Normal"/>
        <w:widowControl/>
        <w:tabs>
          <w:tab w:val="clear" w:pos="720"/>
          <w:tab w:val="left" w:pos="-1440" w:leader="none"/>
        </w:tabs>
        <w:rPr>
          <w:sz w:val="26"/>
        </w:rPr>
      </w:pPr>
      <w:r>
        <w:rPr>
          <w:sz w:val="26"/>
        </w:rPr>
        <w:t>As this order establishes the formula for refunds but does not impose any monetary obligation on PG&amp;E, it has no effect on PG&amp;E's bankruptcy estate.</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C.</w:t>
        <w:tab/>
      </w:r>
      <w:r>
        <w:rPr>
          <w:sz w:val="26"/>
          <w:u w:val="single"/>
        </w:rPr>
        <w:t>Refund Calculation Methodology</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We will adopt the recommendations of the Chief Judge, as modified below, and apply the methodology set out in the June 19 Order from the October 2, 2000, refund effective date, through June 20, 2001 to determine the amount of refunds due to the customers in the ISO and PX spot markets.  As the Chief Judge recognized, the methodology in the June 19 Order must be modified in order to be applied to the period October 2, 2000, through June 20, 2001.  In this respect, we will direct the ISO to make the  modifications discussed below to the methodology presented in the June 19 Order, for the purposes of developing a factual record for analyzing these markets during the refund period.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The scope of the June 19 price mitigation extends to all spot market hours.  Applying this to the period October 2, 2000, through June 20, 2001, will enlarge the number of hours that the March 9 Refund Order made subject to refund for the period January 1 through May 28, 2001.  Accordingly, we will grant the requests for rehearing of the March 9 Refund Order that seek to increase the hours of price mitigation for this period.  In addition, we note that the June 19 Order mitigates prices during all hours effective as of June 21, 2001.  This leaves a gap from May 29 through June 20, 2001, when price mitigation only applied to periods of system emergencies.  In order to maintain a consistent approach during all periods of time, the Commission will require application of the refund calculation methodology discussed below to non-reserve deficiency hours from May 29 through June 20, 2001.  Transactions that occurred during reserve deficiency hours in this period, already mitigated as a result of the April 26 Order, will not be affected.</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 xml:space="preserve">The June 19 Order established a mitigated price based upon the marginal cost of the last unit dispatched to meet the load in the ISO's real-time market.  The June 19 Order also established a "must offer" requirement that each generator offer all available and uncommitted capacity in real-time.  The ISO, County of Los Angeles, California Commission, SDG&amp;E, SoCal Edison, and the Oversight Board (collectively, California Parties) argue that in applying the June 19 Order for the period October 2, 2000 through June 20, 2001, the methodology must include a simulation of the must offer requirement (an assumed economic dispatch).  This modification to the actual data lowers the heat rate for establishing the market clearing price because it assumes that all generation that was not dispatched was really available, and that more imports were available than the actual quantities.  The California Parties allege that the use of historical dispatch would yield higher prices than the prices resulting from using an assumed economic dispatch, and higher prices would reward the exercise of market power.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 xml:space="preserve">We did not institute the must offer requirement or the marginal bidding requirement until May 28, 2001, and it is unreasonable to re-create the markets to apply such requirements for the period October 2, 2000 through June 20, 2001.  Generators actually dispatched in the markets during these periods have specific marginal costs that are reasonably recovered under our methodology.  The end result of using an assumed economic dispatch (prices lower than the actual marginal costs of the last generator dispatched) unfairly punishes the very generators that helped keep the lights on in California.  Therefore, we will require that the ISO determine the last unit dispatched (the marginal unit) by selecting from the actual units dispatched in real-time the maximum heat rate of any unit dispatched each hour in the real-time imbalance market for the period October 2, 2000 through May 28, 2001. </w:t>
      </w:r>
      <w:r>
        <w:rPr>
          <w:rStyle w:val="FootnoteCharacters"/>
          <w:rStyle w:val="FootnoteReference"/>
          <w:b/>
          <w:sz w:val="31"/>
          <w:vertAlign w:val="superscript"/>
        </w:rPr>
        <w:footnoteReference w:id="69"/>
      </w:r>
      <w:r>
        <w:rPr>
          <w:sz w:val="26"/>
        </w:rPr>
        <w:t xml:space="preserve">  This should address the concerns of numerous commenters that application of the June 19 methodology from October 2, 2000 forward, particularly with respect to marketers that are price takers, would be confiscatory.  </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The June 19 Order also established a mitigated price for hours of non-reserve deficiency at 85 percent of the market clearing price established during the last Stage 1 reserve deficiency.  The Chief Judge ruled that, on a retroactive basis, the 85 percent maximum price for non-reserve deficiency periods could distort re-creation of a competitive market.   Most commenters, including California Parties, Southern California  Water Company and Dynegy, agree that the methodology for calculating refunds should not incorporate this element and instead should calculate a competitive price for every hour of the period in question.  California Parties argue that including the 85 percent formula in calculating refunds would provide sellers with an unjustified off-peak premium.  Due to the support for this modification and because no party has raised a legitimate concern over the Chief Judge's rationale, we will adopt his recommendation.</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In support of the recommendation to use the daily spot market price for gas, the Chief Judge relied on record evidence that the energy sales at issue were made with spot gas purchases.  PG&amp;E maintains that there is no need to alter the treatment of gas costs in the June 19 Order (</w:t>
      </w:r>
      <w:r>
        <w:rPr>
          <w:sz w:val="26"/>
          <w:u w:val="single"/>
        </w:rPr>
        <w:t>i.e</w:t>
      </w:r>
      <w:r>
        <w:rPr>
          <w:sz w:val="26"/>
        </w:rPr>
        <w:t xml:space="preserve">., averaging the bid-point of the monthly bid-week prices reported by Gas Daily for three spot market prices reported for California).  Moreover, PG&amp;E contends that the use of spot gas prices is unreasonable as there have been large differentials between such prices and average costs.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We note that PG&amp;E has not refuted the underlying record evidence relied upon by the Chief Judge in making his recommendation to use daily spot purchases (</w:t>
      </w:r>
      <w:r>
        <w:rPr>
          <w:sz w:val="26"/>
          <w:u w:val="single"/>
        </w:rPr>
        <w:t>i.e.</w:t>
      </w:r>
      <w:r>
        <w:rPr>
          <w:sz w:val="26"/>
        </w:rPr>
        <w:t xml:space="preserve">, that such sales were typically made with gas purchased in the spot market). </w:t>
      </w:r>
      <w:r>
        <w:rPr>
          <w:rStyle w:val="FootnoteCharacters"/>
          <w:rStyle w:val="FootnoteReference"/>
          <w:b/>
          <w:sz w:val="31"/>
          <w:vertAlign w:val="superscript"/>
        </w:rPr>
        <w:footnoteReference w:id="70"/>
      </w:r>
      <w:r>
        <w:rPr>
          <w:sz w:val="26"/>
        </w:rPr>
        <w:t xml:space="preserve"> In addition, we note that spot purchases have traditionally been used to calculate the replacement cost of fuel.  Given that the gas treatment in the June 19 Order was intended to address and influence purchasing decisions for prospective sales, there is simply no support for requiring a similar treatment for retroactive application to past sales.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Mirant argues that the use of the Malin delivery point for an input for northern California suppliers is inappropriate because this index price is less than the PG&amp;E City Gate price.   According to Mirant, using an average of the two indexes will not reflect the actual fuel cost to the generators in northern California.  If sellers in California, such as Mirant, do not believe that these prices sufficiently cover their costs, they can file for cost-of-service rates covering all of their generating units in the WSCC for the duration of the mitigation period and including the refund period.</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A number of Marketers and public utilities outside of California state that their purchased power costs, which may be higher than the hourly price calculated under the methodology adopted by the Commission, should be used to offset any potential refunds.  Consistent with our prospective ruling in the June 19 Order, we will not allow such a showing for the period October 2, 2000 through June 20, 2001.  We note that the public utilities outside of California typically entered into must-take purchase power contracts for weekly, monthly or longer periods.  Their short-term purchases were made in order to either meet minimum reserve requirements or to supply their native load.  To the extent these public utilities' total resources, both owned and purchased, temporarily exceeded their actual total system load, the surplus was available as opportunity sales in the spot markets including the ISO and PX spot markets.  Because the purchased power costs of these utilities were sunk costs similar to their investment in their own plant, any revenues generated from off-system sales at market based rates reduces their initial purchase power costs to serve their native load.  Even the lower mitigated hourly prices determined in the hearing will subsidize these public utilities' overall cost of providing native load service.  Finally, as noted in the June 19 Order, under the FPA and our authorization for market-based rates, sellers are not guaranteed to recover all costs, but are provided the opportunity to do so.</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Several sellers support the use of separate gas prices for northern and southern California.  The California Parties object to any change in the gas prices used in the June 19 Order, stating that it is unclear how two gas prices could be used under the June 19th methodology.  Reliant adds that the methodology should maintain a single price auction mechanism for determining refunds instead of separate northern and southern market clearing prices.  We find the approach suggested by the Chief Judge to be a workable addition to the June 19 Order methodology consistent with the determination of the actual running costs of the marginal unit.  We will adopt the method proposed by the Chief Judge and direct the ISO to apply the appropriate gas price once the marginal unit is determined.  If that marginal unit is located in the North of Path 15 (NP15) zone, then the ISO should calculate the market clearing price by using the average daily spot gas price for PG&amp;E Citygate and Malin.  If that marginal unit is located in the South of Path 15 (SP15) zone, the ISO should calculate the market clearing price by using the average daily spot gas price for Southern California Gas large packages.  We clarify that these inputs are to be used to calculate a single clearing price.</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 xml:space="preserve">While we are adopting the Chief Judge's recommendation to use daily spot gas prices and the three delivery points as reported by Financial Times Energy's "Gas Daily," we will adopt one modification based on comments filed by Intelligence Press, Inc. (Intelligence Press).  Intelligence Press states that the Commission has in the past used a composite of published market prices and notes that using multiple sources addresses a number of concerns including reducing the effect of errors that might occur in gathering and reporting the spot price data.  We believe that these are valid points.  Accordingly, the gas inputs recommended by the Chief Judge should be based on the simple average daily spot price as reported by Gas Daily, NGI's Daily Gas Price index and Inside FERC's Gas Market Report.  The last published gas prices should be used in calculating the refund price for the days that these publications are not published (weekends and holidays). </w:t>
      </w:r>
      <w:r>
        <w:rPr>
          <w:rStyle w:val="FootnoteCharacters"/>
          <w:rStyle w:val="FootnoteReference"/>
          <w:b/>
          <w:sz w:val="31"/>
          <w:vertAlign w:val="superscript"/>
        </w:rPr>
        <w:footnoteReference w:id="71"/>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The June 19 Order also established an O&amp;M adder of $6/MWh to be included in the calculated market clearing price.  The Chief Judge recommended the same adder be included in the methodology for calculating refunds.  No parties commented on this adder and we therefore adopt its use in the methodology.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The Chief Judge recommended that the methodology establish a separate expense category for demonstrable emissions costs that sellers may subtract from their respective refund calculations, consistent with the mitigation methodology established in the June 19 Order.  Reliant maintains that NOX costs and other environmental mitigation fees represent costs that a generator actually incurred in producing energy and, as such, should be included in the calculation of cost for the marginal unit.  Although we note that the inclusion of emissions costs in the calculation of the costs for the marginal unit is sound economic theory, we find that in practice, actual emissions costs vary by location, time period, and duration.  We find that the incorporation of such costs, which have not been demonstrated to be hourly costs, in the context of calculating hourly marginal costs for the purposes of establishing refund liability, would present an insurmountable burden.  We find that allowing full recovery by the generators of all of their demonstrable emissions costs incurred during the refund period is appropriate.  Because the emissions cost will not be included in the revised market clearing price, we direct all sellers to submit during the hearing their emissions costs incurred during the refund period for subtraction from their respective refund liabilities.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California Parties object to the inclusion of a ten percent creditworthiness adder, stating that sellers' actions in charging high prices forced SoCal Edison and PG&amp;E to lose their credit rating, and that a credit adder would reward them for these actions.  Sellers support the creditworthiness adder although they state that ten percent could be insufficient to accurately reflect the credit risk associated with making sales into California during the refund period.  PPL Montana states that sellers making the sales for which refunds are contemplated not only were deterred from obtaining appropriate credit guarantees, but have experienced actual harm in the form of non-payment.  </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 xml:space="preserve">We find that the inclusion of a creditworthiness adder in the methodology to determine refund liability is appropriate and necessary.  One result of parties' failure to reach settlement in this proceeding is that payment of overdue amounts has not been assured.  The methodology we set forth will determine the just and reasonable rates that buyers will pay, but it cannot provide assurances that buyers, one of which is currently embroiled in bankruptcy proceedings, will pay the full amounts due.  Therefore, we will adopt the recommendation of the Chief Judge that the 10 percent adder should be included in the market clearing price.  At this time we will limit the adder to all transactions that occurred after the downgrade of SoCal Edison and PG&amp;E's bond ratings on January 5, 2001.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Once the ISO has calculated the hourly market clearing prices for the refund period, this data should be used by both the ISO and PX to rerun their settlement/billing processes and all penalties.  These revised settlements should be submitted to the Administrative Law Judge and parties should use this information to form the basis of any offsets (</w:t>
      </w:r>
      <w:r>
        <w:rPr>
          <w:sz w:val="26"/>
          <w:u w:val="single"/>
        </w:rPr>
        <w:t>i.e.</w:t>
      </w:r>
      <w:r>
        <w:rPr>
          <w:sz w:val="26"/>
        </w:rPr>
        <w:t xml:space="preserve"> the amounts to be refunded against the payments past due).  We direct the Administrative Law Judge to certify this information, in its entirety, to the Commission.</w:t>
      </w:r>
    </w:p>
    <w:p>
      <w:pPr>
        <w:pStyle w:val="Normal"/>
        <w:widowControl/>
        <w:tabs>
          <w:tab w:val="clear" w:pos="720"/>
          <w:tab w:val="left" w:pos="-1440" w:leader="none"/>
        </w:tabs>
        <w:rPr>
          <w:sz w:val="26"/>
        </w:rPr>
      </w:pPr>
      <w:r>
        <w:rPr>
          <w:sz w:val="26"/>
        </w:rPr>
        <w:t xml:space="preserve"> </w:t>
      </w:r>
    </w:p>
    <w:p>
      <w:pPr>
        <w:pStyle w:val="Normal"/>
        <w:widowControl/>
        <w:tabs>
          <w:tab w:val="clear" w:pos="720"/>
          <w:tab w:val="left" w:pos="-1440" w:leader="none"/>
        </w:tabs>
        <w:ind w:firstLine="720" w:end="0"/>
        <w:rPr>
          <w:sz w:val="26"/>
        </w:rPr>
      </w:pPr>
      <w:r>
        <w:rPr>
          <w:sz w:val="26"/>
        </w:rPr>
        <w:t xml:space="preserve">California Parties support the calculation of interest against refunds and maintain that Commission precedent requires an interest calculation.  Sellers believe that if interest charges are assessed that they should be assessed symmetrically to refunded amounts and to amounts past due.  We will direct the calculation of interest on both refunds and receivables past due, pursuant to the methodology for the calculation of interest under Section 35.19a of the Code of Federal Regulations.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D.</w:t>
        <w:tab/>
      </w:r>
      <w:r>
        <w:rPr>
          <w:sz w:val="26"/>
          <w:u w:val="single"/>
        </w:rPr>
        <w:t>Evidentiary Hearing Proceeding</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pPr>
      <w:r>
        <w:rPr>
          <w:sz w:val="26"/>
        </w:rPr>
        <w:t>The Chief Judge's Report stated that the differences between what the purchasers and the sellers in the California market believe are owed in refunds raise material issues of fact and recommended an evidentiary hearing be ordered in this proceeding.  Several parties commented that there were no issues of material fact because there had been no offer of settlement requiring litigation, and urged the Commission to continue the settlement process.</w:t>
      </w:r>
      <w:r>
        <w:rPr>
          <w:rStyle w:val="FootnoteCharacters"/>
          <w:rStyle w:val="FootnoteReference"/>
          <w:b/>
          <w:sz w:val="31"/>
          <w:vertAlign w:val="superscript"/>
        </w:rPr>
        <w:footnoteReference w:id="72"/>
      </w:r>
      <w:r>
        <w:rPr>
          <w:sz w:val="26"/>
        </w:rPr>
        <w:t xml:space="preserve">  Others commented that the Commission has sufficient record evidence to support a refund remedy and believed there is no need for a hearing to determine the methodology.</w:t>
      </w:r>
      <w:r>
        <w:rPr>
          <w:rStyle w:val="FootnoteCharacters"/>
          <w:rStyle w:val="FootnoteReference"/>
          <w:b/>
          <w:sz w:val="31"/>
          <w:vertAlign w:val="superscript"/>
        </w:rPr>
        <w:footnoteReference w:id="73"/>
      </w:r>
      <w:r>
        <w:rPr>
          <w:sz w:val="26"/>
        </w:rPr>
        <w:t xml:space="preserve">  Still others supported the Chief Judge's conclusion but recommended various methods to limit the scope of further proceedings.</w:t>
      </w:r>
      <w:r>
        <w:rPr>
          <w:rStyle w:val="FootnoteCharacters"/>
          <w:rStyle w:val="FootnoteReference"/>
          <w:b/>
          <w:sz w:val="31"/>
          <w:vertAlign w:val="superscript"/>
        </w:rPr>
        <w:footnoteReference w:id="74"/>
      </w:r>
      <w:r>
        <w:rPr>
          <w:sz w:val="26"/>
        </w:rPr>
        <w:t xml:space="preserve">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The Commission agrees that, despite the voluminous record accumulated in this proceeding to date, material issues of fact remain that prevent the Commission from ordering refunds at this time.  We believe that the most orderly and expeditious method of determining what refunds are owed will be to convene an evidentiary hearing before an Administrative Law Judge.  Accordingly, the Commission will establish an evidentiary hearing to further develop the factual record so that the refund methodology presented in this order may be implemented, to be convened by Administrative Law Judge Birchman.  The scope of the hearing will be limited to the collection of data needed to apply the refund methodology prescribed herein; we will direct Judge Birchman not to entertain any arguments relating to the methodology or the scope of transactions subject to refunds, except as otherwise indicated in this order.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In order to develop the factual record , the ISO will be directed to provide Judge Birchman with a re-creation of the mitigated prices that result from using the methodology described herein for every hour from October 2, 2000 through June 20, 2001, within fifteen days of the date this order is issued.  The ISO and PX are further directed to rerun their settlement/billing process as described above and provide this data to Judge Birchman.</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We will direct Judge Birchman to make findings of fact with respect to:  (1) the mitigated price in each hour of the refund period; (2) the amount of refunds owed by each supplier according to the methodology established herein; and (3) the amount currently owed to each supplier (with separate quantities due from each entity) by the ISO, the investor owned utilities, and the State of California.  We will require the judge to certify findings of fact to the Commission, without an initial decision, by no later than 45 days after the date that the ISO provides this data.</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720" w:start="720" w:end="0"/>
        <w:rPr/>
      </w:pPr>
      <w:r>
        <w:rPr>
          <w:sz w:val="26"/>
        </w:rPr>
        <w:t>E.</w:t>
        <w:tab/>
      </w:r>
      <w:r>
        <w:rPr>
          <w:sz w:val="26"/>
          <w:u w:val="single"/>
        </w:rPr>
        <w:t>Pacific Northwest Proceeding</w:t>
      </w:r>
    </w:p>
    <w:p>
      <w:pPr>
        <w:pStyle w:val="Normal"/>
        <w:widowControl/>
        <w:tabs>
          <w:tab w:val="clear" w:pos="720"/>
          <w:tab w:val="left" w:pos="-1440" w:leader="none"/>
        </w:tabs>
        <w:rPr>
          <w:sz w:val="26"/>
          <w:u w:val="single"/>
        </w:rPr>
      </w:pPr>
      <w:r>
        <w:rPr>
          <w:sz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 xml:space="preserve">The Chief Judge noted that there was little time to address the issues raised by the Pacific Northwest Parties.  Moreover, these parties did not have data on what they claim they were owed, nor on an amount of refunds due them.  The Chief Judge requested comments on the necessity of convening subsequent settlement conferences to address the issues.  Comments jointly filed by Pacific Northwest Net Purchasers state that there was inadequate time either to document the harm suffered, or to engage in meaningful settlement discussions with affected sellers.  Given these circumstances, they request additional process on this matter.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Spot market sales outside of California were not based on bids into an auction, and instead were made through bilateral contracts.</w:t>
      </w:r>
      <w:r>
        <w:rPr>
          <w:rStyle w:val="FootnoteCharacters"/>
          <w:rStyle w:val="FootnoteReference"/>
          <w:b/>
          <w:sz w:val="31"/>
          <w:vertAlign w:val="superscript"/>
        </w:rPr>
        <w:footnoteReference w:id="75"/>
      </w:r>
      <w:r>
        <w:rPr>
          <w:sz w:val="26"/>
        </w:rPr>
        <w:t xml:space="preserve">  Many commenters note the enormity of attempting to unravel such transactions retroactively.  Still others claim that this task must be undertaken in order to put other parties on an equal footing with California.  In light of the complexities associated with these retroactive bilateral calculations and the absence of any further development of this issue in the settlement proceeding, and in recognition that the prior settlement proceeding focused primarily on  California, we will establish a separate preliminary evidentiary proceeding pertaining to the Northwest.  The proceeding is intended to facilitate development of a factual record on whether there may have been unjust and unreasonable charges for spot market bilateral sales in the Pacific Northwest for the period beginning December 25, 2000 through June 20, 2001. </w:t>
      </w:r>
      <w:r>
        <w:rPr>
          <w:rStyle w:val="FootnoteCharacters"/>
          <w:rStyle w:val="FootnoteReference"/>
          <w:b/>
          <w:sz w:val="31"/>
          <w:vertAlign w:val="superscript"/>
        </w:rPr>
        <w:footnoteReference w:id="76"/>
      </w:r>
      <w:r>
        <w:rPr>
          <w:sz w:val="26"/>
        </w:rPr>
        <w:t xml:space="preserve">  The record should establish the volume of the transactions, the identification of the net sellers and net buyers, the price and terms and conditions of the sales contracts, and the extent of potential refunds.  This will help the Commission to determine the extent to which the dysfunctions in the California markets may have affected decisions in the Pacific Northwest.  We also strongly encourage the parties to try to settle past accounts.  </w:t>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Accordingly, we direct all parties to the Puget Sound complaint proceeding to participate in the proceeding and to focus on settling past accounts related to spot market sales in the Pacific Northwest.  Interested parties to the SDG&amp;E proceeding may participate at their discretion.  We direct the Chief Administrative Law Judge or his designee to appoint a judge to convene a conference no later than August 2, 2001, and we require the parties to provide the data described above to the presiding judge no later than 15 days thereafter.  We direct the presiding judge to complete discussions within 30 days following the submission of this data.  The judge shall make a recommendation and certify the record and findings of fact to the Commission within 7 days after the close of the discussions.</w:t>
      </w:r>
      <w:r>
        <w:rPr>
          <w:rStyle w:val="FootnoteCharacters"/>
          <w:rStyle w:val="FootnoteReference"/>
          <w:b/>
          <w:sz w:val="31"/>
          <w:vertAlign w:val="superscript"/>
        </w:rPr>
        <w:footnoteReference w:id="77"/>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pPr>
      <w:r>
        <w:rPr>
          <w:sz w:val="26"/>
          <w:u w:val="single"/>
        </w:rPr>
        <w:t>The Commission orders</w:t>
      </w:r>
      <w:r>
        <w:rPr>
          <w:sz w:val="26"/>
        </w:rPr>
        <w: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720" w:start="1440" w:end="0"/>
        <w:rPr>
          <w:sz w:val="26"/>
        </w:rPr>
      </w:pPr>
      <w:r>
        <w:rPr>
          <w:sz w:val="26"/>
        </w:rPr>
        <w:t>(A)</w:t>
        <w:tab/>
        <w:t xml:space="preserve">Pursuant to the authority contained in and subject to the jurisdiction </w:t>
      </w:r>
    </w:p>
    <w:p>
      <w:pPr>
        <w:pStyle w:val="Normal"/>
        <w:widowControl/>
        <w:tabs>
          <w:tab w:val="clear" w:pos="720"/>
          <w:tab w:val="left" w:pos="-1440" w:leader="none"/>
        </w:tabs>
        <w:rPr>
          <w:sz w:val="26"/>
        </w:rPr>
      </w:pPr>
      <w:r>
        <w:rPr>
          <w:sz w:val="26"/>
        </w:rPr>
        <w:t>conferred upon the Federal Energy Regulatory Commission by Section 402(a) of the Department of Energy Organization Act and the Federal Power Act, particularly sections 205 and 206 thereof, and pursuant to the Commission's Rules of Practice and Procedure and the regulations under the Federal Power Act (18 C.F.R. Chapter I), a public hearing shall be held in Docket Nos. EL00-95-031 and EL00-98-030 concerning refund amounts, as discussed in the body of this order.</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(B)</w:t>
        <w:tab/>
        <w:t>Administrative Law Judge Birchman shall convene a conference in this proceeding, to be held as soon as practicable after the date of this order, in a hearing room of the Federal Energy Regulatory Commission, 888 First Street, N.E., Washington, D.C.  20426.  Such conference shall be held for the purpose of establishing a procedural schedule.  The presiding judge is authorized to establish procedural dates, and to rule on all motions (except motions to dismiss) as provided in the Commission's Rules of Practice and Procedure.</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(C)</w:t>
        <w:tab/>
        <w:t>The ISO is hereby directed to provide Judge Birchman with data, as discussed in the body of this order.  Judge Birchman is hereby directed to certify the record and findings of fact to the Commission no later than 45 days after such data is provided.</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(D)</w:t>
        <w:tab/>
        <w:t xml:space="preserve">The parties to the proceeding in Docket No. EL01-10-000 are hereby directed to participate in discussions before an Administrative Law Judge, to be designated by the Chief Administrative Law Judge, as discussed in the body of this order.  </w:t>
      </w:r>
    </w:p>
    <w:p>
      <w:pPr>
        <w:pStyle w:val="Normal"/>
        <w:widowControl/>
        <w:tabs>
          <w:tab w:val="clear" w:pos="720"/>
          <w:tab w:val="left" w:pos="-1440" w:leader="none"/>
        </w:tabs>
        <w:ind w:firstLine="720" w:end="0"/>
        <w:rPr>
          <w:sz w:val="26"/>
        </w:rPr>
      </w:pPr>
      <w:r>
        <w:rPr>
          <w:sz w:val="26"/>
        </w:rPr>
        <w:t>(E)</w:t>
        <w:tab/>
        <w:t>No later than 7 days after the completion of discussions in Docket No. EL01-10-000, the designated judge shall make a recommendation to the Commission.</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pPr>
      <w:r>
        <w:rPr>
          <w:sz w:val="26"/>
        </w:rPr>
        <w:t>(F)</w:t>
        <w:tab/>
        <w:t>Requests for rehearing of the November 1 Order regarding the Commission's retroactive refund authority (</w:t>
      </w:r>
      <w:r>
        <w:rPr>
          <w:sz w:val="26"/>
          <w:u w:val="single"/>
        </w:rPr>
        <w:t>i.e.</w:t>
      </w:r>
      <w:r>
        <w:rPr>
          <w:sz w:val="26"/>
        </w:rPr>
        <w:t xml:space="preserve">, refund authority prior to October 2, 2000) are hereby denied.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firstLine="720" w:end="0"/>
        <w:rPr>
          <w:sz w:val="26"/>
        </w:rPr>
      </w:pPr>
      <w:r>
        <w:rPr>
          <w:sz w:val="26"/>
        </w:rPr>
        <w:t>(G)</w:t>
        <w:tab/>
        <w:t>Requests for rehearing of the March 9 Refund Order regarding the Commission's authority to require refunds from non-public utilities and regarding the application of price mitigation during all hours are hereby granted.</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720" w:start="1440" w:end="0"/>
        <w:rPr>
          <w:sz w:val="26"/>
        </w:rPr>
      </w:pPr>
      <w:r>
        <w:rPr>
          <w:sz w:val="26"/>
        </w:rPr>
        <w:t>(H)</w:t>
        <w:tab/>
        <w:t>The Oversight Board's March 1 motion is hereby denied.</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(I)</w:t>
        <w:tab/>
        <w:t>The request for rehearing of the December 15 Order filed by Southern California Water Company is hereby dismissed.</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(J)</w:t>
        <w:tab/>
        <w:t>The request for rehearing of the March 9 Order filed by American Public Power Association is hereby dismissed.</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By the Commission.  Commissioner Massey dissented in part and concurred</w:t>
      </w:r>
    </w:p>
    <w:p>
      <w:pPr>
        <w:pStyle w:val="Normal"/>
        <w:widowControl/>
        <w:tabs>
          <w:tab w:val="clear" w:pos="720"/>
          <w:tab w:val="left" w:pos="-1440" w:leader="none"/>
        </w:tabs>
        <w:rPr>
          <w:sz w:val="26"/>
        </w:rPr>
      </w:pPr>
      <w:r>
        <w:rPr>
          <w:sz w:val="26"/>
        </w:rPr>
        <w:t xml:space="preserve">                                  </w:t>
      </w:r>
      <w:r>
        <w:rPr>
          <w:sz w:val="26"/>
        </w:rPr>
        <w:t>in part with a separate statement attached.</w:t>
      </w:r>
    </w:p>
    <w:p>
      <w:pPr>
        <w:pStyle w:val="Normal"/>
        <w:widowControl/>
        <w:tabs>
          <w:tab w:val="clear" w:pos="720"/>
          <w:tab w:val="left" w:pos="-1440" w:leader="none"/>
        </w:tabs>
        <w:rPr>
          <w:sz w:val="26"/>
        </w:rPr>
      </w:pPr>
      <w:r>
        <w:rPr>
          <w:sz w:val="26"/>
        </w:rPr>
        <w:t xml:space="preserve">( S E A L )                 Commissioners Breathitt and Massey jointly dissented </w:t>
      </w:r>
    </w:p>
    <w:p>
      <w:pPr>
        <w:pStyle w:val="Normal"/>
        <w:widowControl/>
        <w:tabs>
          <w:tab w:val="clear" w:pos="720"/>
          <w:tab w:val="left" w:pos="-1440" w:leader="none"/>
        </w:tabs>
        <w:rPr>
          <w:sz w:val="26"/>
        </w:rPr>
      </w:pPr>
      <w:r>
        <w:rPr>
          <w:sz w:val="26"/>
        </w:rPr>
        <w:t xml:space="preserve">                                  </w:t>
      </w:r>
      <w:r>
        <w:rPr>
          <w:sz w:val="26"/>
        </w:rPr>
        <w:t>in part with a separate statement attached.</w:t>
      </w:r>
    </w:p>
    <w:p>
      <w:pPr>
        <w:pStyle w:val="Normal"/>
        <w:widowControl/>
        <w:tabs>
          <w:tab w:val="clear" w:pos="720"/>
          <w:tab w:val="left" w:pos="-1440" w:leader="none"/>
        </w:tabs>
        <w:rPr>
          <w:sz w:val="26"/>
        </w:rPr>
      </w:pPr>
      <w:r>
        <w:rPr>
          <w:sz w:val="26"/>
        </w:rPr>
        <w:t xml:space="preserve">                                  </w:t>
      </w:r>
      <w:r>
        <w:rPr>
          <w:sz w:val="26"/>
        </w:rPr>
        <w:t>Commissioner Breathitt dissented in part with a separate</w:t>
      </w:r>
    </w:p>
    <w:p>
      <w:pPr>
        <w:pStyle w:val="Normal"/>
        <w:widowControl/>
        <w:tabs>
          <w:tab w:val="clear" w:pos="720"/>
          <w:tab w:val="left" w:pos="-1440" w:leader="none"/>
        </w:tabs>
        <w:rPr>
          <w:sz w:val="26"/>
        </w:rPr>
      </w:pPr>
      <w:r>
        <w:rPr>
          <w:sz w:val="26"/>
        </w:rPr>
        <w:t xml:space="preserve">                                  </w:t>
      </w:r>
      <w:r>
        <w:rPr>
          <w:sz w:val="26"/>
        </w:rPr>
        <w:t>statement attached.</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5040" w:end="0"/>
        <w:rPr>
          <w:sz w:val="26"/>
        </w:rPr>
      </w:pPr>
      <w:r>
        <w:rPr>
          <w:sz w:val="26"/>
        </w:rPr>
        <w:t>David P. Boergers,</w:t>
      </w:r>
    </w:p>
    <w:p>
      <w:pPr>
        <w:pStyle w:val="Normal"/>
        <w:widowControl/>
        <w:tabs>
          <w:tab w:val="clear" w:pos="720"/>
          <w:tab w:val="left" w:pos="-1440" w:leader="none"/>
        </w:tabs>
        <w:ind w:firstLine="5040" w:end="0"/>
        <w:rPr>
          <w:sz w:val="26"/>
        </w:rPr>
      </w:pPr>
      <w:r>
        <w:rPr>
          <w:sz w:val="26"/>
        </w:rPr>
        <w:t xml:space="preserve">      </w:t>
      </w:r>
      <w:r>
        <w:rPr>
          <w:sz w:val="26"/>
        </w:rPr>
        <w:t>Secretary.</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pPr>
      <w:r>
        <w:rPr>
          <w:rFonts w:cs="Courier New" w:ascii="Courier New" w:hAnsi="Courier New"/>
        </w:rPr>
        <w:tab/>
      </w:r>
      <w:r>
        <w:rPr>
          <w:sz w:val="26"/>
        </w:rPr>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San Diego Gas &amp; Electric Company,</w:t>
      </w:r>
    </w:p>
    <w:p>
      <w:pPr>
        <w:pStyle w:val="Normal"/>
        <w:widowControl/>
        <w:tabs>
          <w:tab w:val="clear" w:pos="720"/>
          <w:tab w:val="left" w:pos="-1440" w:leader="none"/>
        </w:tabs>
        <w:ind w:firstLine="1440" w:end="0"/>
        <w:rPr>
          <w:sz w:val="26"/>
        </w:rPr>
      </w:pPr>
      <w:r>
        <w:rPr>
          <w:sz w:val="26"/>
        </w:rPr>
        <w:t>Complainant,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5040" w:start="6480" w:end="0"/>
        <w:rPr>
          <w:sz w:val="26"/>
        </w:rPr>
      </w:pPr>
      <w:r>
        <w:rPr>
          <w:sz w:val="26"/>
        </w:rPr>
        <w:t>v.</w:t>
        <w:tab/>
        <w:tab/>
        <w:tab/>
        <w:tab/>
        <w:tab/>
        <w:tab/>
        <w:tab/>
        <w:t>Docket Nos. EL00-95-004</w:t>
      </w:r>
    </w:p>
    <w:p>
      <w:pPr>
        <w:pStyle w:val="Normal"/>
        <w:widowControl/>
        <w:tabs>
          <w:tab w:val="clear" w:pos="720"/>
          <w:tab w:val="left" w:pos="-1440" w:leader="none"/>
        </w:tabs>
        <w:ind w:start="7200" w:end="0"/>
        <w:rPr>
          <w:sz w:val="26"/>
        </w:rPr>
      </w:pPr>
      <w:r>
        <w:rPr>
          <w:sz w:val="26"/>
        </w:rPr>
        <w:t xml:space="preserve">          </w:t>
      </w:r>
      <w:r>
        <w:rPr>
          <w:sz w:val="26"/>
        </w:rPr>
        <w:t>EL00-95-005</w:t>
      </w:r>
    </w:p>
    <w:p>
      <w:pPr>
        <w:pStyle w:val="Normal"/>
        <w:widowControl/>
        <w:tabs>
          <w:tab w:val="clear" w:pos="720"/>
          <w:tab w:val="left" w:pos="-1440" w:leader="none"/>
        </w:tabs>
        <w:ind w:start="7200" w:end="0"/>
        <w:rPr>
          <w:sz w:val="26"/>
        </w:rPr>
      </w:pPr>
      <w:r>
        <w:rPr>
          <w:sz w:val="26"/>
        </w:rPr>
        <w:t xml:space="preserve">          </w:t>
      </w:r>
      <w:r>
        <w:rPr>
          <w:sz w:val="26"/>
        </w:rPr>
        <w:t>EL00-95-019</w:t>
      </w:r>
    </w:p>
    <w:p>
      <w:pPr>
        <w:pStyle w:val="Normal"/>
        <w:widowControl/>
        <w:tabs>
          <w:tab w:val="clear" w:pos="720"/>
          <w:tab w:val="left" w:pos="-1440" w:leader="none"/>
        </w:tabs>
        <w:ind w:start="7200" w:end="0"/>
        <w:rPr>
          <w:sz w:val="26"/>
        </w:rPr>
      </w:pPr>
      <w:r>
        <w:rPr>
          <w:sz w:val="26"/>
        </w:rPr>
        <w:t xml:space="preserve">          </w:t>
      </w:r>
      <w:r>
        <w:rPr>
          <w:sz w:val="26"/>
        </w:rPr>
        <w:t>EL00-95-031</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Sellers of Energy and Ancillary Services Into</w:t>
      </w:r>
    </w:p>
    <w:p>
      <w:pPr>
        <w:pStyle w:val="Normal"/>
        <w:widowControl/>
        <w:tabs>
          <w:tab w:val="clear" w:pos="720"/>
          <w:tab w:val="left" w:pos="-1440" w:leader="none"/>
        </w:tabs>
        <w:rPr>
          <w:sz w:val="26"/>
        </w:rPr>
      </w:pPr>
      <w:r>
        <w:rPr>
          <w:sz w:val="26"/>
        </w:rPr>
        <w:t>Markets Operated by the California</w:t>
      </w:r>
    </w:p>
    <w:p>
      <w:pPr>
        <w:pStyle w:val="Normal"/>
        <w:widowControl/>
        <w:tabs>
          <w:tab w:val="clear" w:pos="720"/>
          <w:tab w:val="left" w:pos="-1440" w:leader="none"/>
        </w:tabs>
        <w:rPr>
          <w:sz w:val="26"/>
        </w:rPr>
      </w:pPr>
      <w:r>
        <w:rPr>
          <w:sz w:val="26"/>
        </w:rPr>
        <w:t>Independent System Operator Corporation and the</w:t>
      </w:r>
    </w:p>
    <w:p>
      <w:pPr>
        <w:pStyle w:val="Normal"/>
        <w:widowControl/>
        <w:tabs>
          <w:tab w:val="clear" w:pos="720"/>
          <w:tab w:val="left" w:pos="-1440" w:leader="none"/>
        </w:tabs>
        <w:rPr>
          <w:sz w:val="26"/>
        </w:rPr>
      </w:pPr>
      <w:r>
        <w:rPr>
          <w:sz w:val="26"/>
        </w:rPr>
        <w:t>California Power Exchange,</w:t>
      </w:r>
    </w:p>
    <w:p>
      <w:pPr>
        <w:pStyle w:val="Normal"/>
        <w:widowControl/>
        <w:tabs>
          <w:tab w:val="clear" w:pos="720"/>
          <w:tab w:val="left" w:pos="-1440" w:leader="none"/>
        </w:tabs>
        <w:ind w:start="1440" w:end="0"/>
        <w:rPr>
          <w:sz w:val="26"/>
        </w:rPr>
      </w:pPr>
      <w:r>
        <w:rPr>
          <w:sz w:val="26"/>
        </w:rPr>
        <w:t>Respondents.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6480" w:start="6480" w:end="0"/>
        <w:rPr>
          <w:sz w:val="26"/>
        </w:rPr>
      </w:pPr>
      <w:r>
        <w:rPr>
          <w:sz w:val="26"/>
        </w:rPr>
        <w:t>Investigation of Practices of the California</w:t>
        <w:tab/>
        <w:tab/>
        <w:tab/>
        <w:t>Docket Nos. EL00-98-004</w:t>
      </w:r>
    </w:p>
    <w:p>
      <w:pPr>
        <w:pStyle w:val="Normal"/>
        <w:widowControl/>
        <w:tabs>
          <w:tab w:val="clear" w:pos="720"/>
          <w:tab w:val="left" w:pos="-1440" w:leader="none"/>
        </w:tabs>
        <w:ind w:hanging="7200" w:start="7200" w:end="0"/>
        <w:rPr>
          <w:sz w:val="26"/>
        </w:rPr>
      </w:pPr>
      <w:r>
        <w:rPr>
          <w:sz w:val="26"/>
        </w:rPr>
        <w:t xml:space="preserve">  </w:t>
      </w:r>
      <w:r>
        <w:rPr>
          <w:sz w:val="26"/>
        </w:rPr>
        <w:t>Independent System Operator and the</w:t>
        <w:tab/>
        <w:tab/>
        <w:tab/>
        <w:tab/>
        <w:tab/>
        <w:t xml:space="preserve">          EL00-98-005</w:t>
      </w:r>
    </w:p>
    <w:p>
      <w:pPr>
        <w:pStyle w:val="Normal"/>
        <w:widowControl/>
        <w:tabs>
          <w:tab w:val="clear" w:pos="720"/>
          <w:tab w:val="left" w:pos="-1440" w:leader="none"/>
        </w:tabs>
        <w:ind w:hanging="7200" w:start="7200" w:end="0"/>
        <w:rPr>
          <w:sz w:val="26"/>
        </w:rPr>
      </w:pPr>
      <w:r>
        <w:rPr>
          <w:sz w:val="26"/>
        </w:rPr>
        <w:t xml:space="preserve">  </w:t>
      </w:r>
      <w:r>
        <w:rPr>
          <w:sz w:val="26"/>
        </w:rPr>
        <w:t>California Power Exchange</w:t>
        <w:tab/>
        <w:tab/>
        <w:tab/>
        <w:tab/>
        <w:tab/>
        <w:tab/>
        <w:t xml:space="preserve">          EL00-98–018</w:t>
      </w:r>
    </w:p>
    <w:p>
      <w:pPr>
        <w:pStyle w:val="Normal"/>
        <w:widowControl/>
        <w:tabs>
          <w:tab w:val="clear" w:pos="720"/>
          <w:tab w:val="left" w:pos="-1440" w:leader="none"/>
        </w:tabs>
        <w:ind w:start="7200" w:end="0"/>
        <w:rPr>
          <w:sz w:val="26"/>
        </w:rPr>
      </w:pPr>
      <w:r>
        <w:rPr>
          <w:sz w:val="26"/>
        </w:rPr>
        <w:t xml:space="preserve">          </w:t>
      </w:r>
      <w:r>
        <w:rPr>
          <w:sz w:val="26"/>
        </w:rPr>
        <w:t>EL00-98-030</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Puget Sound Energy, Inc.,</w:t>
      </w:r>
    </w:p>
    <w:p>
      <w:pPr>
        <w:pStyle w:val="Normal"/>
        <w:widowControl/>
        <w:tabs>
          <w:tab w:val="clear" w:pos="720"/>
          <w:tab w:val="center" w:pos="4680" w:leader="none"/>
        </w:tabs>
        <w:ind w:start="1440" w:end="0"/>
        <w:rPr>
          <w:sz w:val="26"/>
        </w:rPr>
      </w:pPr>
      <w:r>
        <w:rPr>
          <w:sz w:val="26"/>
        </w:rPr>
        <w:t>Complainant,</w:t>
        <w:tab/>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5040" w:start="6480" w:end="0"/>
        <w:rPr>
          <w:sz w:val="26"/>
        </w:rPr>
      </w:pPr>
      <w:r>
        <w:rPr>
          <w:sz w:val="26"/>
        </w:rPr>
        <w:t>v.</w:t>
        <w:tab/>
        <w:tab/>
        <w:tab/>
        <w:tab/>
        <w:tab/>
        <w:tab/>
        <w:tab/>
        <w:t>Docket Nos. EL01-10-000</w:t>
      </w:r>
    </w:p>
    <w:p>
      <w:pPr>
        <w:pStyle w:val="Normal"/>
        <w:widowControl/>
        <w:tabs>
          <w:tab w:val="clear" w:pos="720"/>
          <w:tab w:val="left" w:pos="-1440" w:leader="none"/>
        </w:tabs>
        <w:ind w:start="7200" w:end="0"/>
        <w:rPr>
          <w:sz w:val="26"/>
        </w:rPr>
      </w:pPr>
      <w:r>
        <w:rPr>
          <w:sz w:val="26"/>
        </w:rPr>
        <w:t xml:space="preserve">          </w:t>
      </w:r>
      <w:r>
        <w:rPr>
          <w:sz w:val="26"/>
        </w:rPr>
        <w:t>EL01-10-001</w:t>
      </w:r>
    </w:p>
    <w:p>
      <w:pPr>
        <w:pStyle w:val="Normal"/>
        <w:widowControl/>
        <w:tabs>
          <w:tab w:val="clear" w:pos="720"/>
          <w:tab w:val="left" w:pos="-1440" w:leader="none"/>
        </w:tabs>
        <w:rPr>
          <w:sz w:val="26"/>
        </w:rPr>
      </w:pPr>
      <w:r>
        <w:rPr>
          <w:sz w:val="26"/>
        </w:rPr>
        <w:t>All Jurisdictional Sellers of Energy and/or Capacity</w:t>
      </w:r>
    </w:p>
    <w:p>
      <w:pPr>
        <w:pStyle w:val="Normal"/>
        <w:widowControl/>
        <w:tabs>
          <w:tab w:val="clear" w:pos="720"/>
          <w:tab w:val="left" w:pos="-1440" w:leader="none"/>
        </w:tabs>
        <w:rPr>
          <w:sz w:val="26"/>
        </w:rPr>
      </w:pPr>
      <w:r>
        <w:rPr>
          <w:sz w:val="26"/>
        </w:rPr>
        <w:t xml:space="preserve">  </w:t>
      </w:r>
      <w:r>
        <w:rPr>
          <w:sz w:val="26"/>
        </w:rPr>
        <w:t>at Wholesale Into Electric Energy and/or Capacity</w:t>
      </w:r>
    </w:p>
    <w:p>
      <w:pPr>
        <w:pStyle w:val="Normal"/>
        <w:widowControl/>
        <w:tabs>
          <w:tab w:val="clear" w:pos="720"/>
          <w:tab w:val="left" w:pos="-1440" w:leader="none"/>
        </w:tabs>
        <w:rPr>
          <w:sz w:val="26"/>
        </w:rPr>
      </w:pPr>
      <w:r>
        <w:rPr>
          <w:sz w:val="26"/>
        </w:rPr>
        <w:t xml:space="preserve">  </w:t>
      </w:r>
      <w:r>
        <w:rPr>
          <w:sz w:val="26"/>
        </w:rPr>
        <w:t>Markets in the Pacific Northwest, Including Parties</w:t>
      </w:r>
    </w:p>
    <w:p>
      <w:pPr>
        <w:pStyle w:val="Normal"/>
        <w:widowControl/>
        <w:tabs>
          <w:tab w:val="clear" w:pos="720"/>
          <w:tab w:val="left" w:pos="-1440" w:leader="none"/>
        </w:tabs>
        <w:rPr>
          <w:sz w:val="26"/>
        </w:rPr>
      </w:pPr>
      <w:r>
        <w:rPr>
          <w:sz w:val="26"/>
        </w:rPr>
        <w:t xml:space="preserve">  </w:t>
      </w:r>
      <w:r>
        <w:rPr>
          <w:sz w:val="26"/>
        </w:rPr>
        <w:t>to the Western Systems Power Pool Agreement,</w:t>
      </w:r>
    </w:p>
    <w:p>
      <w:pPr>
        <w:pStyle w:val="Normal"/>
        <w:widowControl/>
        <w:tabs>
          <w:tab w:val="clear" w:pos="720"/>
          <w:tab w:val="left" w:pos="-1440" w:leader="none"/>
        </w:tabs>
        <w:ind w:start="1440" w:end="0"/>
        <w:rPr>
          <w:sz w:val="26"/>
        </w:rPr>
      </w:pPr>
      <w:r>
        <w:rPr>
          <w:sz w:val="26"/>
        </w:rPr>
        <w:t>Respondents.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center" w:pos="4680" w:leader="none"/>
        </w:tabs>
        <w:rPr>
          <w:sz w:val="26"/>
        </w:rPr>
      </w:pPr>
      <w:r>
        <w:rPr>
          <w:sz w:val="26"/>
        </w:rPr>
        <w:tab/>
        <w:t>(Issued July 25, 2001)</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pPr>
      <w:r>
        <w:rPr>
          <w:sz w:val="26"/>
        </w:rPr>
        <w:t xml:space="preserve">MASSEY, Commissioner, </w:t>
      </w:r>
      <w:r>
        <w:rPr>
          <w:sz w:val="26"/>
          <w:u w:val="single"/>
        </w:rPr>
        <w:t>dissenting in part and concurring in part</w:t>
      </w:r>
      <w:r>
        <w:rPr>
          <w:sz w:val="26"/>
        </w:rPr>
        <w: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tabs>
          <w:tab w:val="clear" w:pos="720"/>
          <w:tab w:val="center" w:pos="4680" w:leader="none"/>
        </w:tabs>
        <w:rPr>
          <w:sz w:val="26"/>
        </w:rPr>
      </w:pPr>
      <w:r>
        <w:rPr>
          <w:sz w:val="26"/>
        </w:rPr>
        <w:tab/>
        <w:t>-2-</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I am pleased that the Commission today addresses head on the tough issue of refunds for the victims that took the brunt of the wildly dysfunctional Western power market.  The issue comes back to us after a brief attempt by our Chief ALJ to bring the parties together in a voluntary settlement.  Judge Wagner did an admirable job under very difficult circumstances and we owe him our gratitude for the valiant effort.  But now it is time for the Commission to fulfill its responsibility to the customers of California and other parts of the West.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One of the issues where I disagree with the majority is extending a potential refund obligation to non-public utilities that are otherwise not jurisdictional.  Commissioner Breathitt and I are issuing a joint dissent on that issue today.</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Today's order also provides very specific guidance on how refunds are to be calculated back to October 2, 2000.  In essence, the order applies retrospectively the mitigation measures the Commission set out in our June 19th mitigation order with some adjustments recommended by Judge Wagner in his excellent report on the settlement negotiations.  Although I agree with many of the conclusions we reach, I disagree with some aspects of that guidance.</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My first area of disagreement is the use of daily spot gas prices as reported in various publications to determine the fuel cost component of the mitigated market clearing prices.  It simply is not clear to me that generators purchased gas at those spot prices to replace the gas used to generate electricity for sale into the spot markets.  And we do not have to guess at whether they did or not.  We are dealing with an historical locked in period for which expenses are known or knowable.  During that period, we can use actual fuel costs to determine the just and reasonable price, and we should do so.  In supporting the majority's decision to use a different gas index for the refund calculation than that used for the prospective mitigation, the order says that "the gas treatment in the June 19 order was intended to address and influence purchasing decision for prospective sales" and that "there is simply no support for requiring a similar treatment for retroactive application to past sales."  I agree with that.  We are not trying to influence future behavior in this order, but instead are determining just and reasonable prices for past periods and refunds for customers.  We should use the most accurate data we have, and that is actual fuel costs.  Therefore, I will dissent from this aspect of the order.</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I also object to the inclusion of a 10% creditworthiness adder in determining the mitigated market clearing price that will be used to calculate refunds.  I expressed concerns with including this adder as part of the Commission's forward looking price mitigation plan established in the June 19 order.  Today, I conclude that this adder is unnecessary in calculating refunds.  Prices skyrocketed in June 2000 and remained high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rPr>
      </w:pPr>
      <w:r>
        <w:rPr>
          <w:sz w:val="26"/>
        </w:rPr>
        <w:tab/>
        <w:t>-3-</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pPr>
      <w:r>
        <w:rPr>
          <w:sz w:val="26"/>
        </w:rPr>
        <w:t>for the better part of a year.  Indeed, the Commission found that conditions in the market "have caused, and continue to have the potential to cause, unjust and unreasonable rates...under certain conditions."</w:t>
      </w:r>
      <w:r>
        <w:rPr>
          <w:rStyle w:val="FootnoteCharacters"/>
          <w:rStyle w:val="FootnoteReference"/>
          <w:b/>
          <w:sz w:val="31"/>
          <w:vertAlign w:val="superscript"/>
        </w:rPr>
        <w:footnoteReference w:customMarkFollows="1" w:id="78"/>
        <w:t>1</w:t>
      </w:r>
      <w:r>
        <w:rPr>
          <w:sz w:val="26"/>
        </w:rPr>
        <w:t xml:space="preserve">  Yet today's order concludes that there is no opportunity for refunds for transactions before October 2, 2000.  I support that conclusion but it is clear that sellers charged prices that were not just and reasonable before that date.  The fact that there will be no refunds for sales before October 2, 2000  presents strong equity considerations influencing my conclusion that the creditworthiness adder is not necessary in this generous market.  Therefore, I will dissent from this aspect of the order.</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As a final note on the California portion of this order, I am concerned that the Commission still fails to address squarely  the issue of generation withholding during the refund period and before.  The market clearing prices for the refund period are determined by a method that uses the dispatch that actually occurred.  As some parties suggest here, the actual dispatches reflect the withholding of  more efficient units that drove up the market clearing price.  The record in this case contains a number of studies that indicate withholding.  Two that come to mind are those submitted by the ISO's director of market analysis, Dr. Anjali Sheffrin, and by Drs. Paul Joskow and Ed Kahn.  I find these studies instructive.  Today's order fails to take the issue of withholding into account in setting a refund formula.</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A separate concern is what could the Commission do if we found deliberate withholding in the California spot markets, or anywhere else for that matter.  In a section of the order dealing with whether we can go back before the October 2, 2000 date for refund liability, the order says we can do so only if the seller "did not charge the filed rate or violated statutory or regulatory requirements or rules in applicable rate tariffs."  My concern is that the Commission would not be able either to find that these conditions were violated or take other actions against sellers that deliberately withheld power from the market because, until April 26, 2001, there were no tariff conditions prohibiting withholding in western markets.  This is a major flaw in Commission policy.  The Commission must set the rules of the road in our tariffs.  As the Commission updates its standards for approving market based rates, we must include generic tariff conditions nationwide that prohibit this kind of bad behavior.  I urge my colleagues to consider prompt action to remedy this flaw.</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rPr>
      </w:pPr>
      <w:r>
        <w:rPr>
          <w:sz w:val="26"/>
        </w:rPr>
        <w:tab/>
        <w:t>-4-</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I have one final comment on today's order.  The order establishes a 15-day proceeding to facilitate development of a factual record on whether there may have been unjust and unreasonable charges for sales in the Pacific Northwest for the period beginning December 25, 2000.  This proceeding has its genesis in the complaint of Puget Sound Energy.  Buyers in the Northwest paid outrageous prices for power that caused much economic dislocation.  To that end, I am pleased that we finally take up the issue of bringing refund relief to that region.  The order states correctly that spot market sales in the Pacific Northwest may differ from the definition of a spot market sale in the California organized spot market.  I agree.  I believe spot sale in the Pacific Northwest  could include sales up to a month's duration or even longer.  I would be prepared formally  to grant rehearing and investigate the Puget complaint today, but it seems that today's  order charts an evidentiary path to reach this conclusion ultimately, and I concur with these provisions.</w:t>
      </w:r>
    </w:p>
    <w:p>
      <w:pPr>
        <w:pStyle w:val="Normal"/>
        <w:widowControl/>
        <w:tabs>
          <w:tab w:val="clear" w:pos="720"/>
          <w:tab w:val="left" w:pos="-1440" w:leader="none"/>
        </w:tabs>
        <w:rPr>
          <w:sz w:val="26"/>
        </w:rPr>
      </w:pPr>
      <w:r>
        <w:rPr>
          <w:sz w:val="26"/>
        </w:rPr>
        <w:t xml:space="preserve"> </w:t>
      </w:r>
    </w:p>
    <w:p>
      <w:pPr>
        <w:pStyle w:val="Normal"/>
        <w:widowControl/>
        <w:tabs>
          <w:tab w:val="clear" w:pos="720"/>
          <w:tab w:val="left" w:pos="-1440" w:leader="none"/>
        </w:tabs>
        <w:ind w:firstLine="720" w:end="0"/>
        <w:rPr>
          <w:sz w:val="26"/>
        </w:rPr>
      </w:pPr>
      <w:r>
        <w:rPr>
          <w:sz w:val="26"/>
        </w:rPr>
        <w:t>For these reasons, I dissent in part from, and concur in part with,  today's order.</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4320" w:end="0"/>
        <w:rPr>
          <w:sz w:val="26"/>
        </w:rPr>
      </w:pPr>
      <w:r>
        <w:rPr>
          <w:sz w:val="26"/>
        </w:rPr>
        <w:t>______________________________</w:t>
      </w:r>
    </w:p>
    <w:p>
      <w:pPr>
        <w:pStyle w:val="Normal"/>
        <w:widowControl/>
        <w:tabs>
          <w:tab w:val="clear" w:pos="720"/>
          <w:tab w:val="left" w:pos="-1440" w:leader="none"/>
        </w:tabs>
        <w:ind w:firstLine="4320" w:end="0"/>
        <w:rPr>
          <w:sz w:val="26"/>
        </w:rPr>
      </w:pPr>
      <w:r>
        <w:rPr>
          <w:sz w:val="26"/>
        </w:rPr>
        <w:t>William L. Massey</w:t>
      </w:r>
    </w:p>
    <w:p>
      <w:pPr>
        <w:pStyle w:val="Normal"/>
        <w:widowControl/>
        <w:tabs>
          <w:tab w:val="clear" w:pos="720"/>
          <w:tab w:val="left" w:pos="-1440" w:leader="none"/>
        </w:tabs>
        <w:ind w:firstLine="4320" w:end="0"/>
        <w:rPr>
          <w:sz w:val="26"/>
        </w:rPr>
      </w:pPr>
      <w:r>
        <w:rPr>
          <w:sz w:val="26"/>
        </w:rPr>
        <w:t>Commissioner</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pPr>
      <w:r>
        <w:rPr>
          <w:rFonts w:cs="Courier New" w:ascii="Courier New" w:hAnsi="Courier New"/>
        </w:rPr>
        <w:tab/>
      </w:r>
      <w:r>
        <w:rPr>
          <w:sz w:val="26"/>
        </w:rPr>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San Diego Gas &amp; Electric Company,</w:t>
      </w:r>
    </w:p>
    <w:p>
      <w:pPr>
        <w:pStyle w:val="Normal"/>
        <w:widowControl/>
        <w:tabs>
          <w:tab w:val="clear" w:pos="720"/>
          <w:tab w:val="left" w:pos="-1440" w:leader="none"/>
        </w:tabs>
        <w:ind w:firstLine="1440" w:end="0"/>
        <w:rPr>
          <w:sz w:val="26"/>
        </w:rPr>
      </w:pPr>
      <w:r>
        <w:rPr>
          <w:sz w:val="26"/>
        </w:rPr>
        <w:t>Complainant,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5040" w:start="6480" w:end="0"/>
        <w:rPr>
          <w:sz w:val="26"/>
        </w:rPr>
      </w:pPr>
      <w:r>
        <w:rPr>
          <w:sz w:val="26"/>
        </w:rPr>
        <w:t>v.</w:t>
        <w:tab/>
        <w:tab/>
        <w:tab/>
        <w:tab/>
        <w:tab/>
        <w:tab/>
        <w:tab/>
        <w:t>Docket Nos. EL00-95-004</w:t>
      </w:r>
    </w:p>
    <w:p>
      <w:pPr>
        <w:pStyle w:val="Normal"/>
        <w:widowControl/>
        <w:tabs>
          <w:tab w:val="clear" w:pos="720"/>
          <w:tab w:val="left" w:pos="-1440" w:leader="none"/>
        </w:tabs>
        <w:ind w:start="7200" w:end="0"/>
        <w:rPr>
          <w:sz w:val="26"/>
        </w:rPr>
      </w:pPr>
      <w:r>
        <w:rPr>
          <w:sz w:val="26"/>
        </w:rPr>
        <w:t xml:space="preserve">          </w:t>
      </w:r>
      <w:r>
        <w:rPr>
          <w:sz w:val="26"/>
        </w:rPr>
        <w:t>EL00-95-005</w:t>
      </w:r>
    </w:p>
    <w:p>
      <w:pPr>
        <w:pStyle w:val="Normal"/>
        <w:widowControl/>
        <w:tabs>
          <w:tab w:val="clear" w:pos="720"/>
          <w:tab w:val="left" w:pos="-1440" w:leader="none"/>
        </w:tabs>
        <w:ind w:start="7200" w:end="0"/>
        <w:rPr>
          <w:sz w:val="26"/>
        </w:rPr>
      </w:pPr>
      <w:r>
        <w:rPr>
          <w:sz w:val="26"/>
        </w:rPr>
        <w:t xml:space="preserve">          </w:t>
      </w:r>
      <w:r>
        <w:rPr>
          <w:sz w:val="26"/>
        </w:rPr>
        <w:t>EL00-95-019</w:t>
      </w:r>
    </w:p>
    <w:p>
      <w:pPr>
        <w:pStyle w:val="Normal"/>
        <w:widowControl/>
        <w:tabs>
          <w:tab w:val="clear" w:pos="720"/>
          <w:tab w:val="left" w:pos="-1440" w:leader="none"/>
        </w:tabs>
        <w:ind w:start="7200" w:end="0"/>
        <w:rPr>
          <w:sz w:val="26"/>
        </w:rPr>
      </w:pPr>
      <w:r>
        <w:rPr>
          <w:sz w:val="26"/>
        </w:rPr>
        <w:t xml:space="preserve">          </w:t>
      </w:r>
      <w:r>
        <w:rPr>
          <w:sz w:val="26"/>
        </w:rPr>
        <w:t>EL00-95-031</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Sellers of Energy and Ancillary Services Into</w:t>
      </w:r>
    </w:p>
    <w:p>
      <w:pPr>
        <w:pStyle w:val="Normal"/>
        <w:widowControl/>
        <w:tabs>
          <w:tab w:val="clear" w:pos="720"/>
          <w:tab w:val="left" w:pos="-1440" w:leader="none"/>
        </w:tabs>
        <w:rPr>
          <w:sz w:val="26"/>
        </w:rPr>
      </w:pPr>
      <w:r>
        <w:rPr>
          <w:sz w:val="26"/>
        </w:rPr>
        <w:t>Markets Operated by the California</w:t>
      </w:r>
    </w:p>
    <w:p>
      <w:pPr>
        <w:pStyle w:val="Normal"/>
        <w:widowControl/>
        <w:tabs>
          <w:tab w:val="clear" w:pos="720"/>
          <w:tab w:val="left" w:pos="-1440" w:leader="none"/>
        </w:tabs>
        <w:rPr>
          <w:sz w:val="26"/>
        </w:rPr>
      </w:pPr>
      <w:r>
        <w:rPr>
          <w:sz w:val="26"/>
        </w:rPr>
        <w:t>Independent System Operator Corporation and the</w:t>
      </w:r>
    </w:p>
    <w:p>
      <w:pPr>
        <w:pStyle w:val="Normal"/>
        <w:widowControl/>
        <w:tabs>
          <w:tab w:val="clear" w:pos="720"/>
          <w:tab w:val="left" w:pos="-1440" w:leader="none"/>
        </w:tabs>
        <w:rPr>
          <w:sz w:val="26"/>
        </w:rPr>
      </w:pPr>
      <w:r>
        <w:rPr>
          <w:sz w:val="26"/>
        </w:rPr>
        <w:t>California Power Exchange,</w:t>
      </w:r>
    </w:p>
    <w:p>
      <w:pPr>
        <w:pStyle w:val="Normal"/>
        <w:widowControl/>
        <w:tabs>
          <w:tab w:val="clear" w:pos="720"/>
          <w:tab w:val="left" w:pos="-1440" w:leader="none"/>
        </w:tabs>
        <w:ind w:start="1440" w:end="0"/>
        <w:rPr>
          <w:sz w:val="26"/>
        </w:rPr>
      </w:pPr>
      <w:r>
        <w:rPr>
          <w:sz w:val="26"/>
        </w:rPr>
        <w:t>Respondents.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6480" w:start="6480" w:end="0"/>
        <w:rPr>
          <w:sz w:val="26"/>
        </w:rPr>
      </w:pPr>
      <w:r>
        <w:rPr>
          <w:sz w:val="26"/>
        </w:rPr>
        <w:t>Investigation of Practices of the California</w:t>
        <w:tab/>
        <w:tab/>
        <w:tab/>
        <w:t>Docket Nos. EL00-98-004</w:t>
      </w:r>
    </w:p>
    <w:p>
      <w:pPr>
        <w:pStyle w:val="Normal"/>
        <w:widowControl/>
        <w:tabs>
          <w:tab w:val="clear" w:pos="720"/>
          <w:tab w:val="left" w:pos="-1440" w:leader="none"/>
        </w:tabs>
        <w:ind w:hanging="7200" w:start="7200" w:end="0"/>
        <w:rPr>
          <w:sz w:val="26"/>
        </w:rPr>
      </w:pPr>
      <w:r>
        <w:rPr>
          <w:sz w:val="26"/>
        </w:rPr>
        <w:t xml:space="preserve">  </w:t>
      </w:r>
      <w:r>
        <w:rPr>
          <w:sz w:val="26"/>
        </w:rPr>
        <w:t>Independent System Operator and the</w:t>
        <w:tab/>
        <w:tab/>
        <w:tab/>
        <w:tab/>
        <w:tab/>
        <w:t xml:space="preserve">          EL00-98-005</w:t>
      </w:r>
    </w:p>
    <w:p>
      <w:pPr>
        <w:pStyle w:val="Normal"/>
        <w:widowControl/>
        <w:tabs>
          <w:tab w:val="clear" w:pos="720"/>
          <w:tab w:val="left" w:pos="-1440" w:leader="none"/>
        </w:tabs>
        <w:ind w:hanging="7200" w:start="7200" w:end="0"/>
        <w:rPr>
          <w:sz w:val="26"/>
        </w:rPr>
      </w:pPr>
      <w:r>
        <w:rPr>
          <w:sz w:val="26"/>
        </w:rPr>
        <w:t xml:space="preserve">  </w:t>
      </w:r>
      <w:r>
        <w:rPr>
          <w:sz w:val="26"/>
        </w:rPr>
        <w:t>California Power Exchange</w:t>
        <w:tab/>
        <w:tab/>
        <w:tab/>
        <w:tab/>
        <w:tab/>
        <w:tab/>
        <w:t xml:space="preserve">          EL00-98–018</w:t>
      </w:r>
    </w:p>
    <w:p>
      <w:pPr>
        <w:pStyle w:val="Normal"/>
        <w:widowControl/>
        <w:tabs>
          <w:tab w:val="clear" w:pos="720"/>
          <w:tab w:val="left" w:pos="-1440" w:leader="none"/>
        </w:tabs>
        <w:ind w:start="7200" w:end="0"/>
        <w:rPr>
          <w:sz w:val="26"/>
        </w:rPr>
      </w:pPr>
      <w:r>
        <w:rPr>
          <w:sz w:val="26"/>
        </w:rPr>
        <w:t xml:space="preserve">          </w:t>
      </w:r>
      <w:r>
        <w:rPr>
          <w:sz w:val="26"/>
        </w:rPr>
        <w:t>EL00-98-030</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Puget Sound Energy, Inc.,</w:t>
      </w:r>
    </w:p>
    <w:p>
      <w:pPr>
        <w:pStyle w:val="Normal"/>
        <w:widowControl/>
        <w:tabs>
          <w:tab w:val="clear" w:pos="720"/>
          <w:tab w:val="left" w:pos="-1440" w:leader="none"/>
        </w:tabs>
        <w:ind w:start="1440" w:end="0"/>
        <w:rPr>
          <w:sz w:val="26"/>
        </w:rPr>
      </w:pPr>
      <w:r>
        <w:rPr>
          <w:sz w:val="26"/>
        </w:rPr>
        <w:t>Complainant,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5040" w:start="6480" w:end="0"/>
        <w:rPr>
          <w:sz w:val="26"/>
        </w:rPr>
      </w:pPr>
      <w:r>
        <w:rPr>
          <w:sz w:val="26"/>
        </w:rPr>
        <w:t>v.</w:t>
        <w:tab/>
        <w:tab/>
        <w:tab/>
        <w:tab/>
        <w:tab/>
        <w:tab/>
        <w:tab/>
        <w:t>Docket Nos. EL01-10-000</w:t>
      </w:r>
    </w:p>
    <w:p>
      <w:pPr>
        <w:pStyle w:val="Normal"/>
        <w:widowControl/>
        <w:tabs>
          <w:tab w:val="clear" w:pos="720"/>
          <w:tab w:val="left" w:pos="-1440" w:leader="none"/>
        </w:tabs>
        <w:ind w:start="7200" w:end="0"/>
        <w:rPr>
          <w:sz w:val="26"/>
        </w:rPr>
      </w:pPr>
      <w:r>
        <w:rPr>
          <w:sz w:val="26"/>
        </w:rPr>
        <w:t xml:space="preserve">          </w:t>
      </w:r>
      <w:r>
        <w:rPr>
          <w:sz w:val="26"/>
        </w:rPr>
        <w:t>EL01-10-001</w:t>
      </w:r>
    </w:p>
    <w:p>
      <w:pPr>
        <w:pStyle w:val="Normal"/>
        <w:widowControl/>
        <w:tabs>
          <w:tab w:val="clear" w:pos="720"/>
          <w:tab w:val="left" w:pos="-1440" w:leader="none"/>
        </w:tabs>
        <w:rPr>
          <w:sz w:val="26"/>
        </w:rPr>
      </w:pPr>
      <w:r>
        <w:rPr>
          <w:sz w:val="26"/>
        </w:rPr>
        <w:t>All Jurisdictional Sellers of Energy and/or Capacity</w:t>
      </w:r>
    </w:p>
    <w:p>
      <w:pPr>
        <w:pStyle w:val="Normal"/>
        <w:widowControl/>
        <w:tabs>
          <w:tab w:val="clear" w:pos="720"/>
          <w:tab w:val="left" w:pos="-1440" w:leader="none"/>
        </w:tabs>
        <w:rPr>
          <w:sz w:val="26"/>
        </w:rPr>
      </w:pPr>
      <w:r>
        <w:rPr>
          <w:sz w:val="26"/>
        </w:rPr>
        <w:t xml:space="preserve">  </w:t>
      </w:r>
      <w:r>
        <w:rPr>
          <w:sz w:val="26"/>
        </w:rPr>
        <w:t>at Wholesale Into Electric Energy and/or Capacity</w:t>
      </w:r>
    </w:p>
    <w:p>
      <w:pPr>
        <w:pStyle w:val="Normal"/>
        <w:widowControl/>
        <w:tabs>
          <w:tab w:val="clear" w:pos="720"/>
          <w:tab w:val="left" w:pos="-1440" w:leader="none"/>
        </w:tabs>
        <w:rPr>
          <w:sz w:val="26"/>
        </w:rPr>
      </w:pPr>
      <w:r>
        <w:rPr>
          <w:sz w:val="26"/>
        </w:rPr>
        <w:t xml:space="preserve">  </w:t>
      </w:r>
      <w:r>
        <w:rPr>
          <w:sz w:val="26"/>
        </w:rPr>
        <w:t>Markets in the Pacific Northwest, Including Parties</w:t>
      </w:r>
    </w:p>
    <w:p>
      <w:pPr>
        <w:pStyle w:val="Normal"/>
        <w:widowControl/>
        <w:tabs>
          <w:tab w:val="clear" w:pos="720"/>
          <w:tab w:val="left" w:pos="-1440" w:leader="none"/>
        </w:tabs>
        <w:rPr>
          <w:sz w:val="26"/>
        </w:rPr>
      </w:pPr>
      <w:r>
        <w:rPr>
          <w:sz w:val="26"/>
        </w:rPr>
        <w:t xml:space="preserve">  </w:t>
      </w:r>
      <w:r>
        <w:rPr>
          <w:sz w:val="26"/>
        </w:rPr>
        <w:t>to the Western Systems Power Pool Agreement,</w:t>
      </w:r>
    </w:p>
    <w:p>
      <w:pPr>
        <w:pStyle w:val="Normal"/>
        <w:widowControl/>
        <w:tabs>
          <w:tab w:val="clear" w:pos="720"/>
          <w:tab w:val="left" w:pos="-1440" w:leader="none"/>
        </w:tabs>
        <w:ind w:start="1440" w:end="0"/>
        <w:rPr>
          <w:sz w:val="26"/>
        </w:rPr>
      </w:pPr>
      <w:r>
        <w:rPr>
          <w:sz w:val="26"/>
        </w:rPr>
        <w:t>Respondents.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center" w:pos="4680" w:leader="none"/>
        </w:tabs>
        <w:rPr>
          <w:sz w:val="26"/>
        </w:rPr>
      </w:pPr>
      <w:r>
        <w:rPr>
          <w:sz w:val="26"/>
        </w:rPr>
        <w:tab/>
        <w:t>(Issued July 25, 2001)</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pPr>
      <w:r>
        <w:rPr>
          <w:sz w:val="26"/>
        </w:rPr>
        <w:t xml:space="preserve">BREATHITT and MASSEY, Commissioners, </w:t>
      </w:r>
      <w:r>
        <w:rPr>
          <w:sz w:val="26"/>
          <w:u w:val="single"/>
        </w:rPr>
        <w:t>dissenting in part</w:t>
      </w:r>
      <w:r>
        <w:rPr>
          <w:sz w:val="26"/>
        </w:rPr>
        <w: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sectPr>
          <w:headerReference w:type="default" r:id="rId3"/>
          <w:footnotePr>
            <w:numFmt w:val="decimal"/>
          </w:footnotePr>
          <w:type w:val="nextPage"/>
          <w:pgSz w:w="12240" w:h="15840"/>
          <w:pgMar w:left="1440" w:right="1440" w:gutter="0" w:header="1440" w:top="1496" w:footer="0" w:bottom="1260"/>
          <w:pgNumType w:fmt="decimal"/>
          <w:formProt w:val="false"/>
          <w:textDirection w:val="lrTb"/>
          <w:docGrid w:type="default" w:linePitch="360" w:charSpace="0"/>
        </w:sectPr>
      </w:pPr>
    </w:p>
    <w:p>
      <w:pPr>
        <w:pStyle w:val="Normal"/>
        <w:widowControl/>
        <w:tabs>
          <w:tab w:val="clear" w:pos="720"/>
          <w:tab w:val="center" w:pos="4680" w:leader="none"/>
        </w:tabs>
        <w:rPr>
          <w:sz w:val="26"/>
        </w:rPr>
      </w:pPr>
      <w:r>
        <w:rPr>
          <w:sz w:val="26"/>
        </w:rPr>
        <w:tab/>
        <w:t>-2-</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We respectfully disagree with the conclusion reached in this order to extend a potential refund obligation to sellers into the California spot markets that are not jurisdictional  public utilities.  The majority concludes that while "we do not have direct regulatory authority over power sales by non-public utilities, we do have authority to order them to abide by the market rules we establish to make refunds of unjust and unreasonable rates for sales pursuant to those market rules."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Although this rationale certainly has strong appeal, especially as a matter of equity, we are not sufficiently comfortable with it.  The refund rules of section 206 of the Federal Power Act are rather specific.  If Congress had wanted the Commission to have refund authority over non-public utilities, Congress would have surely so specified.  The breathtaking conclusion that this agency has the power to tell non-public utilities to pay money back will come as a shock to most observers.  </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We understand and appreciate the strong equity rationale behind the majority's decision.  Perhaps this interpretation of the Commission's refund authority ought to be the law, but we are not yet persuaded that it is allowed by existing law.  Unfortunately, the majority's conclusion ensures that the matter of refunds will probably never be settled and will be litigated for years.</w:t>
      </w:r>
    </w:p>
    <w:p>
      <w:pPr>
        <w:pStyle w:val="Normal"/>
        <w:widowControl/>
        <w:tabs>
          <w:tab w:val="clear" w:pos="720"/>
          <w:tab w:val="left" w:pos="-1440" w:leader="none"/>
        </w:tabs>
        <w:rPr>
          <w:sz w:val="26"/>
        </w:rPr>
      </w:pPr>
      <w:r>
        <w:rPr>
          <w:sz w:val="26"/>
        </w:rPr>
        <w:t xml:space="preserve"> </w:t>
      </w:r>
    </w:p>
    <w:p>
      <w:pPr>
        <w:pStyle w:val="Normal"/>
        <w:widowControl/>
        <w:tabs>
          <w:tab w:val="clear" w:pos="720"/>
          <w:tab w:val="left" w:pos="-1440" w:leader="none"/>
        </w:tabs>
        <w:ind w:firstLine="720" w:end="0"/>
        <w:rPr>
          <w:sz w:val="26"/>
        </w:rPr>
      </w:pPr>
      <w:r>
        <w:rPr>
          <w:sz w:val="26"/>
        </w:rPr>
        <w:t>For these reasons, we dissent in part from today's order.</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start="4320" w:end="0"/>
        <w:rPr>
          <w:sz w:val="26"/>
        </w:rPr>
      </w:pPr>
      <w:r>
        <w:rPr>
          <w:sz w:val="26"/>
        </w:rPr>
        <w:t>______________________________</w:t>
      </w:r>
    </w:p>
    <w:p>
      <w:pPr>
        <w:pStyle w:val="Normal"/>
        <w:widowControl/>
        <w:tabs>
          <w:tab w:val="clear" w:pos="720"/>
          <w:tab w:val="left" w:pos="-1440" w:leader="none"/>
        </w:tabs>
        <w:ind w:start="4320" w:end="0"/>
        <w:rPr>
          <w:sz w:val="26"/>
        </w:rPr>
      </w:pPr>
      <w:r>
        <w:rPr>
          <w:sz w:val="26"/>
        </w:rPr>
        <w:t>Linda K. Breathitt</w:t>
      </w:r>
    </w:p>
    <w:p>
      <w:pPr>
        <w:pStyle w:val="Normal"/>
        <w:widowControl/>
        <w:tabs>
          <w:tab w:val="clear" w:pos="720"/>
          <w:tab w:val="left" w:pos="-1440" w:leader="none"/>
        </w:tabs>
        <w:ind w:start="4320" w:end="0"/>
        <w:rPr>
          <w:sz w:val="26"/>
        </w:rPr>
      </w:pPr>
      <w:r>
        <w:rPr>
          <w:sz w:val="26"/>
        </w:rPr>
        <w:t>Commissioner</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4320" w:end="0"/>
        <w:rPr>
          <w:sz w:val="26"/>
        </w:rPr>
      </w:pPr>
      <w:r>
        <w:rPr>
          <w:sz w:val="26"/>
        </w:rPr>
        <w:t>______________________________</w:t>
      </w:r>
    </w:p>
    <w:p>
      <w:pPr>
        <w:pStyle w:val="Normal"/>
        <w:widowControl/>
        <w:tabs>
          <w:tab w:val="clear" w:pos="720"/>
          <w:tab w:val="left" w:pos="-1440" w:leader="none"/>
        </w:tabs>
        <w:ind w:firstLine="4320" w:end="0"/>
        <w:rPr>
          <w:sz w:val="26"/>
        </w:rPr>
      </w:pPr>
      <w:r>
        <w:rPr>
          <w:sz w:val="26"/>
        </w:rPr>
        <w:t>William L. Massey</w:t>
      </w:r>
    </w:p>
    <w:p>
      <w:pPr>
        <w:pStyle w:val="Normal"/>
        <w:widowControl/>
        <w:tabs>
          <w:tab w:val="clear" w:pos="720"/>
          <w:tab w:val="left" w:pos="-1440" w:leader="none"/>
        </w:tabs>
        <w:ind w:firstLine="4320" w:end="0"/>
        <w:rPr>
          <w:sz w:val="26"/>
        </w:rPr>
      </w:pPr>
      <w:r>
        <w:rPr>
          <w:sz w:val="26"/>
        </w:rPr>
        <w:t>Commissioner</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sectPr>
          <w:footnotePr>
            <w:numFmt w:val="decimal"/>
          </w:footnotePr>
          <w:type w:val="continuous"/>
          <w:pgSz w:w="12240" w:h="15840"/>
          <w:pgMar w:left="1440" w:right="1440" w:gutter="0" w:header="1440" w:top="1496" w:footer="0" w:bottom="1260"/>
          <w:formProt w:val="false"/>
          <w:textDirection w:val="lrTb"/>
          <w:docGrid w:type="default" w:linePitch="360" w:charSpace="0"/>
        </w:sectPr>
      </w:pPr>
    </w:p>
    <w:p>
      <w:pPr>
        <w:pStyle w:val="Normal"/>
        <w:widowControl/>
        <w:tabs>
          <w:tab w:val="clear" w:pos="720"/>
          <w:tab w:val="center" w:pos="4680" w:leader="none"/>
        </w:tabs>
        <w:rPr/>
      </w:pPr>
      <w:r>
        <w:rPr>
          <w:rFonts w:cs="Courier New" w:ascii="Courier New" w:hAnsi="Courier New"/>
        </w:rPr>
        <w:tab/>
      </w:r>
      <w:r>
        <w:rPr>
          <w:sz w:val="26"/>
        </w:rPr>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San Diego Gas &amp; Electric Company,</w:t>
      </w:r>
    </w:p>
    <w:p>
      <w:pPr>
        <w:pStyle w:val="Normal"/>
        <w:widowControl/>
        <w:tabs>
          <w:tab w:val="clear" w:pos="720"/>
          <w:tab w:val="left" w:pos="-1440" w:leader="none"/>
        </w:tabs>
        <w:ind w:firstLine="1440" w:end="0"/>
        <w:rPr>
          <w:sz w:val="26"/>
        </w:rPr>
      </w:pPr>
      <w:r>
        <w:rPr>
          <w:sz w:val="26"/>
        </w:rPr>
        <w:t>Complainant,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5040" w:start="6480" w:end="0"/>
        <w:rPr>
          <w:sz w:val="26"/>
        </w:rPr>
      </w:pPr>
      <w:r>
        <w:rPr>
          <w:sz w:val="26"/>
        </w:rPr>
        <w:t>v.</w:t>
        <w:tab/>
        <w:tab/>
        <w:tab/>
        <w:tab/>
        <w:tab/>
        <w:tab/>
        <w:tab/>
        <w:t>Docket Nos. EL00-95-004</w:t>
      </w:r>
    </w:p>
    <w:p>
      <w:pPr>
        <w:pStyle w:val="Normal"/>
        <w:widowControl/>
        <w:tabs>
          <w:tab w:val="clear" w:pos="720"/>
          <w:tab w:val="left" w:pos="-1440" w:leader="none"/>
        </w:tabs>
        <w:ind w:start="7200" w:end="0"/>
        <w:rPr>
          <w:sz w:val="26"/>
        </w:rPr>
      </w:pPr>
      <w:r>
        <w:rPr>
          <w:sz w:val="26"/>
        </w:rPr>
        <w:t xml:space="preserve">          </w:t>
      </w:r>
      <w:r>
        <w:rPr>
          <w:sz w:val="26"/>
        </w:rPr>
        <w:t>EL00-95-005</w:t>
      </w:r>
    </w:p>
    <w:p>
      <w:pPr>
        <w:pStyle w:val="Normal"/>
        <w:widowControl/>
        <w:tabs>
          <w:tab w:val="clear" w:pos="720"/>
          <w:tab w:val="left" w:pos="-1440" w:leader="none"/>
        </w:tabs>
        <w:ind w:start="7200" w:end="0"/>
        <w:rPr>
          <w:sz w:val="26"/>
        </w:rPr>
      </w:pPr>
      <w:r>
        <w:rPr>
          <w:sz w:val="26"/>
        </w:rPr>
        <w:t xml:space="preserve">          </w:t>
      </w:r>
      <w:r>
        <w:rPr>
          <w:sz w:val="26"/>
        </w:rPr>
        <w:t>EL00-95-019</w:t>
      </w:r>
    </w:p>
    <w:p>
      <w:pPr>
        <w:pStyle w:val="Normal"/>
        <w:widowControl/>
        <w:tabs>
          <w:tab w:val="clear" w:pos="720"/>
          <w:tab w:val="left" w:pos="-1440" w:leader="none"/>
        </w:tabs>
        <w:ind w:start="7200" w:end="0"/>
        <w:rPr>
          <w:sz w:val="26"/>
        </w:rPr>
      </w:pPr>
      <w:r>
        <w:rPr>
          <w:sz w:val="26"/>
        </w:rPr>
        <w:t xml:space="preserve">          </w:t>
      </w:r>
      <w:r>
        <w:rPr>
          <w:sz w:val="26"/>
        </w:rPr>
        <w:t>EL00-95-031</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Sellers of Energy and Ancillary Services Into</w:t>
      </w:r>
    </w:p>
    <w:p>
      <w:pPr>
        <w:pStyle w:val="Normal"/>
        <w:widowControl/>
        <w:tabs>
          <w:tab w:val="clear" w:pos="720"/>
          <w:tab w:val="left" w:pos="-1440" w:leader="none"/>
        </w:tabs>
        <w:rPr>
          <w:sz w:val="26"/>
        </w:rPr>
      </w:pPr>
      <w:r>
        <w:rPr>
          <w:sz w:val="26"/>
        </w:rPr>
        <w:t>Markets Operated by the California</w:t>
      </w:r>
    </w:p>
    <w:p>
      <w:pPr>
        <w:pStyle w:val="Normal"/>
        <w:widowControl/>
        <w:tabs>
          <w:tab w:val="clear" w:pos="720"/>
          <w:tab w:val="left" w:pos="-1440" w:leader="none"/>
        </w:tabs>
        <w:rPr>
          <w:sz w:val="26"/>
        </w:rPr>
      </w:pPr>
      <w:r>
        <w:rPr>
          <w:sz w:val="26"/>
        </w:rPr>
        <w:t>Independent System Operator Corporation and the</w:t>
      </w:r>
    </w:p>
    <w:p>
      <w:pPr>
        <w:pStyle w:val="Normal"/>
        <w:widowControl/>
        <w:tabs>
          <w:tab w:val="clear" w:pos="720"/>
          <w:tab w:val="left" w:pos="-1440" w:leader="none"/>
        </w:tabs>
        <w:rPr>
          <w:sz w:val="26"/>
        </w:rPr>
      </w:pPr>
      <w:r>
        <w:rPr>
          <w:sz w:val="26"/>
        </w:rPr>
        <w:t>California Power Exchange,</w:t>
      </w:r>
    </w:p>
    <w:p>
      <w:pPr>
        <w:pStyle w:val="Normal"/>
        <w:widowControl/>
        <w:tabs>
          <w:tab w:val="clear" w:pos="720"/>
          <w:tab w:val="left" w:pos="-1440" w:leader="none"/>
        </w:tabs>
        <w:ind w:start="1440" w:end="0"/>
        <w:rPr>
          <w:sz w:val="26"/>
        </w:rPr>
      </w:pPr>
      <w:r>
        <w:rPr>
          <w:sz w:val="26"/>
        </w:rPr>
        <w:t>Respondents.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6480" w:start="6480" w:end="0"/>
        <w:rPr>
          <w:sz w:val="26"/>
        </w:rPr>
      </w:pPr>
      <w:r>
        <w:rPr>
          <w:sz w:val="26"/>
        </w:rPr>
        <w:t>Investigation of Practices of the California</w:t>
        <w:tab/>
        <w:tab/>
        <w:tab/>
        <w:t>Docket Nos. EL00-98-004</w:t>
      </w:r>
    </w:p>
    <w:p>
      <w:pPr>
        <w:pStyle w:val="Normal"/>
        <w:widowControl/>
        <w:tabs>
          <w:tab w:val="clear" w:pos="720"/>
          <w:tab w:val="left" w:pos="-1440" w:leader="none"/>
        </w:tabs>
        <w:ind w:hanging="7200" w:start="7200" w:end="0"/>
        <w:rPr>
          <w:sz w:val="26"/>
        </w:rPr>
      </w:pPr>
      <w:r>
        <w:rPr>
          <w:sz w:val="26"/>
        </w:rPr>
        <w:t xml:space="preserve">  </w:t>
      </w:r>
      <w:r>
        <w:rPr>
          <w:sz w:val="26"/>
        </w:rPr>
        <w:t>Independent System Operator and the</w:t>
        <w:tab/>
        <w:tab/>
        <w:tab/>
        <w:tab/>
        <w:tab/>
        <w:t xml:space="preserve">          EL00-98-005</w:t>
      </w:r>
    </w:p>
    <w:p>
      <w:pPr>
        <w:pStyle w:val="Normal"/>
        <w:widowControl/>
        <w:tabs>
          <w:tab w:val="clear" w:pos="720"/>
          <w:tab w:val="left" w:pos="-1440" w:leader="none"/>
        </w:tabs>
        <w:ind w:hanging="7200" w:start="7200" w:end="0"/>
        <w:rPr>
          <w:sz w:val="26"/>
        </w:rPr>
      </w:pPr>
      <w:r>
        <w:rPr>
          <w:sz w:val="26"/>
        </w:rPr>
        <w:t xml:space="preserve">  </w:t>
      </w:r>
      <w:r>
        <w:rPr>
          <w:sz w:val="26"/>
        </w:rPr>
        <w:t>California Power Exchange</w:t>
        <w:tab/>
        <w:tab/>
        <w:tab/>
        <w:tab/>
        <w:tab/>
        <w:tab/>
        <w:t xml:space="preserve">          EL00-98–018</w:t>
      </w:r>
    </w:p>
    <w:p>
      <w:pPr>
        <w:pStyle w:val="Normal"/>
        <w:widowControl/>
        <w:tabs>
          <w:tab w:val="clear" w:pos="720"/>
          <w:tab w:val="left" w:pos="-1440" w:leader="none"/>
        </w:tabs>
        <w:ind w:start="7200" w:end="0"/>
        <w:rPr>
          <w:sz w:val="26"/>
        </w:rPr>
      </w:pPr>
      <w:r>
        <w:rPr>
          <w:sz w:val="26"/>
        </w:rPr>
        <w:t xml:space="preserve">          </w:t>
      </w:r>
      <w:r>
        <w:rPr>
          <w:sz w:val="26"/>
        </w:rPr>
        <w:t>EL00-98-030</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t>Puget Sound Energy, Inc.,</w:t>
      </w:r>
    </w:p>
    <w:p>
      <w:pPr>
        <w:pStyle w:val="Normal"/>
        <w:widowControl/>
        <w:tabs>
          <w:tab w:val="clear" w:pos="720"/>
          <w:tab w:val="left" w:pos="-1440" w:leader="none"/>
        </w:tabs>
        <w:ind w:start="1440" w:end="0"/>
        <w:rPr>
          <w:sz w:val="26"/>
        </w:rPr>
      </w:pPr>
      <w:r>
        <w:rPr>
          <w:sz w:val="26"/>
        </w:rPr>
        <w:t>Complainant,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hanging="5040" w:start="6480" w:end="0"/>
        <w:rPr>
          <w:sz w:val="26"/>
        </w:rPr>
      </w:pPr>
      <w:r>
        <w:rPr>
          <w:sz w:val="26"/>
        </w:rPr>
        <w:t>v.</w:t>
        <w:tab/>
        <w:tab/>
        <w:tab/>
        <w:tab/>
        <w:tab/>
        <w:tab/>
        <w:tab/>
        <w:t>Docket Nos. EL01-10-000</w:t>
      </w:r>
    </w:p>
    <w:p>
      <w:pPr>
        <w:pStyle w:val="Normal"/>
        <w:widowControl/>
        <w:tabs>
          <w:tab w:val="clear" w:pos="720"/>
          <w:tab w:val="left" w:pos="-1440" w:leader="none"/>
        </w:tabs>
        <w:ind w:start="7200" w:end="0"/>
        <w:rPr>
          <w:sz w:val="26"/>
        </w:rPr>
      </w:pPr>
      <w:r>
        <w:rPr>
          <w:sz w:val="26"/>
        </w:rPr>
        <w:t xml:space="preserve">          </w:t>
      </w:r>
      <w:r>
        <w:rPr>
          <w:sz w:val="26"/>
        </w:rPr>
        <w:t>EL01-10-001</w:t>
      </w:r>
    </w:p>
    <w:p>
      <w:pPr>
        <w:pStyle w:val="Normal"/>
        <w:widowControl/>
        <w:tabs>
          <w:tab w:val="clear" w:pos="720"/>
          <w:tab w:val="left" w:pos="-1440" w:leader="none"/>
        </w:tabs>
        <w:rPr>
          <w:sz w:val="26"/>
        </w:rPr>
      </w:pPr>
      <w:r>
        <w:rPr>
          <w:sz w:val="26"/>
        </w:rPr>
        <w:t>All Jurisdictional Sellers of Energy and/or Capacity</w:t>
      </w:r>
    </w:p>
    <w:p>
      <w:pPr>
        <w:pStyle w:val="Normal"/>
        <w:widowControl/>
        <w:tabs>
          <w:tab w:val="clear" w:pos="720"/>
          <w:tab w:val="left" w:pos="-1440" w:leader="none"/>
        </w:tabs>
        <w:rPr>
          <w:sz w:val="26"/>
        </w:rPr>
      </w:pPr>
      <w:r>
        <w:rPr>
          <w:sz w:val="26"/>
        </w:rPr>
        <w:t xml:space="preserve">  </w:t>
      </w:r>
      <w:r>
        <w:rPr>
          <w:sz w:val="26"/>
        </w:rPr>
        <w:t>at Wholesale Into Electric Energy and/or Capacity</w:t>
      </w:r>
    </w:p>
    <w:p>
      <w:pPr>
        <w:pStyle w:val="Normal"/>
        <w:widowControl/>
        <w:tabs>
          <w:tab w:val="clear" w:pos="720"/>
          <w:tab w:val="left" w:pos="-1440" w:leader="none"/>
        </w:tabs>
        <w:rPr>
          <w:sz w:val="26"/>
        </w:rPr>
      </w:pPr>
      <w:r>
        <w:rPr>
          <w:sz w:val="26"/>
        </w:rPr>
        <w:t xml:space="preserve">  </w:t>
      </w:r>
      <w:r>
        <w:rPr>
          <w:sz w:val="26"/>
        </w:rPr>
        <w:t>Markets in the Pacific Northwest, Including Parties</w:t>
      </w:r>
    </w:p>
    <w:p>
      <w:pPr>
        <w:pStyle w:val="Normal"/>
        <w:widowControl/>
        <w:tabs>
          <w:tab w:val="clear" w:pos="720"/>
          <w:tab w:val="left" w:pos="-1440" w:leader="none"/>
        </w:tabs>
        <w:rPr>
          <w:sz w:val="26"/>
        </w:rPr>
      </w:pPr>
      <w:r>
        <w:rPr>
          <w:sz w:val="26"/>
        </w:rPr>
        <w:t xml:space="preserve">  </w:t>
      </w:r>
      <w:r>
        <w:rPr>
          <w:sz w:val="26"/>
        </w:rPr>
        <w:t>to the Western Systems Power Pool Agreement,</w:t>
      </w:r>
    </w:p>
    <w:p>
      <w:pPr>
        <w:pStyle w:val="Normal"/>
        <w:widowControl/>
        <w:tabs>
          <w:tab w:val="clear" w:pos="720"/>
          <w:tab w:val="left" w:pos="-1440" w:leader="none"/>
        </w:tabs>
        <w:ind w:start="1440" w:end="0"/>
        <w:rPr>
          <w:sz w:val="26"/>
        </w:rPr>
      </w:pPr>
      <w:r>
        <w:rPr>
          <w:sz w:val="26"/>
        </w:rPr>
        <w:t>Respondents.</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center" w:pos="4680" w:leader="none"/>
        </w:tabs>
        <w:rPr>
          <w:sz w:val="26"/>
        </w:rPr>
      </w:pPr>
      <w:r>
        <w:rPr>
          <w:sz w:val="26"/>
        </w:rPr>
        <w:tab/>
        <w:t>(Issued July 25, 2001)</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pPr>
      <w:r>
        <w:rPr>
          <w:sz w:val="26"/>
        </w:rPr>
        <w:t xml:space="preserve">BREATHITT, Commissioner, </w:t>
      </w:r>
      <w:r>
        <w:rPr>
          <w:sz w:val="26"/>
          <w:u w:val="single"/>
        </w:rPr>
        <w:t>dissenting in part</w:t>
      </w:r>
      <w:r>
        <w:rPr>
          <w:sz w:val="26"/>
        </w:rPr>
        <w:t>:</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sectPr>
          <w:headerReference w:type="default" r:id="rId4"/>
          <w:footnotePr>
            <w:numFmt w:val="decimal"/>
          </w:footnotePr>
          <w:type w:val="nextPage"/>
          <w:pgSz w:w="12240" w:h="15840"/>
          <w:pgMar w:left="1440" w:right="1440" w:gutter="0" w:header="1260" w:top="1316" w:footer="0" w:bottom="1260"/>
          <w:pgNumType w:fmt="decimal"/>
          <w:formProt w:val="false"/>
          <w:textDirection w:val="lrTb"/>
          <w:docGrid w:type="default" w:linePitch="360" w:charSpace="0"/>
        </w:sectPr>
      </w:pPr>
    </w:p>
    <w:p>
      <w:pPr>
        <w:pStyle w:val="Normal"/>
        <w:widowControl/>
        <w:tabs>
          <w:tab w:val="clear" w:pos="720"/>
          <w:tab w:val="center" w:pos="4680" w:leader="none"/>
        </w:tabs>
        <w:rPr>
          <w:sz w:val="26"/>
        </w:rPr>
      </w:pPr>
      <w:r>
        <w:rPr>
          <w:sz w:val="26"/>
        </w:rPr>
        <w:tab/>
        <w:t>-2-</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I respectfully disagree with the majority’s inclusion of a ten percent creditworthiness adder in the methodology to determine refund liability.  The rationale stated in this order, that sellers cannot be assured that buyers will pay the full refunds due, is not persuasive in my opinion.</w:t>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firstLine="720" w:end="0"/>
        <w:rPr>
          <w:sz w:val="26"/>
        </w:rPr>
      </w:pPr>
      <w:r>
        <w:rPr>
          <w:sz w:val="26"/>
        </w:rPr>
        <w:t xml:space="preserve">I was concerned about the creditworthiness adder included on a prospective basis through the market clearing price methodology established in our June 19, 2001 order.  There I concurred on this issue.  Today I will dissent on this issue because I see even less reason for such an adder to be included on a retroactive basis through the refund methodology. </w:t>
      </w:r>
    </w:p>
    <w:p>
      <w:pPr>
        <w:pStyle w:val="Normal"/>
        <w:widowControl/>
        <w:tabs>
          <w:tab w:val="clear" w:pos="720"/>
          <w:tab w:val="left" w:pos="-1440" w:leader="none"/>
        </w:tabs>
        <w:rPr>
          <w:sz w:val="26"/>
        </w:rPr>
      </w:pPr>
      <w:r>
        <w:rPr>
          <w:sz w:val="26"/>
        </w:rPr>
        <w:t xml:space="preserve"> </w:t>
      </w:r>
    </w:p>
    <w:p>
      <w:pPr>
        <w:pStyle w:val="Normal"/>
        <w:widowControl/>
        <w:tabs>
          <w:tab w:val="clear" w:pos="720"/>
          <w:tab w:val="left" w:pos="-1440" w:leader="none"/>
        </w:tabs>
        <w:ind w:firstLine="720" w:end="0"/>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rPr>
          <w:sz w:val="26"/>
        </w:rPr>
      </w:pPr>
      <w:r>
        <w:rPr>
          <w:sz w:val="26"/>
        </w:rPr>
      </w:r>
    </w:p>
    <w:p>
      <w:pPr>
        <w:pStyle w:val="Normal"/>
        <w:widowControl/>
        <w:tabs>
          <w:tab w:val="clear" w:pos="720"/>
          <w:tab w:val="left" w:pos="-1440" w:leader="none"/>
        </w:tabs>
        <w:ind w:start="4320" w:end="0"/>
        <w:rPr>
          <w:sz w:val="26"/>
        </w:rPr>
      </w:pPr>
      <w:r>
        <w:rPr>
          <w:sz w:val="26"/>
        </w:rPr>
        <w:t>______________________________</w:t>
      </w:r>
    </w:p>
    <w:p>
      <w:pPr>
        <w:pStyle w:val="Normal"/>
        <w:widowControl/>
        <w:tabs>
          <w:tab w:val="clear" w:pos="720"/>
          <w:tab w:val="left" w:pos="-1440" w:leader="none"/>
        </w:tabs>
        <w:ind w:start="4320" w:end="0"/>
        <w:rPr>
          <w:sz w:val="26"/>
        </w:rPr>
      </w:pPr>
      <w:r>
        <w:rPr>
          <w:sz w:val="26"/>
        </w:rPr>
        <w:t>Linda K. Breathitt</w:t>
      </w:r>
    </w:p>
    <w:p>
      <w:pPr>
        <w:pStyle w:val="Normal"/>
        <w:widowControl/>
        <w:tabs>
          <w:tab w:val="clear" w:pos="720"/>
          <w:tab w:val="left" w:pos="-1440" w:leader="none"/>
        </w:tabs>
        <w:ind w:start="4320" w:end="0"/>
        <w:rPr>
          <w:sz w:val="26"/>
        </w:rPr>
      </w:pPr>
      <w:r>
        <w:rPr>
          <w:sz w:val="26"/>
        </w:rPr>
        <w:t>Commissioner</w:t>
      </w:r>
    </w:p>
    <w:sectPr>
      <w:footnotePr>
        <w:numFmt w:val="decimal"/>
      </w:footnotePr>
      <w:type w:val="continuous"/>
      <w:pgSz w:w="12240" w:h="15840"/>
      <w:pgMar w:left="1440" w:right="1440" w:gutter="0" w:header="1260" w:top="1316" w:footer="0" w:bottom="126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xml:space="preserve">., 92 FERC ¶ 61,172 (2000), </w:t>
      </w:r>
      <w:r>
        <w:rPr>
          <w:sz w:val="26"/>
          <w:u w:val="single"/>
        </w:rPr>
        <w:t>reh'g pending</w:t>
      </w:r>
      <w:r>
        <w:rPr>
          <w:sz w:val="26"/>
        </w:rPr>
        <w:t xml:space="preserve"> (August 23 Order).  </w:t>
      </w:r>
    </w:p>
  </w:footnote>
  <w:footnote w:id="3">
    <w:p>
      <w:pPr>
        <w:pStyle w:val="Normal"/>
        <w:spacing w:before="0" w:after="240"/>
        <w:ind w:firstLine="720" w:end="0"/>
        <w:rPr/>
      </w:pPr>
      <w:r>
        <w:rPr>
          <w:rStyle w:val="FootnoteCharacters"/>
        </w:rPr>
        <w:footnoteRef/>
      </w:r>
      <w:r>
        <w:rPr>
          <w:sz w:val="26"/>
        </w:rPr>
        <w:t>92 FERC at 61,606.</w:t>
      </w:r>
    </w:p>
  </w:footnote>
  <w:footnote w:id="4">
    <w:p>
      <w:pPr>
        <w:pStyle w:val="Normal"/>
        <w:spacing w:before="0" w:after="240"/>
        <w:ind w:firstLine="720" w:end="0"/>
        <w:rPr/>
      </w:pPr>
      <w:r>
        <w:rPr>
          <w:rStyle w:val="FootnoteCharacters"/>
        </w:rPr>
        <w:footnoteRef/>
      </w:r>
      <w:r>
        <w:rPr>
          <w:sz w:val="26"/>
          <w:u w:val="single"/>
        </w:rPr>
        <w:t>Id</w:t>
      </w:r>
      <w:r>
        <w:rPr>
          <w:sz w:val="26"/>
        </w:rPr>
        <w:t xml:space="preserve">. at 61,608. </w:t>
      </w:r>
    </w:p>
  </w:footnote>
  <w:footnote w:id="5">
    <w:p>
      <w:pPr>
        <w:pStyle w:val="Normal"/>
        <w:spacing w:before="0" w:after="240"/>
        <w:ind w:firstLine="720" w:end="0"/>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xml:space="preserve">., 93 FERC ¶ 61,121 at 61,349-50 (2000), </w:t>
      </w:r>
      <w:r>
        <w:rPr>
          <w:sz w:val="26"/>
          <w:u w:val="single"/>
        </w:rPr>
        <w:t>reh'g pending</w:t>
      </w:r>
      <w:r>
        <w:rPr>
          <w:sz w:val="26"/>
        </w:rPr>
        <w:t xml:space="preserve"> (November 1 Order).</w:t>
      </w:r>
    </w:p>
  </w:footnote>
  <w:footnote w:id="6">
    <w:p>
      <w:pPr>
        <w:pStyle w:val="Normal"/>
        <w:spacing w:before="0" w:after="240"/>
        <w:ind w:firstLine="720" w:end="0"/>
        <w:rPr/>
      </w:pPr>
      <w:r>
        <w:rPr>
          <w:rStyle w:val="FootnoteCharacters"/>
        </w:rPr>
        <w:footnoteRef/>
      </w:r>
      <w:r>
        <w:rPr>
          <w:sz w:val="26"/>
          <w:u w:val="single"/>
        </w:rPr>
        <w:t>Id</w:t>
      </w:r>
      <w:r>
        <w:rPr>
          <w:sz w:val="26"/>
        </w:rPr>
        <w:t>. at 61,350.</w:t>
      </w:r>
    </w:p>
  </w:footnote>
  <w:footnote w:id="7">
    <w:p>
      <w:pPr>
        <w:pStyle w:val="Normal"/>
        <w:spacing w:before="0" w:after="240"/>
        <w:ind w:firstLine="720" w:end="0"/>
        <w:rPr/>
      </w:pPr>
      <w:r>
        <w:rPr>
          <w:rStyle w:val="FootnoteCharacters"/>
        </w:rPr>
        <w:footnoteRef/>
      </w:r>
      <w:r>
        <w:rPr>
          <w:sz w:val="26"/>
          <w:u w:val="single"/>
        </w:rPr>
        <w:t>Id</w:t>
      </w:r>
      <w:r>
        <w:rPr>
          <w:sz w:val="26"/>
        </w:rPr>
        <w:t xml:space="preserve">. </w:t>
      </w:r>
    </w:p>
  </w:footnote>
  <w:footnote w:id="8">
    <w:p>
      <w:pPr>
        <w:pStyle w:val="Normal"/>
        <w:spacing w:before="0" w:after="240"/>
        <w:ind w:firstLine="720" w:end="0"/>
        <w:rPr/>
      </w:pPr>
      <w:r>
        <w:rPr>
          <w:rStyle w:val="FootnoteCharacters"/>
        </w:rPr>
        <w:footnoteRef/>
      </w:r>
      <w:r>
        <w:rPr>
          <w:sz w:val="26"/>
          <w:u w:val="single"/>
        </w:rPr>
        <w:t>See</w:t>
      </w:r>
      <w:r>
        <w:rPr>
          <w:sz w:val="26"/>
        </w:rPr>
        <w:t xml:space="preserve">, </w:t>
      </w:r>
      <w:r>
        <w:rPr>
          <w:sz w:val="26"/>
          <w:u w:val="single"/>
        </w:rPr>
        <w:t>e.g.</w:t>
      </w:r>
      <w:r>
        <w:rPr>
          <w:sz w:val="26"/>
        </w:rPr>
        <w:t>, requests for rehearing of the California Electricity Oversight Board (Oversight Board), the Public Utilities Commission of the State of California (California Commission), PG&amp;E, SoCal Edison, and the City of San Diego.  Other determinations in the November 1 Order are also pending rehearing; these issues will be addressed in a future order.</w:t>
      </w:r>
    </w:p>
  </w:footnote>
  <w:footnote w:id="9">
    <w:p>
      <w:pPr>
        <w:pStyle w:val="Normal"/>
        <w:spacing w:before="0" w:after="240"/>
        <w:ind w:firstLine="720" w:end="0"/>
        <w:rPr/>
      </w:pPr>
      <w:r>
        <w:rPr>
          <w:rStyle w:val="FootnoteCharacters"/>
        </w:rPr>
        <w:footnoteRef/>
      </w:r>
      <w:r>
        <w:rPr>
          <w:sz w:val="26"/>
        </w:rPr>
        <w:t xml:space="preserve">San Diego Gas &amp; Electric Co., </w:t>
      </w:r>
      <w:r>
        <w:rPr>
          <w:sz w:val="26"/>
          <w:u w:val="single"/>
        </w:rPr>
        <w:t>et</w:t>
      </w:r>
      <w:r>
        <w:rPr>
          <w:sz w:val="26"/>
        </w:rPr>
        <w:t xml:space="preserve"> </w:t>
      </w:r>
      <w:r>
        <w:rPr>
          <w:sz w:val="26"/>
          <w:u w:val="single"/>
        </w:rPr>
        <w:t>al</w:t>
      </w:r>
      <w:r>
        <w:rPr>
          <w:sz w:val="26"/>
        </w:rPr>
        <w:t xml:space="preserve">., 93 FERC ¶ 61,294 (2000), </w:t>
      </w:r>
      <w:r>
        <w:rPr>
          <w:sz w:val="26"/>
          <w:u w:val="single"/>
        </w:rPr>
        <w:t>reh'g pending</w:t>
      </w:r>
      <w:r>
        <w:rPr>
          <w:sz w:val="26"/>
        </w:rPr>
        <w:t xml:space="preserve"> (December 15 Order)</w:t>
      </w:r>
    </w:p>
  </w:footnote>
  <w:footnote w:id="10">
    <w:p>
      <w:pPr>
        <w:pStyle w:val="Normal"/>
        <w:spacing w:before="0" w:after="240"/>
        <w:ind w:firstLine="720" w:end="0"/>
        <w:rPr/>
      </w:pPr>
      <w:r>
        <w:rPr>
          <w:rStyle w:val="FootnoteCharacters"/>
        </w:rPr>
        <w:footnoteRef/>
      </w:r>
      <w:r>
        <w:rPr>
          <w:sz w:val="26"/>
        </w:rPr>
        <w:t>Forward Contracting by California Utilities, 93 FERC ¶ 61,295 (2000).</w:t>
      </w:r>
    </w:p>
  </w:footnote>
  <w:footnote w:id="11">
    <w:p>
      <w:pPr>
        <w:pStyle w:val="Normal"/>
        <w:spacing w:before="0" w:after="240"/>
        <w:ind w:firstLine="720" w:end="0"/>
        <w:rPr/>
      </w:pPr>
      <w:r>
        <w:rPr>
          <w:rStyle w:val="FootnoteCharacters"/>
        </w:rPr>
        <w:footnoteRef/>
      </w:r>
      <w:r>
        <w:rPr>
          <w:sz w:val="26"/>
        </w:rPr>
        <w:t xml:space="preserve">San Diego Gas &amp; Electric Co., </w:t>
      </w:r>
      <w:r>
        <w:rPr>
          <w:sz w:val="26"/>
          <w:u w:val="single"/>
        </w:rPr>
        <w:t>et</w:t>
      </w:r>
      <w:r>
        <w:rPr>
          <w:sz w:val="26"/>
        </w:rPr>
        <w:t xml:space="preserve"> </w:t>
      </w:r>
      <w:r>
        <w:rPr>
          <w:sz w:val="26"/>
          <w:u w:val="single"/>
        </w:rPr>
        <w:t>al</w:t>
      </w:r>
      <w:r>
        <w:rPr>
          <w:sz w:val="26"/>
        </w:rPr>
        <w:t xml:space="preserve">., 94 FERC ¶ 61,245 (2001), </w:t>
      </w:r>
      <w:r>
        <w:rPr>
          <w:sz w:val="26"/>
          <w:u w:val="single"/>
        </w:rPr>
        <w:t>reh'g pending</w:t>
      </w:r>
      <w:r>
        <w:rPr>
          <w:sz w:val="26"/>
        </w:rPr>
        <w:t xml:space="preserve"> (March 9 Refund Order). </w:t>
      </w:r>
    </w:p>
  </w:footnote>
  <w:footnote w:id="12">
    <w:p>
      <w:pPr>
        <w:pStyle w:val="Normal"/>
        <w:spacing w:before="0" w:after="240"/>
        <w:ind w:firstLine="720" w:end="0"/>
        <w:rPr/>
      </w:pPr>
      <w:r>
        <w:rPr>
          <w:rStyle w:val="FootnoteCharacters"/>
        </w:rPr>
        <w:footnoteRef/>
      </w:r>
      <w:r>
        <w:rPr>
          <w:sz w:val="26"/>
        </w:rPr>
        <w:t>The Director of the Office of Markets, Tariffs and Rates issued notices announcing the proxy market clearing prices for the months of February, March, April, and May 2001 on March 16, April 16, May 14, and June 15, respectively.</w:t>
      </w:r>
    </w:p>
  </w:footnote>
  <w:footnote w:id="13">
    <w:p>
      <w:pPr>
        <w:pStyle w:val="Normal"/>
        <w:spacing w:before="0" w:after="240"/>
        <w:ind w:firstLine="720" w:end="0"/>
        <w:rPr/>
      </w:pPr>
      <w:r>
        <w:rPr>
          <w:rStyle w:val="FootnoteCharacters"/>
        </w:rPr>
        <w:footnoteRef/>
      </w:r>
      <w:r>
        <w:rPr>
          <w:sz w:val="26"/>
          <w:u w:val="single"/>
        </w:rPr>
        <w:t>See</w:t>
      </w:r>
      <w:r>
        <w:rPr>
          <w:sz w:val="26"/>
        </w:rPr>
        <w:t xml:space="preserve"> March 9 Refund Order, 94 FERC at 61,864.</w:t>
      </w:r>
    </w:p>
  </w:footnote>
  <w:footnote w:id="14">
    <w:p>
      <w:pPr>
        <w:pStyle w:val="Normal"/>
        <w:spacing w:before="0" w:after="240"/>
        <w:ind w:firstLine="720" w:end="0"/>
        <w:rPr/>
      </w:pPr>
      <w:r>
        <w:rPr>
          <w:rStyle w:val="FootnoteCharacters"/>
        </w:rPr>
        <w:footnoteRef/>
      </w:r>
      <w:r>
        <w:rPr>
          <w:sz w:val="26"/>
          <w:u w:val="single"/>
        </w:rPr>
        <w:t>See</w:t>
      </w:r>
      <w:r>
        <w:rPr>
          <w:sz w:val="26"/>
        </w:rPr>
        <w:t xml:space="preserve">, </w:t>
      </w:r>
      <w:r>
        <w:rPr>
          <w:sz w:val="26"/>
          <w:u w:val="single"/>
        </w:rPr>
        <w:t>e.g.</w:t>
      </w:r>
      <w:r>
        <w:rPr>
          <w:sz w:val="26"/>
        </w:rPr>
        <w:t>, Rehearings of California Commission, ISO, SDG&amp;E, City of San Diego, County of San Diego, and PG&amp;E.  Other determinations in the March 9 Order are also pending rehearing; these issues will be addressed in a future order.</w:t>
      </w:r>
    </w:p>
  </w:footnote>
  <w:footnote w:id="15">
    <w:p>
      <w:pPr>
        <w:pStyle w:val="Normal"/>
        <w:spacing w:before="0" w:after="240"/>
        <w:ind w:firstLine="720" w:end="0"/>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xml:space="preserve">., 95 FERC ¶ 61,115 (2001), </w:t>
      </w:r>
      <w:r>
        <w:rPr>
          <w:sz w:val="26"/>
          <w:u w:val="single"/>
        </w:rPr>
        <w:t>reh'g pending</w:t>
      </w:r>
      <w:r>
        <w:rPr>
          <w:sz w:val="26"/>
        </w:rPr>
        <w:t xml:space="preserve"> (April 26 Order).</w:t>
      </w:r>
    </w:p>
  </w:footnote>
  <w:footnote w:id="16">
    <w:p>
      <w:pPr>
        <w:pStyle w:val="Normal"/>
        <w:spacing w:before="0" w:after="240"/>
        <w:ind w:firstLine="720" w:end="0"/>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xml:space="preserve">., 95 FERC ¶ 61,418 (2001), </w:t>
      </w:r>
      <w:r>
        <w:rPr>
          <w:sz w:val="26"/>
          <w:u w:val="single"/>
        </w:rPr>
        <w:t>reh'g pending</w:t>
      </w:r>
      <w:r>
        <w:rPr>
          <w:sz w:val="26"/>
        </w:rPr>
        <w:t xml:space="preserve"> (June 19 Order). </w:t>
      </w:r>
    </w:p>
  </w:footnote>
  <w:footnote w:id="17">
    <w:p>
      <w:pPr>
        <w:pStyle w:val="Normal"/>
        <w:spacing w:before="0" w:after="240"/>
        <w:ind w:firstLine="720" w:end="0"/>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96 FERC ¶ 63,007 (2001) (Report).</w:t>
      </w:r>
    </w:p>
  </w:footnote>
  <w:footnote w:id="18">
    <w:p>
      <w:pPr>
        <w:pStyle w:val="Normal"/>
        <w:spacing w:before="0" w:after="240"/>
        <w:ind w:firstLine="720" w:end="0"/>
        <w:rPr/>
      </w:pPr>
      <w:r>
        <w:rPr>
          <w:rStyle w:val="FootnoteCharacters"/>
        </w:rPr>
        <w:footnoteRef/>
      </w:r>
      <w:r>
        <w:rPr>
          <w:sz w:val="26"/>
          <w:u w:val="single"/>
        </w:rPr>
        <w:t>Id</w:t>
      </w:r>
      <w:r>
        <w:rPr>
          <w:sz w:val="26"/>
        </w:rPr>
        <w:t>., slip op. at 3.</w:t>
      </w:r>
    </w:p>
  </w:footnote>
  <w:footnote w:id="19">
    <w:p>
      <w:pPr>
        <w:pStyle w:val="Normal"/>
        <w:spacing w:before="0" w:after="240"/>
        <w:ind w:firstLine="720" w:end="0"/>
        <w:rPr/>
      </w:pPr>
      <w:r>
        <w:rPr>
          <w:rStyle w:val="FootnoteCharacters"/>
        </w:rPr>
        <w:footnoteRef/>
      </w:r>
      <w:r>
        <w:rPr>
          <w:sz w:val="26"/>
          <w:u w:val="single"/>
        </w:rPr>
        <w:t>Id</w:t>
      </w:r>
      <w:r>
        <w:rPr>
          <w:sz w:val="26"/>
        </w:rPr>
        <w:t>., slip op. at 5.</w:t>
      </w:r>
    </w:p>
  </w:footnote>
  <w:footnote w:id="20">
    <w:p>
      <w:pPr>
        <w:pStyle w:val="Normal"/>
        <w:spacing w:before="0" w:after="240"/>
        <w:ind w:firstLine="720" w:end="0"/>
        <w:rPr/>
      </w:pPr>
      <w:r>
        <w:rPr>
          <w:rStyle w:val="FootnoteCharacters"/>
        </w:rPr>
        <w:footnoteRef/>
      </w:r>
      <w:r>
        <w:rPr>
          <w:sz w:val="26"/>
        </w:rPr>
        <w:t>Puget Sound indicated that, as used in its complaint, the term "Pacific Northwest" has the meaning set forth in the Pacific Northwest Electric Power Planning and Conservation Act, 16 U.S.C. § 839a(14) (1994).</w:t>
      </w:r>
    </w:p>
  </w:footnote>
  <w:footnote w:id="21">
    <w:p>
      <w:pPr>
        <w:pStyle w:val="Normal"/>
        <w:spacing w:before="0" w:after="240"/>
        <w:ind w:firstLine="720" w:end="0"/>
        <w:rPr/>
      </w:pPr>
      <w:r>
        <w:rPr>
          <w:rStyle w:val="FootnoteCharacters"/>
        </w:rPr>
        <w:footnoteRef/>
      </w:r>
      <w:r>
        <w:rPr>
          <w:sz w:val="26"/>
        </w:rPr>
        <w:t>December 15 Order, 93 FERC at 62,019.</w:t>
      </w:r>
    </w:p>
  </w:footnote>
  <w:footnote w:id="22">
    <w:p>
      <w:pPr>
        <w:pStyle w:val="Normal"/>
        <w:spacing w:before="0" w:after="240"/>
        <w:ind w:firstLine="720" w:end="0"/>
        <w:rPr/>
      </w:pPr>
      <w:r>
        <w:rPr>
          <w:rStyle w:val="FootnoteCharacters"/>
        </w:rPr>
        <w:footnoteRef/>
      </w:r>
      <w:r>
        <w:rPr>
          <w:sz w:val="26"/>
        </w:rPr>
        <w:t>SoCal Water subsequently requested rehearing of the December 15 Order.</w:t>
      </w:r>
    </w:p>
  </w:footnote>
  <w:footnote w:id="23">
    <w:p>
      <w:pPr>
        <w:pStyle w:val="Normal"/>
        <w:spacing w:before="0" w:after="240"/>
        <w:ind w:firstLine="720" w:end="0"/>
        <w:rPr/>
      </w:pPr>
      <w:r>
        <w:rPr>
          <w:rStyle w:val="FootnoteCharacters"/>
        </w:rPr>
        <w:footnoteRef/>
      </w:r>
      <w:r>
        <w:rPr>
          <w:sz w:val="26"/>
        </w:rPr>
        <w:t xml:space="preserve"> </w:t>
      </w:r>
      <w:r>
        <w:rPr>
          <w:sz w:val="26"/>
          <w:u w:val="single"/>
        </w:rPr>
        <w:t>See</w:t>
      </w:r>
      <w:r>
        <w:rPr>
          <w:sz w:val="26"/>
        </w:rPr>
        <w:t xml:space="preserve">, </w:t>
      </w:r>
      <w:r>
        <w:rPr>
          <w:sz w:val="26"/>
          <w:u w:val="single"/>
        </w:rPr>
        <w:t>e.g.</w:t>
      </w:r>
      <w:r>
        <w:rPr>
          <w:sz w:val="26"/>
        </w:rPr>
        <w:t xml:space="preserve">, Southern Company Services, Inc., 92 FERC ¶ 61,167 (2000); Consolidated Edison, Inc. and Northeast Utilities, 92 FERC ¶ 61,014 (2000), </w:t>
      </w:r>
      <w:r>
        <w:rPr>
          <w:sz w:val="26"/>
          <w:u w:val="single"/>
        </w:rPr>
        <w:t>order denying reh'g</w:t>
      </w:r>
      <w:r>
        <w:rPr>
          <w:sz w:val="26"/>
        </w:rPr>
        <w:t>, 94 FERC ¶ 61,079 (2001).</w:t>
      </w:r>
    </w:p>
  </w:footnote>
  <w:footnote w:id="24">
    <w:p>
      <w:pPr>
        <w:pStyle w:val="Normal"/>
        <w:spacing w:before="0" w:after="240"/>
        <w:ind w:firstLine="720" w:end="0"/>
        <w:rPr/>
      </w:pPr>
      <w:r>
        <w:rPr>
          <w:rStyle w:val="FootnoteCharacters"/>
        </w:rPr>
        <w:footnoteRef/>
      </w:r>
      <w:r>
        <w:rPr>
          <w:sz w:val="26"/>
        </w:rPr>
        <w:t>In the May QF Order, we intended, but inadvertently failed, to grant the timely, unopposed motion to intervene of Carson Cogeneration Company, LP, Mojave Cogeneration Company, LP, O.L.S. Energy-Camarillo, O.L.S. Energy-Chino, and PE Berkeley, Inc. (collectively, QF Petitioners) filed in Docket No. EL00-98-000, and the untimely, unopposed motion to intervene of Berry Petroleum Company in Docket No. EL00-95-020.  We do so in this order.</w:t>
      </w:r>
    </w:p>
  </w:footnote>
  <w:footnote w:id="25">
    <w:p>
      <w:pPr>
        <w:pStyle w:val="Normal"/>
        <w:spacing w:before="0" w:after="240"/>
        <w:ind w:firstLine="720" w:end="0"/>
        <w:rPr/>
      </w:pPr>
      <w:r>
        <w:rPr>
          <w:rStyle w:val="FootnoteCharacters"/>
        </w:rPr>
        <w:footnoteRef/>
      </w:r>
      <w:r>
        <w:rPr>
          <w:sz w:val="26"/>
        </w:rPr>
        <w:t>18 C.F.R. § 385.102(c)(2) (2001).</w:t>
      </w:r>
    </w:p>
  </w:footnote>
  <w:footnote w:id="26">
    <w:p>
      <w:pPr>
        <w:pStyle w:val="Normal"/>
        <w:spacing w:before="0" w:after="240"/>
        <w:ind w:firstLine="720" w:end="0"/>
        <w:rPr/>
      </w:pPr>
      <w:r>
        <w:rPr>
          <w:rStyle w:val="FootnoteCharacters"/>
        </w:rPr>
        <w:footnoteRef/>
      </w:r>
      <w:r>
        <w:rPr>
          <w:sz w:val="26"/>
        </w:rPr>
        <w:t>The FPA, with one exception, permits refunds only for a period of 15 months after the refund effective date. The exception is that if a public utility engages in dilatory behavior in a section 206 proceeding, the Commission can extend the refund period beyond 15 months from the refund effective date.</w:t>
      </w:r>
    </w:p>
  </w:footnote>
  <w:footnote w:id="27">
    <w:p>
      <w:pPr>
        <w:pStyle w:val="Normal"/>
        <w:spacing w:before="0" w:after="240"/>
        <w:ind w:firstLine="720" w:end="0"/>
        <w:rPr/>
      </w:pPr>
      <w:r>
        <w:rPr>
          <w:rStyle w:val="FootnoteCharacters"/>
        </w:rPr>
        <w:footnoteRef/>
      </w:r>
      <w:r>
        <w:rPr>
          <w:sz w:val="26"/>
        </w:rPr>
        <w:t>To the extent parties raise the same arguments on rehearing of the December 15 Order, we similarly deny rehearing.</w:t>
      </w:r>
    </w:p>
  </w:footnote>
  <w:footnote w:id="28">
    <w:p>
      <w:pPr>
        <w:pStyle w:val="Normal"/>
        <w:spacing w:before="0" w:after="240"/>
        <w:ind w:firstLine="720" w:end="0"/>
        <w:rPr/>
      </w:pPr>
      <w:r>
        <w:rPr>
          <w:rStyle w:val="FootnoteCharacters"/>
        </w:rPr>
        <w:footnoteRef/>
      </w:r>
      <w:r>
        <w:rPr>
          <w:sz w:val="26"/>
          <w:u w:val="single"/>
        </w:rPr>
        <w:t>E.g.</w:t>
      </w:r>
      <w:r>
        <w:rPr>
          <w:sz w:val="26"/>
        </w:rPr>
        <w:t>, Comments filed November 22, 2000, by Southern California Edison Company (SoCal Edison), Pacific Gas and Electric Company (PG&amp;E), SDG&amp;E, City of San Diego, County of San Diego, California Commission, TURN/UCAN, California State Senator Morrow, Oversight Board, California Legislature, San Diego Association of Governments.</w:t>
      </w:r>
    </w:p>
  </w:footnote>
  <w:footnote w:id="29">
    <w:p>
      <w:pPr>
        <w:pStyle w:val="Normal"/>
        <w:spacing w:before="0" w:after="240"/>
        <w:ind w:firstLine="720" w:end="0"/>
        <w:rPr/>
      </w:pPr>
      <w:r>
        <w:rPr>
          <w:rStyle w:val="FootnoteCharacters"/>
        </w:rPr>
        <w:footnoteRef/>
      </w:r>
      <w:r>
        <w:rPr>
          <w:sz w:val="26"/>
          <w:u w:val="single"/>
        </w:rPr>
        <w:t>E.g.</w:t>
      </w:r>
      <w:r>
        <w:rPr>
          <w:sz w:val="26"/>
        </w:rPr>
        <w:t>, Comments of DOE, Enron, Calpine, Dynegy, PPL EnergyPlus, Reliant, Duke Energy, Williams, IEP, WPTF, Xcel Energy.  DOE also comments that Congress should examine whether to amend the FPA to provide the Commission with authority to require retroactive refunds in the future.</w:t>
      </w:r>
    </w:p>
  </w:footnote>
  <w:footnote w:id="30">
    <w:p>
      <w:pPr>
        <w:pStyle w:val="Normal"/>
        <w:spacing w:before="0" w:after="240"/>
        <w:ind w:firstLine="720" w:end="0"/>
        <w:rPr/>
      </w:pPr>
      <w:r>
        <w:rPr>
          <w:rStyle w:val="FootnoteCharacters"/>
        </w:rPr>
        <w:footnoteRef/>
      </w:r>
      <w:r>
        <w:rPr>
          <w:sz w:val="26"/>
        </w:rPr>
        <w:t>16 U. S.C. § 824e(a) (1994).</w:t>
      </w:r>
    </w:p>
  </w:footnote>
  <w:footnote w:id="31">
    <w:p>
      <w:pPr>
        <w:pStyle w:val="Normal"/>
        <w:spacing w:before="0" w:after="240"/>
        <w:ind w:firstLine="720" w:end="0"/>
        <w:rPr/>
      </w:pPr>
      <w:r>
        <w:rPr>
          <w:rStyle w:val="FootnoteCharacters"/>
        </w:rPr>
        <w:footnoteRef/>
      </w:r>
      <w:r>
        <w:rPr>
          <w:sz w:val="26"/>
        </w:rPr>
        <w:t>Comments of County of San Diego at 11-13.</w:t>
      </w:r>
    </w:p>
  </w:footnote>
  <w:footnote w:id="32">
    <w:p>
      <w:pPr>
        <w:pStyle w:val="Normal"/>
        <w:ind w:firstLine="720" w:end="0"/>
        <w:rPr/>
      </w:pPr>
      <w:r>
        <w:rPr>
          <w:rStyle w:val="FootnoteCharacters"/>
        </w:rPr>
        <w:footnoteRef/>
      </w:r>
      <w:r>
        <w:rPr>
          <w:sz w:val="26"/>
        </w:rPr>
        <w:t xml:space="preserve">Contrary to County of San Diego, the rationales underlying the filed rate doctrine apply to market-based rates.  First, San Diego is incorrect that Section 205(c) requires prior notice of the actual market-based, numerical rates.  In addition, the fact that a market-based tariff or rate schedule is on file instead of a specific, quantified rate is not dispositive, so long as buyers know (or can know by examining the Commission's public files) the type of rates authorized for each seller.  The principle of predictability requires that the parties know the type of rate being used, not necessarily the exact numerical rate.  When a buyer knows market-based rates are being used, the buyer can predict that rates will fluctuate with differing conditions, and can plan accordingly.  That is all that is required.  Thus, the filed rate doctrine and its corollary, the rule against retroactive ratemaking, apply to market-based rates.  </w:t>
      </w:r>
    </w:p>
    <w:p>
      <w:pPr>
        <w:pStyle w:val="Normal"/>
        <w:spacing w:before="0" w:after="240"/>
        <w:rPr>
          <w:sz w:val="26"/>
        </w:rPr>
      </w:pPr>
      <w:r>
        <w:rPr>
          <w:sz w:val="26"/>
        </w:rPr>
      </w:r>
    </w:p>
  </w:footnote>
  <w:footnote w:id="33">
    <w:p>
      <w:pPr>
        <w:pStyle w:val="Normal"/>
        <w:spacing w:before="0" w:after="240"/>
        <w:ind w:firstLine="720" w:end="0"/>
        <w:rPr/>
      </w:pPr>
      <w:r>
        <w:rPr>
          <w:rStyle w:val="FootnoteCharacters"/>
        </w:rPr>
        <w:footnoteRef/>
      </w:r>
      <w:r>
        <w:rPr>
          <w:sz w:val="26"/>
        </w:rPr>
        <w:t>Power Co. of America, L.P. v. FERC, 245 F.3d 839, 846 (D.C. Cir. 2001).</w:t>
      </w:r>
    </w:p>
  </w:footnote>
  <w:footnote w:id="34">
    <w:p>
      <w:pPr>
        <w:pStyle w:val="Normal"/>
        <w:spacing w:before="0" w:after="240"/>
        <w:ind w:firstLine="720" w:end="0"/>
        <w:rPr/>
      </w:pPr>
      <w:r>
        <w:rPr>
          <w:rStyle w:val="FootnoteCharacters"/>
        </w:rPr>
        <w:footnoteRef/>
      </w:r>
      <w:r>
        <w:rPr>
          <w:sz w:val="26"/>
          <w:u w:val="single"/>
        </w:rPr>
        <w:t>See</w:t>
      </w:r>
      <w:r>
        <w:rPr>
          <w:sz w:val="26"/>
        </w:rPr>
        <w:t xml:space="preserve"> Towns of Concord, Norwood and Wellesley v. FERC, 955 F.2d 67, 73 (D.C.Cir 1992) (rejecting argument that assumes a "'right' ceases to exist unless it is backed up by a remedy, that the Commission's denying refunds equals the Commission's authorizing the utility to violate the filed rate doctrine . . . . This is good advocacy but the case cannot be decided on any such theory.").</w:t>
      </w:r>
    </w:p>
  </w:footnote>
  <w:footnote w:id="35">
    <w:p>
      <w:pPr>
        <w:pStyle w:val="Normal"/>
        <w:spacing w:before="0" w:after="240"/>
        <w:ind w:firstLine="720" w:end="0"/>
        <w:rPr/>
      </w:pPr>
      <w:r>
        <w:rPr>
          <w:rStyle w:val="FootnoteCharacters"/>
        </w:rPr>
        <w:footnoteRef/>
      </w:r>
      <w:r>
        <w:rPr>
          <w:sz w:val="26"/>
        </w:rPr>
        <w:t xml:space="preserve"> </w:t>
      </w:r>
      <w:r>
        <w:rPr>
          <w:sz w:val="26"/>
        </w:rPr>
        <w:t>In re: California Power Exchange Corp., 245 F.3d 1110, 1121 (9th Cir. 2001).</w:t>
      </w:r>
    </w:p>
  </w:footnote>
  <w:footnote w:id="36">
    <w:p>
      <w:pPr>
        <w:pStyle w:val="Normal"/>
        <w:spacing w:before="0" w:after="240"/>
        <w:ind w:firstLine="720" w:end="0"/>
        <w:rPr/>
      </w:pPr>
      <w:r>
        <w:rPr>
          <w:rStyle w:val="FootnoteCharacters"/>
        </w:rPr>
        <w:footnoteRef/>
      </w:r>
      <w:r>
        <w:rPr>
          <w:sz w:val="26"/>
          <w:u w:val="single"/>
        </w:rPr>
        <w:t>See</w:t>
      </w:r>
      <w:r>
        <w:rPr>
          <w:sz w:val="26"/>
        </w:rPr>
        <w:t xml:space="preserve"> United Gas v. Callery Properties, 382 U.S. 223, 229 (1965) (while the Commission has no power to make reparation orders, its power to fix rates being prospective only, it is not so restricted where its order, which never became final, has been overturned by a reviewing court); Reynolds Metals Co. v. FERC, 777 F.2d 760, 763 (D.C. Cir. 1985)(same).  </w:t>
      </w:r>
      <w:r>
        <w:rPr>
          <w:sz w:val="26"/>
          <w:u w:val="single"/>
        </w:rPr>
        <w:t>See also</w:t>
      </w:r>
      <w:r>
        <w:rPr>
          <w:sz w:val="26"/>
        </w:rPr>
        <w:t xml:space="preserve"> Tennessee Valley Mun. Gas Assn. v. FPC, 470 F.2d 446, 453 (D.C. Cir. 1972) (granting of refunds did not violate anti-reparations language in the statute which was designed to protect established expectations under legally established rate schedules.  One "cannot claim justifiable reliance or protectable expectations based on [Commission] action which was illegal").</w:t>
      </w:r>
    </w:p>
  </w:footnote>
  <w:footnote w:id="37">
    <w:p>
      <w:pPr>
        <w:pStyle w:val="Normal"/>
        <w:spacing w:before="0" w:after="240"/>
        <w:ind w:firstLine="720" w:end="0"/>
        <w:rPr/>
      </w:pPr>
      <w:r>
        <w:rPr>
          <w:rStyle w:val="FootnoteCharacters"/>
        </w:rPr>
        <w:footnoteRef/>
      </w:r>
      <w:r>
        <w:rPr>
          <w:sz w:val="26"/>
          <w:u w:val="single"/>
        </w:rPr>
        <w:t>E.g.</w:t>
      </w:r>
      <w:r>
        <w:rPr>
          <w:sz w:val="26"/>
        </w:rPr>
        <w:t>, Comments of PG&amp;E; Rehearing of PG&amp;E.</w:t>
      </w:r>
    </w:p>
  </w:footnote>
  <w:footnote w:id="38">
    <w:p>
      <w:pPr>
        <w:pStyle w:val="Normal"/>
        <w:spacing w:before="0" w:after="240"/>
        <w:ind w:firstLine="720" w:end="0"/>
        <w:rPr/>
      </w:pPr>
      <w:r>
        <w:rPr>
          <w:rStyle w:val="FootnoteCharacters"/>
        </w:rPr>
        <w:footnoteRef/>
      </w:r>
      <w:r>
        <w:rPr>
          <w:sz w:val="26"/>
        </w:rPr>
        <w:t>Comments of City of San Diego.</w:t>
      </w:r>
    </w:p>
  </w:footnote>
  <w:footnote w:id="39">
    <w:p>
      <w:pPr>
        <w:pStyle w:val="Normal"/>
        <w:spacing w:before="0" w:after="240"/>
        <w:ind w:firstLine="720" w:end="0"/>
        <w:rPr/>
      </w:pPr>
      <w:r>
        <w:rPr>
          <w:rStyle w:val="FootnoteCharacters"/>
        </w:rPr>
        <w:footnoteRef/>
      </w:r>
      <w:r>
        <w:rPr>
          <w:sz w:val="26"/>
        </w:rPr>
        <w:t>These parties do not define a "fully competitive" or "workably competitive" market.</w:t>
      </w:r>
    </w:p>
  </w:footnote>
  <w:footnote w:id="40">
    <w:p>
      <w:pPr>
        <w:pStyle w:val="Normal"/>
        <w:spacing w:before="0" w:after="240"/>
        <w:ind w:firstLine="720" w:end="0"/>
        <w:rPr/>
      </w:pPr>
      <w:r>
        <w:rPr>
          <w:rStyle w:val="FootnoteCharacters"/>
        </w:rPr>
        <w:footnoteRef/>
      </w:r>
      <w:r>
        <w:rPr>
          <w:sz w:val="26"/>
          <w:u w:val="single"/>
        </w:rPr>
        <w:t>E.g.</w:t>
      </w:r>
      <w:r>
        <w:rPr>
          <w:sz w:val="26"/>
        </w:rPr>
        <w:t>, Comments of PG&amp;E, Oversight Board, City of San Diego, California Commission, SDG&amp;E, County of San Diego; Rehearings of SDG&amp;E, PG&amp;E, Oversight Board.</w:t>
      </w:r>
    </w:p>
  </w:footnote>
  <w:footnote w:id="41">
    <w:p>
      <w:pPr>
        <w:pStyle w:val="Normal"/>
        <w:spacing w:before="0" w:after="240"/>
        <w:ind w:firstLine="720" w:end="0"/>
        <w:rPr/>
      </w:pPr>
      <w:r>
        <w:rPr>
          <w:rStyle w:val="FootnoteCharacters"/>
        </w:rPr>
        <w:footnoteRef/>
      </w:r>
      <w:r>
        <w:rPr>
          <w:sz w:val="26"/>
        </w:rPr>
        <w:t>For example, in Washington Water Power Co., 83 FERC ¶ 61,282 (1998), the  Commission imposed sanctions for violations by Washington Water Power Company (WWP) and its power marketer affiliate Avista Energy, Inc. (Avista), of Avista's market-based rate order, specifically the affiliate conduct, OASIS and Standards of Conduct requirements.  Avista was required to disgorge its profits from the power sale at issue, and Avista's market-based rate authority was suspended prospectively for six months with respect to any power sale requiring the use of WWP's transmission system.</w:t>
      </w:r>
    </w:p>
  </w:footnote>
  <w:footnote w:id="42">
    <w:p>
      <w:pPr>
        <w:pStyle w:val="Normal"/>
        <w:spacing w:before="0" w:after="240"/>
        <w:ind w:firstLine="720" w:end="0"/>
        <w:rPr/>
      </w:pPr>
      <w:r>
        <w:rPr>
          <w:rStyle w:val="FootnoteCharacters"/>
        </w:rPr>
        <w:footnoteRef/>
      </w:r>
      <w:r>
        <w:rPr>
          <w:sz w:val="26"/>
          <w:u w:val="single"/>
        </w:rPr>
        <w:t>See also</w:t>
      </w:r>
      <w:r>
        <w:rPr>
          <w:sz w:val="26"/>
        </w:rPr>
        <w:t xml:space="preserve"> Comments of PG&amp;E, SDG&amp;E.</w:t>
      </w:r>
    </w:p>
  </w:footnote>
  <w:footnote w:id="43">
    <w:p>
      <w:pPr>
        <w:pStyle w:val="Normal"/>
        <w:spacing w:before="0" w:after="240"/>
        <w:ind w:firstLine="720" w:end="0"/>
        <w:rPr/>
      </w:pPr>
      <w:r>
        <w:rPr>
          <w:rStyle w:val="FootnoteCharacters"/>
        </w:rPr>
        <w:footnoteRef/>
      </w:r>
      <w:r>
        <w:rPr>
          <w:sz w:val="26"/>
        </w:rPr>
        <w:t>By comparison, with respect to costs collected through fuel adjustment clauses, acceptance of Commission authority to adjust such charges after-the-fact is a condition of acceptance of the fuel adjustment clause filings.</w:t>
      </w:r>
    </w:p>
  </w:footnote>
  <w:footnote w:id="44">
    <w:p>
      <w:pPr>
        <w:pStyle w:val="Normal"/>
        <w:spacing w:before="0" w:after="240"/>
        <w:ind w:firstLine="720" w:end="0"/>
        <w:rPr/>
      </w:pPr>
      <w:r>
        <w:rPr>
          <w:rStyle w:val="FootnoteCharacters"/>
        </w:rPr>
        <w:footnoteRef/>
      </w:r>
      <w:r>
        <w:rPr>
          <w:sz w:val="26"/>
          <w:u w:val="single"/>
        </w:rPr>
        <w:t>E.g.</w:t>
      </w:r>
      <w:r>
        <w:rPr>
          <w:sz w:val="26"/>
        </w:rPr>
        <w:t>, Louisville Gas and Electric Company, 62 FERC ¶ 61,016 at 61,143 n. 15 (1993).</w:t>
      </w:r>
    </w:p>
  </w:footnote>
  <w:footnote w:id="45">
    <w:p>
      <w:pPr>
        <w:pStyle w:val="Normal"/>
        <w:spacing w:before="0" w:after="240"/>
        <w:ind w:firstLine="720" w:end="0"/>
        <w:rPr/>
      </w:pPr>
      <w:r>
        <w:rPr>
          <w:rStyle w:val="FootnoteCharacters"/>
        </w:rPr>
        <w:footnoteRef/>
      </w:r>
      <w:r>
        <w:rPr>
          <w:sz w:val="26"/>
          <w:u w:val="single"/>
        </w:rPr>
        <w:t>See</w:t>
      </w:r>
      <w:r>
        <w:rPr>
          <w:sz w:val="26"/>
        </w:rPr>
        <w:t xml:space="preserve">, </w:t>
      </w:r>
      <w:r>
        <w:rPr>
          <w:sz w:val="26"/>
          <w:u w:val="single"/>
        </w:rPr>
        <w:t>e.g.</w:t>
      </w:r>
      <w:r>
        <w:rPr>
          <w:sz w:val="26"/>
        </w:rPr>
        <w:t>, Comments of SoCal Edison, citing the study attached as Exh. A to its comments (Paul Joskow and Edward Kahn, "A Quantitative Analysis of Pricing Behavior in California's Wholesale Electricity Market During Summer 2000" (Nov. 21, 2000)).</w:t>
      </w:r>
    </w:p>
  </w:footnote>
  <w:footnote w:id="46">
    <w:p>
      <w:pPr>
        <w:pStyle w:val="Normal"/>
        <w:spacing w:before="0" w:after="240"/>
        <w:ind w:firstLine="720" w:end="0"/>
        <w:rPr/>
      </w:pPr>
      <w:r>
        <w:rPr>
          <w:rStyle w:val="FootnoteCharacters"/>
        </w:rPr>
        <w:footnoteRef/>
      </w:r>
      <w:r>
        <w:rPr>
          <w:sz w:val="26"/>
        </w:rPr>
        <w:t xml:space="preserve">Comments of PG&amp;E, SoCal Edison; Rehearings of SDG&amp;E, PG&amp;E.  SoCal Edison cites Order No. 637-A, in which the Commission expressly did not make natural gas transportation rates subject to refund because it could rely on its authority to afford relief pursuant to section 16 of the Natural Gas Act (NGA), which is analogous to section 309 of the FPA.  </w:t>
      </w:r>
      <w:r>
        <w:rPr>
          <w:sz w:val="26"/>
          <w:u w:val="single"/>
        </w:rPr>
        <w:t>See</w:t>
      </w:r>
      <w:r>
        <w:rPr>
          <w:sz w:val="26"/>
        </w:rPr>
        <w:t xml:space="preserve"> Regulation of Natural Gas Transmission Services and Regulation of Interstate Natural Gas Transportation Services, FERC Stats. &amp; Regs. ¶ 31,091 (2000), </w:t>
      </w:r>
      <w:r>
        <w:rPr>
          <w:sz w:val="26"/>
          <w:u w:val="single"/>
        </w:rPr>
        <w:t>order on reh'g</w:t>
      </w:r>
      <w:r>
        <w:rPr>
          <w:sz w:val="26"/>
        </w:rPr>
        <w:t xml:space="preserve">, 91 FERC ¶ 61,191 (2000), </w:t>
      </w:r>
      <w:r>
        <w:rPr>
          <w:sz w:val="26"/>
          <w:u w:val="single"/>
        </w:rPr>
        <w:t>appeal pending sub nom.</w:t>
      </w:r>
      <w:r>
        <w:rPr>
          <w:sz w:val="26"/>
        </w:rPr>
        <w:t xml:space="preserve"> Process Gas Consumers v. FERC, No. 00-1217 (D.C. Cir. filed May 26, 2000).  SoCal Edison argues that the Commission could apply section 309 similarly in this case.</w:t>
      </w:r>
    </w:p>
  </w:footnote>
  <w:footnote w:id="47">
    <w:p>
      <w:pPr>
        <w:pStyle w:val="Normal"/>
        <w:spacing w:before="0" w:after="240"/>
        <w:ind w:firstLine="720" w:end="0"/>
        <w:rPr/>
      </w:pPr>
      <w:r>
        <w:rPr>
          <w:rStyle w:val="FootnoteCharacters"/>
        </w:rPr>
        <w:footnoteRef/>
      </w:r>
      <w:r>
        <w:rPr>
          <w:sz w:val="26"/>
        </w:rPr>
        <w:t xml:space="preserve"> </w:t>
      </w:r>
      <w:r>
        <w:rPr>
          <w:sz w:val="26"/>
        </w:rPr>
        <w:t>FPA section 309 states in pertinent part: "The Commission shall have power to perform any and all acts, and to prescribe, issue, make, amend, and rescind such orders, rules, and regulations as it may find necessary or appropriate to carry out the provisions of this Act."</w:t>
      </w:r>
    </w:p>
  </w:footnote>
  <w:footnote w:id="48">
    <w:p>
      <w:pPr>
        <w:pStyle w:val="Normal"/>
        <w:spacing w:before="0" w:after="240"/>
        <w:ind w:firstLine="720" w:end="0"/>
        <w:rPr/>
      </w:pPr>
      <w:r>
        <w:rPr>
          <w:rStyle w:val="FootnoteCharacters"/>
        </w:rPr>
        <w:footnoteRef/>
      </w:r>
      <w:r>
        <w:rPr>
          <w:sz w:val="26"/>
        </w:rPr>
        <w:t xml:space="preserve"> </w:t>
      </w:r>
      <w:r>
        <w:rPr>
          <w:sz w:val="26"/>
          <w:u w:val="single"/>
        </w:rPr>
        <w:t>Accord, e.g.,</w:t>
      </w:r>
      <w:r>
        <w:rPr>
          <w:sz w:val="26"/>
        </w:rPr>
        <w:t xml:space="preserve"> McCombs v. FERC, 705 F.2d 1177, 1184-85 (10th Cir. 1980); Murphy Oil Corp. v. FPC, 431 F.2d 805, 810 (8th Cir. 1970).</w:t>
      </w:r>
    </w:p>
  </w:footnote>
  <w:footnote w:id="49">
    <w:p>
      <w:pPr>
        <w:pStyle w:val="Normal"/>
        <w:spacing w:before="0" w:after="240"/>
        <w:ind w:firstLine="720" w:end="0"/>
        <w:rPr/>
      </w:pPr>
      <w:r>
        <w:rPr>
          <w:rStyle w:val="FootnoteCharacters"/>
        </w:rPr>
        <w:footnoteRef/>
      </w:r>
      <w:r>
        <w:rPr>
          <w:sz w:val="26"/>
        </w:rPr>
        <w:t xml:space="preserve">826 F.2d 1101 (D.C. Cir. 1987), </w:t>
      </w:r>
      <w:r>
        <w:rPr>
          <w:sz w:val="26"/>
          <w:u w:val="single"/>
        </w:rPr>
        <w:t>cert. denied</w:t>
      </w:r>
      <w:r>
        <w:rPr>
          <w:sz w:val="26"/>
        </w:rPr>
        <w:t>, 490 U.S. 1039 (1989).</w:t>
      </w:r>
    </w:p>
  </w:footnote>
  <w:footnote w:id="50">
    <w:p>
      <w:pPr>
        <w:pStyle w:val="Normal"/>
        <w:spacing w:before="0" w:after="240"/>
        <w:ind w:firstLine="720" w:end="0"/>
        <w:rPr/>
      </w:pPr>
      <w:r>
        <w:rPr>
          <w:rStyle w:val="FootnoteCharacters"/>
        </w:rPr>
        <w:footnoteRef/>
      </w:r>
      <w:r>
        <w:rPr>
          <w:sz w:val="26"/>
        </w:rPr>
        <w:t>826 F. 2d at 1109</w:t>
        <w:noBreakHyphen/>
        <w:t>10 and 1104</w:t>
        <w:noBreakHyphen/>
        <w:t xml:space="preserve">05; Nader v. FCC, 520 F.2d 182, 204 (D.C. Cir. 1975).  </w:t>
      </w:r>
    </w:p>
  </w:footnote>
  <w:footnote w:id="51">
    <w:p>
      <w:pPr>
        <w:pStyle w:val="Normal"/>
        <w:spacing w:before="0" w:after="240"/>
        <w:ind w:firstLine="720" w:end="0"/>
        <w:rPr/>
      </w:pPr>
      <w:r>
        <w:rPr>
          <w:rStyle w:val="FootnoteCharacters"/>
        </w:rPr>
        <w:footnoteRef/>
      </w:r>
      <w:r>
        <w:rPr>
          <w:sz w:val="26"/>
          <w:u w:val="single"/>
        </w:rPr>
        <w:t>See</w:t>
      </w:r>
      <w:r>
        <w:rPr>
          <w:sz w:val="26"/>
        </w:rPr>
        <w:t xml:space="preserve"> 826 F.2d at 1111.</w:t>
      </w:r>
    </w:p>
  </w:footnote>
  <w:footnote w:id="52">
    <w:p>
      <w:pPr>
        <w:pStyle w:val="Normal"/>
        <w:spacing w:before="0" w:after="240"/>
        <w:ind w:firstLine="720" w:end="0"/>
        <w:rPr/>
      </w:pPr>
      <w:r>
        <w:rPr>
          <w:rStyle w:val="FootnoteCharacters"/>
        </w:rPr>
        <w:footnoteRef/>
      </w:r>
      <w:r>
        <w:rPr>
          <w:sz w:val="26"/>
        </w:rPr>
        <w:t xml:space="preserve"> </w:t>
      </w:r>
      <w:r>
        <w:rPr>
          <w:sz w:val="26"/>
          <w:u w:val="single"/>
        </w:rPr>
        <w:t>Id</w:t>
      </w:r>
      <w:r>
        <w:rPr>
          <w:sz w:val="26"/>
        </w:rPr>
        <w:t>. at 1108.</w:t>
      </w:r>
    </w:p>
  </w:footnote>
  <w:footnote w:id="53">
    <w:p>
      <w:pPr>
        <w:pStyle w:val="Normal"/>
        <w:spacing w:before="0" w:after="240"/>
        <w:ind w:firstLine="720" w:end="0"/>
        <w:rPr/>
      </w:pPr>
      <w:r>
        <w:rPr>
          <w:rStyle w:val="FootnoteCharacters"/>
        </w:rPr>
        <w:footnoteRef/>
      </w:r>
      <w:r>
        <w:rPr>
          <w:sz w:val="26"/>
          <w:u w:val="single"/>
        </w:rPr>
        <w:t>Niagara Mohawk</w:t>
      </w:r>
      <w:r>
        <w:rPr>
          <w:sz w:val="26"/>
        </w:rPr>
        <w:t xml:space="preserve"> (constructing a hydro facility without a license), </w:t>
      </w:r>
      <w:r>
        <w:rPr>
          <w:sz w:val="26"/>
          <w:u w:val="single"/>
        </w:rPr>
        <w:t>Mesa Petroleum</w:t>
      </w:r>
      <w:r>
        <w:rPr>
          <w:sz w:val="26"/>
        </w:rPr>
        <w:t xml:space="preserve"> (abandonment without prior Commission approval), and </w:t>
      </w:r>
      <w:r>
        <w:rPr>
          <w:sz w:val="26"/>
          <w:u w:val="single"/>
        </w:rPr>
        <w:t>Louisiana Public Serv. Comm'n</w:t>
      </w:r>
      <w:r>
        <w:rPr>
          <w:sz w:val="26"/>
        </w:rPr>
        <w:t xml:space="preserve"> (collections in violation of filed rates).</w:t>
      </w:r>
    </w:p>
  </w:footnote>
  <w:footnote w:id="54">
    <w:p>
      <w:pPr>
        <w:pStyle w:val="Normal"/>
        <w:spacing w:before="0" w:after="240"/>
        <w:ind w:firstLine="720" w:end="0"/>
        <w:rPr/>
      </w:pPr>
      <w:r>
        <w:rPr>
          <w:rStyle w:val="FootnoteCharacters"/>
        </w:rPr>
        <w:footnoteRef/>
      </w:r>
      <w:r>
        <w:rPr>
          <w:sz w:val="26"/>
        </w:rPr>
        <w:t xml:space="preserve">While the Commission in other orders and in other contexts has stated that it does not have jurisdiction over non-public utilities under sections 205 and 206 of the FPA, we have re-examined our authority in the particular circumstances presented here:  a centralized single clearing price auction that sets wholesale prices for both public utilities and non-public utilities, pursuant to market rules set by this Commission and administered by public utilities subject to this Commission's jurisdiction (the California ISO and PX).  </w:t>
      </w:r>
    </w:p>
  </w:footnote>
  <w:footnote w:id="55">
    <w:p>
      <w:pPr>
        <w:pStyle w:val="Normal"/>
        <w:spacing w:before="0" w:after="240"/>
        <w:ind w:firstLine="720" w:end="0"/>
        <w:rPr/>
      </w:pPr>
      <w:r>
        <w:rPr>
          <w:rStyle w:val="FootnoteCharacters"/>
        </w:rPr>
        <w:footnoteRef/>
      </w:r>
      <w:r>
        <w:rPr>
          <w:sz w:val="26"/>
        </w:rPr>
        <w:t xml:space="preserve">93 FERC at 61,370; </w:t>
      </w:r>
      <w:r>
        <w:rPr>
          <w:sz w:val="26"/>
          <w:u w:val="single"/>
        </w:rPr>
        <w:t>see</w:t>
      </w:r>
      <w:r>
        <w:rPr>
          <w:sz w:val="26"/>
        </w:rPr>
        <w:t xml:space="preserve"> </w:t>
      </w:r>
      <w:r>
        <w:rPr>
          <w:sz w:val="26"/>
          <w:u w:val="single"/>
        </w:rPr>
        <w:t>also</w:t>
      </w:r>
      <w:r>
        <w:rPr>
          <w:sz w:val="26"/>
        </w:rPr>
        <w:t xml:space="preserve"> December 15 Order, 94 FERC at 62,010-11 (same). </w:t>
      </w:r>
    </w:p>
  </w:footnote>
  <w:footnote w:id="56">
    <w:p>
      <w:pPr>
        <w:pStyle w:val="Normal"/>
        <w:spacing w:before="0" w:after="240"/>
        <w:ind w:firstLine="720" w:end="0"/>
        <w:rPr/>
      </w:pPr>
      <w:r>
        <w:rPr>
          <w:rStyle w:val="FootnoteCharacters"/>
        </w:rPr>
        <w:footnoteRef/>
      </w:r>
      <w:r>
        <w:rPr>
          <w:sz w:val="26"/>
        </w:rPr>
        <w:t xml:space="preserve"> </w:t>
      </w:r>
      <w:r>
        <w:rPr>
          <w:sz w:val="26"/>
        </w:rPr>
        <w:t xml:space="preserve">One such seller was City of Los Angeles, Department of Water &amp; Power, whose Agreement was docketed as ER98-1934-000.  </w:t>
      </w:r>
      <w:r>
        <w:rPr>
          <w:sz w:val="26"/>
          <w:u w:val="single"/>
        </w:rPr>
        <w:t>Id</w:t>
      </w:r>
      <w:r>
        <w:rPr>
          <w:sz w:val="26"/>
        </w:rPr>
        <w:t xml:space="preserve">. </w:t>
      </w:r>
    </w:p>
  </w:footnote>
  <w:footnote w:id="57">
    <w:p>
      <w:pPr>
        <w:pStyle w:val="Normal"/>
        <w:spacing w:before="0" w:after="240"/>
        <w:ind w:firstLine="720" w:end="0"/>
        <w:rPr/>
      </w:pPr>
      <w:r>
        <w:rPr>
          <w:rStyle w:val="FootnoteCharacters"/>
        </w:rPr>
        <w:footnoteRef/>
      </w:r>
      <w:r>
        <w:rPr>
          <w:sz w:val="26"/>
        </w:rPr>
        <w:t>We note that non-public utilities (</w:t>
      </w:r>
      <w:r>
        <w:rPr>
          <w:sz w:val="26"/>
          <w:u w:val="single"/>
        </w:rPr>
        <w:t>e.g.</w:t>
      </w:r>
      <w:r>
        <w:rPr>
          <w:sz w:val="26"/>
        </w:rPr>
        <w:t xml:space="preserve">, Turlock Irrigation District and the City of Burbank) are seeking refunds for what they perceive are excessive charges paid in these markets. Under the maxim that those who seek equity must do equity, </w:t>
      </w:r>
      <w:r>
        <w:rPr>
          <w:sz w:val="26"/>
          <w:u w:val="single"/>
        </w:rPr>
        <w:t>McQuiddy v. Ware</w:t>
      </w:r>
      <w:r>
        <w:rPr>
          <w:sz w:val="26"/>
        </w:rPr>
        <w:t xml:space="preserve">, 87 U.S. 14,19 (1873); </w:t>
      </w:r>
      <w:r>
        <w:rPr>
          <w:sz w:val="26"/>
          <w:u w:val="single"/>
        </w:rPr>
        <w:t>In</w:t>
      </w:r>
      <w:r>
        <w:rPr>
          <w:sz w:val="26"/>
        </w:rPr>
        <w:t xml:space="preserve"> </w:t>
      </w:r>
      <w:r>
        <w:rPr>
          <w:sz w:val="26"/>
          <w:u w:val="single"/>
        </w:rPr>
        <w:t>re</w:t>
      </w:r>
      <w:r>
        <w:rPr>
          <w:sz w:val="26"/>
        </w:rPr>
        <w:t xml:space="preserve"> </w:t>
      </w:r>
      <w:r>
        <w:rPr>
          <w:sz w:val="26"/>
          <w:u w:val="single"/>
        </w:rPr>
        <w:t>Gardenshire</w:t>
      </w:r>
      <w:r>
        <w:rPr>
          <w:sz w:val="26"/>
        </w:rPr>
        <w:t>, 209 F.3d 1145, 1152 n. 11 (9th Cir. 2000), it would only be fair that these same utilities be willing to pay refunds related to any excessive amounts they may have collected.</w:t>
      </w:r>
    </w:p>
  </w:footnote>
  <w:footnote w:id="58">
    <w:p>
      <w:pPr>
        <w:pStyle w:val="Normal"/>
        <w:spacing w:before="0" w:after="240"/>
        <w:ind w:firstLine="720" w:end="0"/>
        <w:rPr/>
      </w:pPr>
      <w:r>
        <w:rPr>
          <w:rStyle w:val="FootnoteCharacters"/>
        </w:rPr>
        <w:footnoteRef/>
      </w:r>
      <w:r>
        <w:rPr>
          <w:sz w:val="26"/>
        </w:rPr>
        <w:t>That is, prospective application for some, and retrospective application for others.</w:t>
      </w:r>
    </w:p>
  </w:footnote>
  <w:footnote w:id="59">
    <w:p>
      <w:pPr>
        <w:pStyle w:val="Normal"/>
        <w:spacing w:before="0" w:after="240"/>
        <w:ind w:firstLine="720" w:end="0"/>
        <w:rPr/>
      </w:pPr>
      <w:r>
        <w:rPr>
          <w:rStyle w:val="FootnoteCharacters"/>
        </w:rPr>
        <w:footnoteRef/>
      </w:r>
      <w:r>
        <w:rPr>
          <w:sz w:val="26"/>
          <w:u w:val="single"/>
        </w:rPr>
        <w:t>See</w:t>
      </w:r>
      <w:r>
        <w:rPr>
          <w:sz w:val="26"/>
        </w:rPr>
        <w:t xml:space="preserve"> Statement of the Undersigned Generators to the Chief Judge, dated July 9, 2001, at 8.</w:t>
      </w:r>
    </w:p>
  </w:footnote>
  <w:footnote w:id="60">
    <w:p>
      <w:pPr>
        <w:pStyle w:val="Normal"/>
        <w:spacing w:before="0" w:after="240"/>
        <w:ind w:firstLine="720" w:end="0"/>
        <w:rPr/>
      </w:pPr>
      <w:r>
        <w:rPr>
          <w:rStyle w:val="FootnoteCharacters"/>
        </w:rPr>
        <w:footnoteRef/>
      </w:r>
      <w:r>
        <w:rPr>
          <w:sz w:val="26"/>
        </w:rPr>
        <w:t>If DWR (or any other party) believes any of its contracts are unjust and unreasonable, it may file a complaint under FPA section 206 to seek modification of such contracts.</w:t>
      </w:r>
    </w:p>
  </w:footnote>
  <w:footnote w:id="61">
    <w:p>
      <w:pPr>
        <w:pStyle w:val="Normal"/>
        <w:spacing w:before="0" w:after="240"/>
        <w:ind w:firstLine="720" w:end="0"/>
        <w:rPr/>
      </w:pPr>
      <w:r>
        <w:rPr>
          <w:rStyle w:val="FootnoteCharacters"/>
        </w:rPr>
        <w:footnoteRef/>
      </w:r>
      <w:r>
        <w:rPr>
          <w:sz w:val="26"/>
          <w:u w:val="single"/>
        </w:rPr>
        <w:t>See</w:t>
      </w:r>
      <w:r>
        <w:rPr>
          <w:sz w:val="26"/>
        </w:rPr>
        <w:t xml:space="preserve"> Confidentiality, Non-Disclosure and Use of Information Agreement dated January 24, 2001 filed as Attachment G by the ISO on June 19, 2001 in Docket No. ER01-889-005.</w:t>
      </w:r>
    </w:p>
  </w:footnote>
  <w:footnote w:id="62">
    <w:p>
      <w:pPr>
        <w:pStyle w:val="Normal"/>
        <w:spacing w:before="0" w:after="240"/>
        <w:ind w:firstLine="720" w:end="0"/>
        <w:rPr/>
      </w:pPr>
      <w:r>
        <w:rPr>
          <w:rStyle w:val="FootnoteCharacters"/>
        </w:rPr>
        <w:footnoteRef/>
      </w:r>
      <w:r>
        <w:rPr>
          <w:sz w:val="26"/>
        </w:rPr>
        <w:t>93 FERC at 61,349.</w:t>
      </w:r>
    </w:p>
  </w:footnote>
  <w:footnote w:id="63">
    <w:p>
      <w:pPr>
        <w:pStyle w:val="Normal"/>
        <w:spacing w:before="0" w:after="240"/>
        <w:ind w:firstLine="720" w:end="0"/>
        <w:rPr/>
      </w:pPr>
      <w:r>
        <w:rPr>
          <w:rStyle w:val="FootnoteCharacters"/>
        </w:rPr>
        <w:footnoteRef/>
      </w:r>
      <w:r>
        <w:rPr>
          <w:sz w:val="26"/>
          <w:u w:val="single"/>
        </w:rPr>
        <w:t>Id</w:t>
      </w:r>
      <w:r>
        <w:rPr>
          <w:sz w:val="26"/>
        </w:rPr>
        <w:t>. at 61,350.</w:t>
      </w:r>
    </w:p>
  </w:footnote>
  <w:footnote w:id="64">
    <w:p>
      <w:pPr>
        <w:pStyle w:val="Normal"/>
        <w:spacing w:before="0" w:after="240"/>
        <w:ind w:firstLine="720" w:end="0"/>
        <w:rPr/>
      </w:pPr>
      <w:r>
        <w:rPr>
          <w:rStyle w:val="FootnoteCharacters"/>
        </w:rPr>
        <w:footnoteRef/>
      </w:r>
      <w:r>
        <w:rPr>
          <w:sz w:val="26"/>
        </w:rPr>
        <w:t>92 FERC at 61,608.</w:t>
      </w:r>
    </w:p>
  </w:footnote>
  <w:footnote w:id="65">
    <w:p>
      <w:pPr>
        <w:pStyle w:val="Normal"/>
        <w:spacing w:before="0" w:after="240"/>
        <w:ind w:firstLine="720" w:end="0"/>
        <w:rPr/>
      </w:pPr>
      <w:r>
        <w:rPr>
          <w:rStyle w:val="FootnoteCharacters"/>
        </w:rPr>
        <w:footnoteRef/>
      </w:r>
      <w:r>
        <w:rPr>
          <w:sz w:val="26"/>
        </w:rPr>
        <w:t>10 C.F.R. § 205.376 (2001)</w:t>
      </w:r>
    </w:p>
  </w:footnote>
  <w:footnote w:id="66">
    <w:p>
      <w:pPr>
        <w:pStyle w:val="Normal"/>
        <w:spacing w:before="0" w:after="240"/>
        <w:ind w:firstLine="720" w:end="0"/>
        <w:rPr/>
      </w:pPr>
      <w:r>
        <w:rPr>
          <w:rStyle w:val="FootnoteCharacters"/>
        </w:rPr>
        <w:footnoteRef/>
      </w:r>
      <w:r>
        <w:rPr>
          <w:sz w:val="26"/>
        </w:rPr>
        <w:t>11 U.S.C. § 362(a)(1) (1994 &amp; Supp. 2000).</w:t>
      </w:r>
    </w:p>
  </w:footnote>
  <w:footnote w:id="67">
    <w:p>
      <w:pPr>
        <w:pStyle w:val="Normal"/>
        <w:spacing w:before="0" w:after="240"/>
        <w:ind w:firstLine="720" w:end="0"/>
        <w:rPr/>
      </w:pPr>
      <w:r>
        <w:rPr>
          <w:rStyle w:val="FootnoteCharacters"/>
        </w:rPr>
        <w:footnoteRef/>
      </w:r>
      <w:r>
        <w:rPr>
          <w:sz w:val="26"/>
        </w:rPr>
        <w:t>11 U.S.C. § 362(b)(4) (1994 &amp; Supp. 2000).</w:t>
      </w:r>
    </w:p>
  </w:footnote>
  <w:footnote w:id="68">
    <w:p>
      <w:pPr>
        <w:pStyle w:val="Normal"/>
        <w:spacing w:before="0" w:after="240"/>
        <w:ind w:firstLine="720" w:end="0"/>
        <w:rPr/>
      </w:pPr>
      <w:r>
        <w:rPr>
          <w:rStyle w:val="FootnoteCharacters"/>
        </w:rPr>
        <w:footnoteRef/>
      </w:r>
      <w:r>
        <w:rPr>
          <w:sz w:val="26"/>
          <w:u w:val="single"/>
        </w:rPr>
        <w:t>See</w:t>
      </w:r>
      <w:r>
        <w:rPr>
          <w:sz w:val="26"/>
        </w:rPr>
        <w:t xml:space="preserve"> Virginia Electric and Power Company, 84 FERC ¶ 61,254 (1998); and Century Power Corp., 56 FERC ¶ 61,087 (1991). The Commission conclusion on this matter is consistent with judicial precedent regarding the scope of the exemption to the automatic stay.  </w:t>
      </w:r>
      <w:r>
        <w:rPr>
          <w:sz w:val="26"/>
          <w:u w:val="single"/>
        </w:rPr>
        <w:t>E.g</w:t>
      </w:r>
      <w:r>
        <w:rPr>
          <w:sz w:val="26"/>
        </w:rPr>
        <w:t xml:space="preserve">., Board of Governors of the Federal Reserve System v. MCorp Fin., Inc., 502 U.S. 32 (1991); SEC v. Brennan, 250 F.3d 65 (2nd Cir. 2000); NLRB v. Continental Hagen Corp., 932 F.2d 828 (9th Cir. 1991); United States v. Commonwealth Cos. Inc. 913 F.2d 518 (8th Cir. 1990); NLRB v. Edward Cooper Painting, Inc. 804 F.2d 934 (6th Cir. 1986); Penn Terra Ltd. v. Dept. of Environmental Resources, 733 F.2d 267 (3rd Cir. 1984); </w:t>
      </w:r>
      <w:r>
        <w:rPr>
          <w:sz w:val="26"/>
          <w:u w:val="single"/>
        </w:rPr>
        <w:t>In</w:t>
      </w:r>
      <w:r>
        <w:rPr>
          <w:sz w:val="26"/>
        </w:rPr>
        <w:t xml:space="preserve"> </w:t>
      </w:r>
      <w:r>
        <w:rPr>
          <w:sz w:val="26"/>
          <w:u w:val="single"/>
        </w:rPr>
        <w:t>re</w:t>
      </w:r>
      <w:r>
        <w:rPr>
          <w:sz w:val="26"/>
        </w:rPr>
        <w:t xml:space="preserve"> Pacific Gas and Electric Co., </w:t>
      </w:r>
      <w:r>
        <w:rPr>
          <w:sz w:val="26"/>
          <w:u w:val="single"/>
        </w:rPr>
        <w:t>et</w:t>
      </w:r>
      <w:r>
        <w:rPr>
          <w:sz w:val="26"/>
        </w:rPr>
        <w:t xml:space="preserve"> </w:t>
      </w:r>
      <w:r>
        <w:rPr>
          <w:sz w:val="26"/>
          <w:u w:val="single"/>
        </w:rPr>
        <w:t>al</w:t>
      </w:r>
      <w:r>
        <w:rPr>
          <w:sz w:val="26"/>
        </w:rPr>
        <w:t xml:space="preserve">., No. 01-30932 (Bankr. N.D.Cal. June 1, 2001)(finding the regulatory exception applies to a California Commission decision affecting PG&amp;E's financial condition); </w:t>
      </w:r>
      <w:r>
        <w:rPr>
          <w:sz w:val="26"/>
          <w:u w:val="single"/>
        </w:rPr>
        <w:t>see</w:t>
      </w:r>
      <w:r>
        <w:rPr>
          <w:sz w:val="26"/>
        </w:rPr>
        <w:t xml:space="preserve"> </w:t>
      </w:r>
      <w:r>
        <w:rPr>
          <w:sz w:val="26"/>
          <w:u w:val="single"/>
        </w:rPr>
        <w:t>generally</w:t>
      </w:r>
      <w:r>
        <w:rPr>
          <w:sz w:val="26"/>
        </w:rPr>
        <w:t xml:space="preserve"> 3 Collier on Bankruptcy § 362.05 (15th ed. rev. 2000).</w:t>
      </w:r>
    </w:p>
  </w:footnote>
  <w:footnote w:id="69">
    <w:p>
      <w:pPr>
        <w:pStyle w:val="Normal"/>
        <w:spacing w:before="0" w:after="240"/>
        <w:ind w:firstLine="720" w:end="0"/>
        <w:rPr/>
      </w:pPr>
      <w:r>
        <w:rPr>
          <w:rStyle w:val="FootnoteCharacters"/>
        </w:rPr>
        <w:footnoteRef/>
      </w:r>
      <w:r>
        <w:rPr>
          <w:sz w:val="26"/>
        </w:rPr>
        <w:t>For the periods when the ISO instituted 10-minute dispatch protocols, we direct the ISO to take the average of the maximum heat rates for the six 10-minute periods in order to develop a market clearing price for application in the hourly auctions (including the PX markets).  For the purposes of rerunning the settlement/billing process in the imbalance market, we direct the ISO to substitute the revised market clearing prices calculated for each 10-minute period in its settlement software.</w:t>
      </w:r>
    </w:p>
  </w:footnote>
  <w:footnote w:id="70">
    <w:p>
      <w:pPr>
        <w:pStyle w:val="Normal"/>
        <w:ind w:firstLine="720" w:end="0"/>
        <w:rPr/>
      </w:pPr>
      <w:r>
        <w:rPr>
          <w:rStyle w:val="FootnoteCharacters"/>
        </w:rPr>
        <w:footnoteRef/>
      </w:r>
      <w:r>
        <w:rPr>
          <w:sz w:val="26"/>
        </w:rPr>
        <w:t xml:space="preserve">Prior to market-based rates, economy sales (or sales from capacity available after a public utility's requirements and other firm customers were served) were the equivalent of spot market sales.  Economy sales were priced at incremental or marginal cost, which was based on a fuel charge equal to the replacement cost of fuel.  </w:t>
      </w:r>
      <w:r>
        <w:rPr>
          <w:sz w:val="26"/>
          <w:u w:val="single"/>
        </w:rPr>
        <w:t>See</w:t>
      </w:r>
      <w:r>
        <w:rPr>
          <w:sz w:val="26"/>
        </w:rPr>
        <w:t xml:space="preserve">, </w:t>
      </w:r>
      <w:r>
        <w:rPr>
          <w:sz w:val="26"/>
          <w:u w:val="single"/>
        </w:rPr>
        <w:t>e.g.</w:t>
      </w:r>
      <w:r>
        <w:rPr>
          <w:sz w:val="26"/>
        </w:rPr>
        <w:t xml:space="preserve">, Indiana &amp; Michigan Electric Company, </w:t>
      </w:r>
      <w:r>
        <w:rPr>
          <w:sz w:val="26"/>
          <w:u w:val="single"/>
        </w:rPr>
        <w:t>et</w:t>
      </w:r>
      <w:r>
        <w:rPr>
          <w:sz w:val="26"/>
        </w:rPr>
        <w:t xml:space="preserve"> </w:t>
      </w:r>
      <w:r>
        <w:rPr>
          <w:sz w:val="26"/>
          <w:u w:val="single"/>
        </w:rPr>
        <w:t>al</w:t>
      </w:r>
      <w:r>
        <w:rPr>
          <w:sz w:val="26"/>
        </w:rPr>
        <w:t xml:space="preserve">., 10 FERC ¶ 61,295 (1980).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firstLine="1440" w:end="0"/>
        <w:rPr>
          <w:sz w:val="26"/>
        </w:rPr>
      </w:pPr>
      <w:r>
        <w:rPr>
          <w:sz w:val="26"/>
        </w:rPr>
      </w:r>
    </w:p>
  </w:footnote>
  <w:footnote w:id="71">
    <w:p>
      <w:pPr>
        <w:pStyle w:val="Normal"/>
        <w:spacing w:before="0" w:after="240"/>
        <w:ind w:firstLine="720" w:end="0"/>
        <w:rPr/>
      </w:pPr>
      <w:r>
        <w:rPr>
          <w:rStyle w:val="FootnoteCharacters"/>
        </w:rPr>
        <w:footnoteRef/>
      </w:r>
      <w:r>
        <w:rPr>
          <w:sz w:val="26"/>
        </w:rPr>
        <w:t xml:space="preserve">We note that NGI's Daily Gas Price index and Inside FERC's Gas Market Report did not have a listing for Southern California Gas Large Packages during the refund period.  Therefore, we instruct the ISO to use the Financial Times Energy's "Gas Daily" for calculation of the southern gas price during the refund period. </w:t>
      </w:r>
    </w:p>
  </w:footnote>
  <w:footnote w:id="72">
    <w:p>
      <w:pPr>
        <w:pStyle w:val="Normal"/>
        <w:spacing w:before="0" w:after="240"/>
        <w:ind w:firstLine="720" w:end="0"/>
        <w:rPr/>
      </w:pPr>
      <w:r>
        <w:rPr>
          <w:rStyle w:val="FootnoteCharacters"/>
        </w:rPr>
        <w:footnoteRef/>
      </w:r>
      <w:r>
        <w:rPr>
          <w:sz w:val="26"/>
          <w:u w:val="single"/>
        </w:rPr>
        <w:t>See</w:t>
      </w:r>
      <w:r>
        <w:rPr>
          <w:sz w:val="26"/>
        </w:rPr>
        <w:t xml:space="preserve">, </w:t>
      </w:r>
      <w:r>
        <w:rPr>
          <w:sz w:val="26"/>
          <w:u w:val="single"/>
        </w:rPr>
        <w:t>e.g.</w:t>
      </w:r>
      <w:r>
        <w:rPr>
          <w:sz w:val="26"/>
        </w:rPr>
        <w:t>, comments of Pinnacle West Companies, Public Service Company of New Mexico.</w:t>
      </w:r>
    </w:p>
  </w:footnote>
  <w:footnote w:id="73">
    <w:p>
      <w:pPr>
        <w:pStyle w:val="Normal"/>
        <w:spacing w:before="0" w:after="240"/>
        <w:ind w:firstLine="720" w:end="0"/>
        <w:rPr/>
      </w:pPr>
      <w:r>
        <w:rPr>
          <w:rStyle w:val="FootnoteCharacters"/>
        </w:rPr>
        <w:footnoteRef/>
      </w:r>
      <w:r>
        <w:rPr>
          <w:sz w:val="26"/>
          <w:u w:val="single"/>
        </w:rPr>
        <w:t>See</w:t>
      </w:r>
      <w:r>
        <w:rPr>
          <w:sz w:val="26"/>
        </w:rPr>
        <w:t xml:space="preserve">, </w:t>
      </w:r>
      <w:r>
        <w:rPr>
          <w:sz w:val="26"/>
          <w:u w:val="single"/>
        </w:rPr>
        <w:t>e.g.</w:t>
      </w:r>
      <w:r>
        <w:rPr>
          <w:sz w:val="26"/>
        </w:rPr>
        <w:t xml:space="preserve">, comments of PG&amp;E, California Parties. </w:t>
      </w:r>
    </w:p>
  </w:footnote>
  <w:footnote w:id="74">
    <w:p>
      <w:pPr>
        <w:pStyle w:val="Normal"/>
        <w:spacing w:before="0" w:after="240"/>
        <w:ind w:firstLine="720" w:end="0"/>
        <w:rPr/>
      </w:pPr>
      <w:r>
        <w:rPr>
          <w:rStyle w:val="FootnoteCharacters"/>
        </w:rPr>
        <w:footnoteRef/>
      </w:r>
      <w:r>
        <w:rPr>
          <w:sz w:val="26"/>
        </w:rPr>
        <w:t>Comments of Reliant, Mirant.</w:t>
      </w:r>
    </w:p>
  </w:footnote>
  <w:footnote w:id="75">
    <w:p>
      <w:pPr>
        <w:pStyle w:val="Normal"/>
        <w:spacing w:before="0" w:after="240"/>
        <w:ind w:firstLine="720" w:end="0"/>
        <w:rPr/>
      </w:pPr>
      <w:r>
        <w:rPr>
          <w:rStyle w:val="FootnoteCharacters"/>
        </w:rPr>
        <w:footnoteRef/>
      </w:r>
      <w:r>
        <w:rPr>
          <w:sz w:val="26"/>
        </w:rPr>
        <w:t>What is a "spot market" sale for bilateral transactions in the Pacific Northwest may differ from what is a "spot market" sale in the California ISO and PX organized spot markets.</w:t>
      </w:r>
    </w:p>
  </w:footnote>
  <w:footnote w:id="76">
    <w:p>
      <w:pPr>
        <w:pStyle w:val="Normal"/>
        <w:spacing w:before="0" w:after="240"/>
        <w:ind w:firstLine="720" w:end="0"/>
        <w:rPr/>
      </w:pPr>
      <w:r>
        <w:rPr>
          <w:rStyle w:val="FootnoteCharacters"/>
        </w:rPr>
        <w:footnoteRef/>
      </w:r>
      <w:r>
        <w:rPr>
          <w:sz w:val="26"/>
        </w:rPr>
        <w:t>December 25, 2000 is the earliest refund effective date the Commission could establish for Puget's complaint regarding rates in the Pacific Northwest if the Commission determines that it is appropriate to deny Puget Sound's motion to withdraw the complaint, and, further, to grant rehearing of the Commission's previous determination not to set the complaint for hearing.</w:t>
      </w:r>
    </w:p>
  </w:footnote>
  <w:footnote w:id="77">
    <w:p>
      <w:pPr>
        <w:pStyle w:val="Normal"/>
        <w:spacing w:before="0" w:after="240"/>
        <w:ind w:firstLine="720" w:end="0"/>
        <w:rPr/>
      </w:pPr>
      <w:r>
        <w:rPr>
          <w:rStyle w:val="FootnoteCharacters"/>
        </w:rPr>
        <w:footnoteRef/>
      </w:r>
      <w:r>
        <w:rPr>
          <w:sz w:val="26"/>
        </w:rPr>
        <w:t xml:space="preserve">The Commission intends to take up the Motion to Withdraw in Docket No. EL01-10-000, Puget Sound Energy Inc. v. All Jurisdictional Sellers of Energy, </w:t>
      </w:r>
      <w:r>
        <w:rPr>
          <w:sz w:val="26"/>
          <w:u w:val="single"/>
        </w:rPr>
        <w:t>et</w:t>
      </w:r>
      <w:r>
        <w:rPr>
          <w:sz w:val="26"/>
        </w:rPr>
        <w:t xml:space="preserve"> </w:t>
      </w:r>
      <w:r>
        <w:rPr>
          <w:sz w:val="26"/>
          <w:u w:val="single"/>
        </w:rPr>
        <w:t>al</w:t>
      </w:r>
      <w:r>
        <w:rPr>
          <w:sz w:val="26"/>
        </w:rPr>
        <w:t xml:space="preserve">., in an expeditious time frame after the judge's certification of the record. </w:t>
      </w:r>
    </w:p>
  </w:footnote>
  <w:footnote w:id="78">
    <w:p>
      <w:pPr>
        <w:pStyle w:val="Normal"/>
        <w:spacing w:before="0" w:after="240"/>
        <w:ind w:firstLine="720" w:end="0"/>
        <w:rPr/>
      </w:pPr>
      <w:r>
        <w:rPr>
          <w:rStyle w:val="FootnoteCharacters"/>
        </w:rPr>
        <w:t>1</w:t>
      </w:r>
      <w:r>
        <w:rPr>
          <w:sz w:val="26"/>
        </w:rPr>
        <w:t xml:space="preserve">San Diego Gas &amp; Electric Company, </w:t>
      </w:r>
      <w:r>
        <w:rPr>
          <w:sz w:val="26"/>
          <w:u w:val="single"/>
        </w:rPr>
        <w:t>et</w:t>
      </w:r>
      <w:r>
        <w:rPr>
          <w:sz w:val="26"/>
        </w:rPr>
        <w:t xml:space="preserve"> </w:t>
      </w:r>
      <w:r>
        <w:rPr>
          <w:sz w:val="26"/>
          <w:u w:val="single"/>
        </w:rPr>
        <w:t>al.</w:t>
      </w:r>
      <w:r>
        <w:rPr>
          <w:sz w:val="26"/>
        </w:rPr>
        <w:t xml:space="preserve">, 93 FERC ¶ 61,121 at 61,349-50 (2000), </w:t>
      </w:r>
      <w:r>
        <w:rPr>
          <w:sz w:val="26"/>
          <w:u w:val="single"/>
        </w:rPr>
        <w:t>reh'g pending</w:t>
      </w:r>
      <w:r>
        <w:rPr>
          <w:sz w:val="26"/>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2001-07-25T21:08:00Z</dcterms:created>
  <dc:creator>Thomas Mayer</dc:creator>
  <dc:description/>
  <dc:language>en-CA</dc:language>
  <cp:lastModifiedBy>Thomas Mayer</cp:lastModifiedBy>
  <cp:lastPrinted>2001-07-25T16:32:00Z</cp:lastPrinted>
  <dcterms:modified xsi:type="dcterms:W3CDTF">2001-07-25T21:08:00Z</dcterms:modified>
  <cp:revision>2</cp:revision>
  <dc:subject/>
  <dc:title>UNITED STATES OF AMERICA</dc:title>
</cp:coreProperties>
</file>